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04C0D" w14:textId="3F54A513" w:rsidR="00653164" w:rsidRPr="003A2B8B" w:rsidRDefault="00487314" w:rsidP="00AB727F">
      <w:pPr>
        <w:suppressLineNumbers/>
        <w:jc w:val="center"/>
        <w:rPr>
          <w:rFonts w:ascii="Book Antiqua" w:hAnsi="Book Antiqua"/>
          <w:sz w:val="28"/>
          <w:szCs w:val="28"/>
          <w:lang w:val="es-ES"/>
        </w:rPr>
      </w:pPr>
      <w:r>
        <w:rPr>
          <w:rFonts w:ascii="Book Antiqua" w:hAnsi="Book Antiqua"/>
          <w:sz w:val="28"/>
          <w:szCs w:val="28"/>
          <w:lang w:val="es-ES"/>
        </w:rPr>
        <w:t>GOBIERNO</w:t>
      </w:r>
      <w:r>
        <w:rPr>
          <w:rFonts w:ascii="Book Antiqua" w:hAnsi="Book Antiqua"/>
          <w:i/>
          <w:sz w:val="28"/>
          <w:szCs w:val="28"/>
          <w:lang w:val="es-ES"/>
        </w:rPr>
        <w:t xml:space="preserve"> </w:t>
      </w:r>
      <w:r>
        <w:rPr>
          <w:rFonts w:ascii="Book Antiqua" w:hAnsi="Book Antiqua"/>
          <w:sz w:val="28"/>
          <w:szCs w:val="28"/>
          <w:lang w:val="es-ES"/>
        </w:rPr>
        <w:t>DE PUERTO RICO</w:t>
      </w:r>
    </w:p>
    <w:p w14:paraId="432289E8" w14:textId="77777777" w:rsidR="00653164" w:rsidRPr="003A2B8B" w:rsidRDefault="00653164" w:rsidP="00AB727F">
      <w:pPr>
        <w:suppressLineNumbers/>
        <w:rPr>
          <w:rFonts w:ascii="Book Antiqua" w:hAnsi="Book Antiqua"/>
          <w:szCs w:val="24"/>
          <w:lang w:val="es-ES"/>
        </w:rPr>
      </w:pPr>
    </w:p>
    <w:p w14:paraId="1F115470" w14:textId="15A38B56" w:rsidR="00653164" w:rsidRPr="003A2B8B" w:rsidRDefault="00487314" w:rsidP="00AB727F">
      <w:pPr>
        <w:suppressLineNumbers/>
        <w:jc w:val="both"/>
        <w:rPr>
          <w:rFonts w:ascii="Book Antiqua" w:hAnsi="Book Antiqua"/>
          <w:szCs w:val="24"/>
          <w:lang w:val="es-ES"/>
        </w:rPr>
      </w:pPr>
      <w:r>
        <w:rPr>
          <w:rFonts w:ascii="Book Antiqua" w:hAnsi="Book Antiqua"/>
          <w:szCs w:val="24"/>
          <w:lang w:val="es-ES"/>
        </w:rPr>
        <w:t>20ma. Asamblea</w:t>
      </w:r>
      <w:r>
        <w:rPr>
          <w:rFonts w:ascii="Book Antiqua" w:hAnsi="Book Antiqua"/>
          <w:szCs w:val="24"/>
          <w:lang w:val="es-ES"/>
        </w:rPr>
        <w:tab/>
        <w:t xml:space="preserve">                                                                                  </w:t>
      </w:r>
      <w:r>
        <w:rPr>
          <w:rFonts w:ascii="Book Antiqua" w:hAnsi="Book Antiqua"/>
          <w:szCs w:val="24"/>
          <w:lang w:val="es-ES"/>
        </w:rPr>
        <w:tab/>
        <w:t xml:space="preserve">         3ra. Sesión</w:t>
      </w:r>
    </w:p>
    <w:p w14:paraId="76E10747" w14:textId="77777777" w:rsidR="00653164" w:rsidRPr="003A2B8B" w:rsidRDefault="00653164" w:rsidP="00AB727F">
      <w:pPr>
        <w:suppressLineNumbers/>
        <w:jc w:val="both"/>
        <w:rPr>
          <w:rFonts w:ascii="Book Antiqua" w:hAnsi="Book Antiqua"/>
          <w:szCs w:val="24"/>
          <w:lang w:val="es-ES"/>
        </w:rPr>
      </w:pPr>
      <w:r>
        <w:rPr>
          <w:rFonts w:ascii="Book Antiqua" w:hAnsi="Book Antiqua"/>
          <w:szCs w:val="24"/>
          <w:lang w:val="es-ES"/>
        </w:rPr>
        <w:t xml:space="preserve">          Legislativa</w:t>
      </w:r>
      <w:r>
        <w:rPr>
          <w:rFonts w:ascii="Book Antiqua" w:hAnsi="Book Antiqua"/>
          <w:szCs w:val="24"/>
          <w:lang w:val="es-ES"/>
        </w:rPr>
        <w:tab/>
      </w:r>
      <w:r>
        <w:rPr>
          <w:rFonts w:ascii="Book Antiqua" w:hAnsi="Book Antiqua"/>
          <w:szCs w:val="24"/>
          <w:lang w:val="es-ES"/>
        </w:rPr>
        <w:tab/>
        <w:t xml:space="preserve">                                                                              </w:t>
      </w:r>
      <w:r>
        <w:rPr>
          <w:rFonts w:ascii="Book Antiqua" w:hAnsi="Book Antiqua"/>
          <w:szCs w:val="24"/>
          <w:lang w:val="es-ES"/>
        </w:rPr>
        <w:tab/>
        <w:t xml:space="preserve">     Ordinaria</w:t>
      </w:r>
    </w:p>
    <w:p w14:paraId="03C82B2E" w14:textId="77777777" w:rsidR="00E827F6" w:rsidRPr="004A0759" w:rsidRDefault="00E827F6" w:rsidP="00AB727F">
      <w:pPr>
        <w:suppressLineNumbers/>
        <w:rPr>
          <w:sz w:val="36"/>
          <w:szCs w:val="36"/>
          <w:lang w:val="es-ES"/>
        </w:rPr>
      </w:pPr>
    </w:p>
    <w:p w14:paraId="312D3457" w14:textId="77777777" w:rsidR="00E827F6" w:rsidRPr="004A0759" w:rsidRDefault="00E827F6" w:rsidP="004A0759">
      <w:pPr>
        <w:suppressLineNumbers/>
        <w:jc w:val="center"/>
        <w:rPr>
          <w:rFonts w:ascii="Book Antiqua" w:hAnsi="Book Antiqua"/>
          <w:b/>
          <w:sz w:val="36"/>
          <w:szCs w:val="36"/>
          <w:lang w:val="es-ES"/>
        </w:rPr>
      </w:pPr>
      <w:r w:rsidRPr="004A0759">
        <w:rPr>
          <w:rFonts w:ascii="Book Antiqua" w:hAnsi="Book Antiqua"/>
          <w:b/>
          <w:sz w:val="36"/>
          <w:szCs w:val="36"/>
          <w:lang w:val="es-ES"/>
        </w:rPr>
        <w:t xml:space="preserve">CÁMARA DE REPRESENTANTES </w:t>
      </w:r>
    </w:p>
    <w:p w14:paraId="3C11803D" w14:textId="77777777" w:rsidR="004A0759" w:rsidRDefault="004A0759" w:rsidP="004A0759">
      <w:pPr>
        <w:suppressLineNumbers/>
        <w:jc w:val="center"/>
        <w:rPr>
          <w:rFonts w:ascii="Book Antiqua" w:hAnsi="Book Antiqua"/>
          <w:b/>
          <w:szCs w:val="24"/>
          <w:lang w:val="es-ES"/>
        </w:rPr>
      </w:pPr>
    </w:p>
    <w:p w14:paraId="2F0F9F40" w14:textId="701A4D39" w:rsidR="00CD05BC" w:rsidRPr="004A0759" w:rsidRDefault="00E827F6" w:rsidP="004A0759">
      <w:pPr>
        <w:suppressLineNumbers/>
        <w:jc w:val="center"/>
        <w:rPr>
          <w:rFonts w:ascii="Book Antiqua" w:hAnsi="Book Antiqua"/>
          <w:b/>
          <w:sz w:val="52"/>
          <w:szCs w:val="52"/>
          <w:lang w:val="es-ES"/>
        </w:rPr>
      </w:pPr>
      <w:r w:rsidRPr="004A0759">
        <w:rPr>
          <w:rFonts w:ascii="Book Antiqua" w:hAnsi="Book Antiqua"/>
          <w:b/>
          <w:sz w:val="52"/>
          <w:szCs w:val="52"/>
          <w:lang w:val="es-ES"/>
        </w:rPr>
        <w:t xml:space="preserve">R. de la C. </w:t>
      </w:r>
      <w:r w:rsidR="000A5340" w:rsidRPr="004A0759">
        <w:rPr>
          <w:rFonts w:ascii="Book Antiqua" w:hAnsi="Book Antiqua"/>
          <w:b/>
          <w:sz w:val="52"/>
          <w:szCs w:val="52"/>
          <w:lang w:val="es-ES"/>
        </w:rPr>
        <w:t>727</w:t>
      </w:r>
    </w:p>
    <w:p w14:paraId="4DA13600" w14:textId="77777777" w:rsidR="004A0759" w:rsidRPr="004A0759" w:rsidRDefault="004A0759" w:rsidP="004A0759">
      <w:pPr>
        <w:suppressLineNumbers/>
        <w:jc w:val="center"/>
        <w:rPr>
          <w:rFonts w:ascii="Book Antiqua" w:hAnsi="Book Antiqua"/>
          <w:b/>
          <w:szCs w:val="24"/>
          <w:lang w:val="es-ES"/>
        </w:rPr>
      </w:pPr>
    </w:p>
    <w:p w14:paraId="5E68E7D5" w14:textId="47B7C19D" w:rsidR="00E827F6" w:rsidRPr="004A0759" w:rsidRDefault="000A5340" w:rsidP="004A0759">
      <w:pPr>
        <w:suppressLineNumbers/>
        <w:jc w:val="center"/>
        <w:rPr>
          <w:rFonts w:ascii="Book Antiqua" w:hAnsi="Book Antiqua"/>
          <w:szCs w:val="24"/>
          <w:lang w:val="es-ES"/>
        </w:rPr>
      </w:pPr>
      <w:r w:rsidRPr="004A0759">
        <w:rPr>
          <w:rFonts w:ascii="Book Antiqua" w:hAnsi="Book Antiqua"/>
          <w:szCs w:val="24"/>
          <w:lang w:val="es-ES"/>
        </w:rPr>
        <w:t>11</w:t>
      </w:r>
      <w:r w:rsidR="00487314" w:rsidRPr="004A0759">
        <w:rPr>
          <w:rFonts w:ascii="Book Antiqua" w:hAnsi="Book Antiqua"/>
          <w:szCs w:val="24"/>
          <w:lang w:val="es-ES"/>
        </w:rPr>
        <w:t xml:space="preserve"> DE JUNIO DE 2026</w:t>
      </w:r>
    </w:p>
    <w:p w14:paraId="61775436" w14:textId="77777777" w:rsidR="004A0759" w:rsidRPr="004A0759" w:rsidRDefault="004A0759" w:rsidP="004A0759">
      <w:pPr>
        <w:suppressLineNumbers/>
        <w:jc w:val="center"/>
        <w:rPr>
          <w:rFonts w:ascii="Book Antiqua" w:hAnsi="Book Antiqua"/>
          <w:szCs w:val="24"/>
          <w:lang w:val="es-ES"/>
        </w:rPr>
      </w:pPr>
    </w:p>
    <w:p w14:paraId="7992B4DC" w14:textId="259BB4E4" w:rsidR="00E827F6" w:rsidRPr="004A0759" w:rsidRDefault="00E827F6" w:rsidP="004A0759">
      <w:pPr>
        <w:suppressLineNumbers/>
        <w:jc w:val="center"/>
        <w:rPr>
          <w:rFonts w:ascii="Book Antiqua" w:hAnsi="Book Antiqua"/>
          <w:szCs w:val="24"/>
          <w:lang w:val="es-ES"/>
        </w:rPr>
      </w:pPr>
      <w:r w:rsidRPr="004A0759">
        <w:rPr>
          <w:rFonts w:ascii="Book Antiqua" w:hAnsi="Book Antiqua"/>
          <w:szCs w:val="24"/>
          <w:lang w:val="es-ES"/>
        </w:rPr>
        <w:t xml:space="preserve">Presentada por el representante </w:t>
      </w:r>
      <w:r w:rsidRPr="004A0759">
        <w:rPr>
          <w:rFonts w:ascii="Book Antiqua" w:hAnsi="Book Antiqua"/>
          <w:i/>
          <w:szCs w:val="24"/>
          <w:lang w:val="es-ES"/>
        </w:rPr>
        <w:t xml:space="preserve">Nieves Rosario </w:t>
      </w:r>
    </w:p>
    <w:p w14:paraId="308D7118" w14:textId="77777777" w:rsidR="004A0759" w:rsidRPr="004A0759" w:rsidRDefault="004A0759" w:rsidP="004A0759">
      <w:pPr>
        <w:suppressLineNumbers/>
        <w:jc w:val="center"/>
        <w:rPr>
          <w:rFonts w:ascii="Book Antiqua" w:hAnsi="Book Antiqua"/>
          <w:szCs w:val="24"/>
          <w:lang w:val="es-ES"/>
        </w:rPr>
      </w:pPr>
    </w:p>
    <w:p w14:paraId="5CEFE610" w14:textId="66C0868C" w:rsidR="00E827F6" w:rsidRPr="004A0759" w:rsidRDefault="00E827F6" w:rsidP="004A0759">
      <w:pPr>
        <w:suppressLineNumbers/>
        <w:jc w:val="center"/>
        <w:rPr>
          <w:rFonts w:ascii="Book Antiqua" w:hAnsi="Book Antiqua"/>
          <w:szCs w:val="24"/>
          <w:lang w:val="es-ES"/>
        </w:rPr>
      </w:pPr>
      <w:r w:rsidRPr="004A0759">
        <w:rPr>
          <w:rFonts w:ascii="Book Antiqua" w:hAnsi="Book Antiqua"/>
          <w:szCs w:val="24"/>
          <w:lang w:val="es-ES"/>
        </w:rPr>
        <w:t xml:space="preserve">Referida a la Comisión de </w:t>
      </w:r>
      <w:r w:rsidR="004A0759" w:rsidRPr="004A0759">
        <w:rPr>
          <w:rFonts w:ascii="Book Antiqua" w:hAnsi="Book Antiqua"/>
          <w:szCs w:val="24"/>
          <w:lang w:val="es-ES"/>
        </w:rPr>
        <w:t xml:space="preserve">Asuntos Internos </w:t>
      </w:r>
    </w:p>
    <w:p w14:paraId="468238E1" w14:textId="77777777" w:rsidR="004A0759" w:rsidRPr="004A0759" w:rsidRDefault="004A0759" w:rsidP="004A0759">
      <w:pPr>
        <w:suppressLineNumbers/>
        <w:jc w:val="center"/>
        <w:rPr>
          <w:rFonts w:ascii="Book Antiqua" w:hAnsi="Book Antiqua"/>
          <w:b/>
          <w:szCs w:val="24"/>
          <w:lang w:val="es-ES"/>
        </w:rPr>
      </w:pPr>
    </w:p>
    <w:p w14:paraId="7A59D943" w14:textId="02F68613" w:rsidR="00E827F6" w:rsidRPr="004A0759" w:rsidRDefault="00E827F6" w:rsidP="004A0759">
      <w:pPr>
        <w:suppressLineNumbers/>
        <w:jc w:val="center"/>
        <w:rPr>
          <w:rFonts w:ascii="Book Antiqua" w:hAnsi="Book Antiqua"/>
          <w:b/>
          <w:sz w:val="28"/>
          <w:szCs w:val="28"/>
          <w:lang w:val="es-ES"/>
        </w:rPr>
      </w:pPr>
      <w:r w:rsidRPr="004A0759">
        <w:rPr>
          <w:rFonts w:ascii="Book Antiqua" w:hAnsi="Book Antiqua"/>
          <w:b/>
          <w:sz w:val="28"/>
          <w:szCs w:val="28"/>
          <w:lang w:val="es-ES"/>
        </w:rPr>
        <w:t>RESOLUCIÓN</w:t>
      </w:r>
    </w:p>
    <w:p w14:paraId="63F0DD4B" w14:textId="77777777" w:rsidR="00E827F6" w:rsidRPr="004A0759" w:rsidRDefault="00E827F6" w:rsidP="004A0759">
      <w:pPr>
        <w:suppressLineNumbers/>
        <w:jc w:val="both"/>
        <w:rPr>
          <w:rFonts w:ascii="Book Antiqua" w:hAnsi="Book Antiqua"/>
          <w:szCs w:val="24"/>
          <w:lang w:val="es-ES"/>
        </w:rPr>
      </w:pPr>
    </w:p>
    <w:p w14:paraId="6CBCAC6F" w14:textId="3B2CB9AE" w:rsidR="007525F6" w:rsidRPr="003A2B8B" w:rsidRDefault="00E578C6" w:rsidP="007525F6">
      <w:pPr>
        <w:suppressLineNumbers/>
        <w:ind w:left="567" w:hanging="567"/>
        <w:jc w:val="both"/>
        <w:rPr>
          <w:rFonts w:ascii="Book Antiqua" w:hAnsi="Book Antiqua"/>
          <w:lang w:val="es-ES"/>
        </w:rPr>
      </w:pPr>
      <w:r>
        <w:rPr>
          <w:rFonts w:ascii="Book Antiqua" w:hAnsi="Book Antiqua"/>
          <w:lang w:val="es-ES"/>
        </w:rPr>
        <w:t xml:space="preserve">Para ordenar a la Comisión de </w:t>
      </w:r>
      <w:r w:rsidR="009D090E">
        <w:rPr>
          <w:rFonts w:ascii="Book Antiqua" w:hAnsi="Book Antiqua"/>
          <w:lang w:val="es-ES"/>
        </w:rPr>
        <w:t xml:space="preserve">la Región Norte </w:t>
      </w:r>
      <w:r>
        <w:rPr>
          <w:rFonts w:ascii="Book Antiqua" w:hAnsi="Book Antiqua"/>
          <w:lang w:val="es-ES"/>
        </w:rPr>
        <w:t>de la Cámara de Representantes del Gobierno de Puerto Rico, realizar una investigación exhaustiva sobre el estado, la condición y el funcionamiento del sistema de alumbrado público de la carretera estatal PR-2 en el tramo comprendido entre los municipios de Manatí y Barceloneta; evaluar las causas de las deficiencias y apagones, las responsabilidades y los planes de mantenimiento, reparación y reposición de las luminarias por parte del Departamento de Transportación y Obras Públicas (DTOP), la Autoridad de Carreteras y Transportación (ACT) y la entidad a cargo del servicio de energía eléctrica; identificar los fondos disponibles y las medidas necesarias para garantizar la seguridad de conductores y peatones en dicho tramo; y para otros fines relacionados.</w:t>
      </w:r>
    </w:p>
    <w:p w14:paraId="045E0FED" w14:textId="77777777" w:rsidR="00705B95" w:rsidRPr="003A2B8B" w:rsidRDefault="00705B95" w:rsidP="00AB727F">
      <w:pPr>
        <w:suppressLineNumbers/>
        <w:ind w:left="360" w:hanging="360"/>
        <w:jc w:val="center"/>
        <w:rPr>
          <w:rFonts w:ascii="Book Antiqua" w:hAnsi="Book Antiqua"/>
          <w:lang w:val="es-ES"/>
        </w:rPr>
      </w:pPr>
    </w:p>
    <w:p w14:paraId="3675272A" w14:textId="69873DE3" w:rsidR="00E827F6" w:rsidRPr="003A2B8B" w:rsidRDefault="00E827F6" w:rsidP="00AB727F">
      <w:pPr>
        <w:suppressLineNumbers/>
        <w:ind w:left="360" w:hanging="360"/>
        <w:jc w:val="center"/>
        <w:rPr>
          <w:rFonts w:ascii="Book Antiqua" w:hAnsi="Book Antiqua"/>
          <w:lang w:val="es-ES"/>
        </w:rPr>
      </w:pPr>
      <w:r>
        <w:rPr>
          <w:rFonts w:ascii="Book Antiqua" w:hAnsi="Book Antiqua"/>
          <w:lang w:val="es-ES"/>
        </w:rPr>
        <w:t>EXPOSICIÓN DE MOTIVOS</w:t>
      </w:r>
    </w:p>
    <w:p w14:paraId="1C94F91A" w14:textId="77777777" w:rsidR="00E827F6" w:rsidRPr="003A2B8B" w:rsidRDefault="00E827F6" w:rsidP="00AB727F">
      <w:pPr>
        <w:suppressLineNumbers/>
        <w:ind w:firstLine="720"/>
        <w:jc w:val="both"/>
        <w:rPr>
          <w:rFonts w:ascii="Book Antiqua" w:hAnsi="Book Antiqua"/>
          <w:bCs/>
          <w:lang w:val="es-ES"/>
        </w:rPr>
      </w:pPr>
    </w:p>
    <w:p w14:paraId="56059976" w14:textId="77777777" w:rsidR="00705B95" w:rsidRPr="00705B95" w:rsidRDefault="00705B95" w:rsidP="00705B95">
      <w:pPr>
        <w:suppressLineNumbers/>
        <w:ind w:firstLine="567"/>
        <w:jc w:val="both"/>
        <w:rPr>
          <w:rFonts w:ascii="Book Antiqua" w:hAnsi="Book Antiqua"/>
          <w:bCs/>
          <w:lang w:val="es-ES"/>
        </w:rPr>
      </w:pPr>
      <w:r>
        <w:rPr>
          <w:rFonts w:ascii="Book Antiqua" w:hAnsi="Book Antiqua"/>
          <w:bCs/>
          <w:lang w:val="es-ES"/>
        </w:rPr>
        <w:t>El alumbrado público de nuestras vías de rodaje es un componente esencial de la seguridad vial. Una carretera adecuadamente iluminada reduce significativamente el riesgo de accidentes durante las horas de la noche, protege la vida de conductores, ciclistas y peatones, y disuade la comisión de actos delictivos. Según la Comisión Internacional de Iluminación (CIE), en los tramos de carretera no iluminados la cantidad de víctimas mortales por accidentes de tránsito durante la noche puede triplicarse en comparación con los tramos provistos de alumbrado. Garantizar vías iluminadas y seguras es, por tanto, un deber ineludible del Estado.</w:t>
      </w:r>
    </w:p>
    <w:p w14:paraId="4B61F149" w14:textId="77777777" w:rsidR="00705B95" w:rsidRPr="003A2B8B" w:rsidRDefault="00705B95" w:rsidP="00705B95">
      <w:pPr>
        <w:suppressLineNumbers/>
        <w:ind w:firstLine="567"/>
        <w:jc w:val="both"/>
        <w:rPr>
          <w:rFonts w:ascii="Book Antiqua" w:hAnsi="Book Antiqua"/>
          <w:bCs/>
          <w:lang w:val="es-ES"/>
        </w:rPr>
      </w:pPr>
    </w:p>
    <w:p w14:paraId="2FDD1F81" w14:textId="3E1BCBB0" w:rsidR="00705B95" w:rsidRPr="00705B95" w:rsidRDefault="00705B95" w:rsidP="00705B95">
      <w:pPr>
        <w:suppressLineNumbers/>
        <w:ind w:firstLine="567"/>
        <w:jc w:val="both"/>
        <w:rPr>
          <w:rFonts w:ascii="Book Antiqua" w:hAnsi="Book Antiqua"/>
          <w:bCs/>
          <w:lang w:val="es-ES"/>
        </w:rPr>
      </w:pPr>
      <w:r>
        <w:rPr>
          <w:rFonts w:ascii="Book Antiqua" w:hAnsi="Book Antiqua"/>
          <w:bCs/>
          <w:lang w:val="es-ES"/>
        </w:rPr>
        <w:lastRenderedPageBreak/>
        <w:t>La carretera estatal PR-2 es una de las arterias de mayor tránsito de Puerto Rico y la principal vía de comunicación de la región norte. No obstante, el tramo que conecta los municipios de Manatí y Barceloneta padece de un alumbrado deficiente e intermitente, con numerosas luminarias apagadas o averiadas que sumen amplios segmentos de la vía en la oscuridad. La responsabilidad sobre el diseño, la instalación y el mantenimiento del alumbrado de esta vía estatal recae en el Departamento de Transportación y Obras Públicas (DTOP) y en la Autoridad de Carreteras y Transportación (ACT), en coordinación con la entidad a cargo del servicio de energía eléctrica.</w:t>
      </w:r>
    </w:p>
    <w:p w14:paraId="46636F0E" w14:textId="77777777" w:rsidR="00705B95" w:rsidRPr="003A2B8B" w:rsidRDefault="00705B95" w:rsidP="00705B95">
      <w:pPr>
        <w:suppressLineNumbers/>
        <w:ind w:firstLine="567"/>
        <w:jc w:val="both"/>
        <w:rPr>
          <w:rFonts w:ascii="Book Antiqua" w:hAnsi="Book Antiqua"/>
          <w:bCs/>
          <w:lang w:val="es-ES"/>
        </w:rPr>
      </w:pPr>
    </w:p>
    <w:p w14:paraId="510E7752" w14:textId="077248E7" w:rsidR="00705B95" w:rsidRPr="00705B95" w:rsidRDefault="00705B95" w:rsidP="00705B95">
      <w:pPr>
        <w:suppressLineNumbers/>
        <w:ind w:firstLine="567"/>
        <w:jc w:val="both"/>
        <w:rPr>
          <w:rFonts w:ascii="Book Antiqua" w:hAnsi="Book Antiqua"/>
          <w:bCs/>
          <w:lang w:val="es-ES"/>
        </w:rPr>
      </w:pPr>
      <w:r>
        <w:rPr>
          <w:rFonts w:ascii="Book Antiqua" w:hAnsi="Book Antiqua"/>
          <w:bCs/>
          <w:lang w:val="es-ES"/>
        </w:rPr>
        <w:t>Las consecuencias de esta situación han sido fatales. El 26 de octubre de 2025, el señor Ángel Ríos Rivera perdió la vida al ser arrollado por un vehículo mientras intentaba cruzar la PR-2 a la altura del kilómetro 57.6, en Barceloneta, en un área de poco alumbrado que no está designada como paso peatonal. De igual forma, se ha reportado la muerte de otro peatón arrollado en el kilómetro 51.9 de la PR-2, en Manatí, en un área que igualmente carece de alumbrado. Estos trágicos sucesos, ocurridos en un mismo corredor carente de iluminación adecuada, evidencian que la falta de alumbrado en la PR-2 entre Manatí y Barceloneta constituye un peligro real e inminente para la vida y la seguridad de nuestra ciudadanía.</w:t>
      </w:r>
    </w:p>
    <w:p w14:paraId="3E624EA5" w14:textId="77777777" w:rsidR="004B1B50" w:rsidRDefault="004B1B50" w:rsidP="00705B95">
      <w:pPr>
        <w:suppressLineNumbers/>
        <w:ind w:firstLine="567"/>
        <w:jc w:val="both"/>
        <w:rPr>
          <w:rFonts w:ascii="Book Antiqua" w:hAnsi="Book Antiqua"/>
          <w:bCs/>
          <w:lang w:val="es-ES"/>
        </w:rPr>
      </w:pPr>
    </w:p>
    <w:p w14:paraId="33046E5D" w14:textId="52FC9162" w:rsidR="00705B95" w:rsidRDefault="00705B95" w:rsidP="00705B95">
      <w:pPr>
        <w:suppressLineNumbers/>
        <w:ind w:firstLine="567"/>
        <w:jc w:val="both"/>
        <w:rPr>
          <w:rFonts w:ascii="Book Antiqua" w:hAnsi="Book Antiqua"/>
          <w:bCs/>
          <w:lang w:val="es-ES"/>
        </w:rPr>
      </w:pPr>
      <w:r>
        <w:rPr>
          <w:rFonts w:ascii="Book Antiqua" w:hAnsi="Book Antiqua"/>
          <w:bCs/>
          <w:lang w:val="es-ES"/>
        </w:rPr>
        <w:t>La oscuridad en las carreteras de Puerto Rico ha dejado de ser una secuela temporal de los fenómenos atmosféricos para convertirse en una problemática cotidiana que compromete la seguridad de todos. Ante este cuadro, esta Cámara de Representantes tiene el deber ministerial de fiscalizar el estado del alumbrado de la PR-2 entre Manatí y Barceloneta, identificar las causas de su deterioro, determinar las responsabilidades y los fondos disponibles, y formular las recomendaciones de política pública necesarias para que las agencias concernidas restablezcan y mantengan un alumbrado seguro y permanente en beneficio de los residentes de la región norte.</w:t>
      </w:r>
    </w:p>
    <w:p w14:paraId="1C02FB10" w14:textId="77777777" w:rsidR="004A0759" w:rsidRPr="00705B95" w:rsidRDefault="004A0759" w:rsidP="00705B95">
      <w:pPr>
        <w:suppressLineNumbers/>
        <w:ind w:firstLine="567"/>
        <w:jc w:val="both"/>
        <w:rPr>
          <w:rFonts w:ascii="Book Antiqua" w:hAnsi="Book Antiqua"/>
          <w:bCs/>
          <w:lang w:val="es-ES"/>
        </w:rPr>
      </w:pPr>
    </w:p>
    <w:p w14:paraId="023E603C" w14:textId="2BEEA5AE" w:rsidR="00E827F6" w:rsidRPr="003A2B8B" w:rsidRDefault="00E827F6" w:rsidP="004A0759">
      <w:pPr>
        <w:suppressLineNumbers/>
        <w:jc w:val="both"/>
        <w:rPr>
          <w:rFonts w:ascii="Book Antiqua" w:hAnsi="Book Antiqua"/>
          <w:lang w:val="es-ES"/>
        </w:rPr>
      </w:pPr>
      <w:r>
        <w:rPr>
          <w:rFonts w:ascii="Book Antiqua" w:hAnsi="Book Antiqua"/>
          <w:i/>
          <w:lang w:val="es-ES"/>
        </w:rPr>
        <w:t xml:space="preserve">RESUÉLVESE POR LA CÁMARA DE REPRESENTANTES DE PUERTO RICO: </w:t>
      </w:r>
    </w:p>
    <w:p w14:paraId="4A8B633F" w14:textId="77777777" w:rsidR="00E827F6" w:rsidRPr="003A2B8B" w:rsidRDefault="00E827F6" w:rsidP="00AB727F">
      <w:pPr>
        <w:suppressLineNumbers/>
        <w:jc w:val="both"/>
        <w:rPr>
          <w:rFonts w:ascii="Book Antiqua" w:hAnsi="Book Antiqua"/>
          <w:lang w:val="es-ES"/>
        </w:rPr>
      </w:pPr>
    </w:p>
    <w:p w14:paraId="2DFE8A75" w14:textId="77777777" w:rsidR="001C7E59" w:rsidRPr="003A2B8B" w:rsidRDefault="001C7E59" w:rsidP="00AB727F">
      <w:pPr>
        <w:suppressLineNumbers/>
        <w:jc w:val="both"/>
        <w:rPr>
          <w:rFonts w:ascii="Book Antiqua" w:hAnsi="Book Antiqua"/>
          <w:lang w:val="es-ES"/>
        </w:rPr>
        <w:sectPr w:rsidR="001C7E59" w:rsidRPr="003A2B8B" w:rsidSect="00A66E5B">
          <w:headerReference w:type="default" r:id="rId7"/>
          <w:pgSz w:w="12240" w:h="15840" w:code="1"/>
          <w:pgMar w:top="1440" w:right="1440" w:bottom="1440" w:left="1440" w:header="720" w:footer="720" w:gutter="0"/>
          <w:cols w:space="720"/>
          <w:titlePg/>
        </w:sectPr>
      </w:pPr>
    </w:p>
    <w:p w14:paraId="45FF24B1" w14:textId="25D4263E" w:rsidR="003A2B8B" w:rsidRPr="003A2B8B" w:rsidRDefault="003A2B8B" w:rsidP="003A2B8B">
      <w:pPr>
        <w:spacing w:line="480" w:lineRule="auto"/>
        <w:ind w:firstLine="567"/>
        <w:jc w:val="both"/>
        <w:rPr>
          <w:rFonts w:ascii="Book Antiqua" w:hAnsi="Book Antiqua"/>
          <w:lang w:val="es-ES"/>
        </w:rPr>
      </w:pPr>
      <w:r>
        <w:rPr>
          <w:rFonts w:ascii="Book Antiqua" w:hAnsi="Book Antiqua"/>
          <w:lang w:val="es-ES"/>
        </w:rPr>
        <w:t>Sección 1.- Se ordena a la Comisión de</w:t>
      </w:r>
      <w:r w:rsidR="009D090E">
        <w:rPr>
          <w:rFonts w:ascii="Book Antiqua" w:hAnsi="Book Antiqua"/>
          <w:lang w:val="es-ES"/>
        </w:rPr>
        <w:t xml:space="preserve"> la Región Norte</w:t>
      </w:r>
      <w:r>
        <w:rPr>
          <w:rFonts w:ascii="Book Antiqua" w:hAnsi="Book Antiqua"/>
          <w:lang w:val="es-ES"/>
        </w:rPr>
        <w:t xml:space="preserve"> de la Cámara de Representantes de Puerto Rico, realizar una investigación exhaustiva sobre el estado, la condición y el funcionamiento del sistema de alumbrado público de la carretera estatal PR-2 en el tramo comprendido entre los municipios de Manatí y Barceloneta.</w:t>
      </w:r>
    </w:p>
    <w:p w14:paraId="682F6E12" w14:textId="330AF97D" w:rsidR="003A2B8B" w:rsidRPr="003A2B8B" w:rsidRDefault="003A2B8B" w:rsidP="003A2B8B">
      <w:pPr>
        <w:spacing w:line="480" w:lineRule="auto"/>
        <w:ind w:firstLine="567"/>
        <w:jc w:val="both"/>
        <w:rPr>
          <w:rFonts w:ascii="Book Antiqua" w:hAnsi="Book Antiqua"/>
          <w:lang w:val="es-ES"/>
        </w:rPr>
      </w:pPr>
      <w:r>
        <w:rPr>
          <w:rFonts w:ascii="Book Antiqua" w:hAnsi="Book Antiqua"/>
          <w:lang w:val="es-ES"/>
        </w:rPr>
        <w:t>Sección 2.- La Comisión</w:t>
      </w:r>
      <w:r w:rsidR="009D090E">
        <w:rPr>
          <w:rFonts w:ascii="Book Antiqua" w:hAnsi="Book Antiqua"/>
          <w:lang w:val="es-ES"/>
        </w:rPr>
        <w:t xml:space="preserve"> podrá requerir</w:t>
      </w:r>
      <w:r>
        <w:rPr>
          <w:rFonts w:ascii="Book Antiqua" w:hAnsi="Book Antiqua"/>
          <w:lang w:val="es-ES"/>
        </w:rPr>
        <w:t xml:space="preserve"> un inventario del sistema de alumbrado de dicho tramo de la PR-2, que incluya la cantidad y ubicación de las luminarias existentes, </w:t>
      </w:r>
      <w:r>
        <w:rPr>
          <w:rFonts w:ascii="Book Antiqua" w:hAnsi="Book Antiqua"/>
          <w:lang w:val="es-ES"/>
        </w:rPr>
        <w:lastRenderedPageBreak/>
        <w:t>las que se encuentran apagadas, averiadas o ausentes, los puntos de mayor riesgo para conductores y peatones, y las áreas sin iluminación que han sido escenario de accidentes.</w:t>
      </w:r>
    </w:p>
    <w:p w14:paraId="7E9E8539" w14:textId="77777777" w:rsidR="003A2B8B" w:rsidRPr="003A2B8B" w:rsidRDefault="003A2B8B" w:rsidP="003A2B8B">
      <w:pPr>
        <w:spacing w:line="480" w:lineRule="auto"/>
        <w:ind w:firstLine="567"/>
        <w:jc w:val="both"/>
        <w:rPr>
          <w:rFonts w:ascii="Book Antiqua" w:hAnsi="Book Antiqua"/>
          <w:lang w:val="es-ES"/>
        </w:rPr>
      </w:pPr>
      <w:r>
        <w:rPr>
          <w:rFonts w:ascii="Book Antiqua" w:hAnsi="Book Antiqua"/>
          <w:lang w:val="es-ES"/>
        </w:rPr>
        <w:t>Sección 3.- La Comisión investigará las responsabilidades, los planes operacionales y de mantenimiento y los fondos asignados, desembolsados y pendientes del Departamento de Transportación y Obras Públicas (DTOP), de la Autoridad de Carreteras y Transportación (ACT) y de la entidad a cargo del servicio de energía eléctrica, respecto a la reparación, reposición y conservación del alumbrado en el referido tramo, así como el rol y los acuerdos de los municipios de Manatí y Barceloneta.</w:t>
      </w:r>
    </w:p>
    <w:p w14:paraId="2269CFFF" w14:textId="77777777" w:rsidR="003A2B8B" w:rsidRPr="003A2B8B" w:rsidRDefault="003A2B8B" w:rsidP="003A2B8B">
      <w:pPr>
        <w:spacing w:line="480" w:lineRule="auto"/>
        <w:ind w:firstLine="567"/>
        <w:jc w:val="both"/>
        <w:rPr>
          <w:rFonts w:ascii="Book Antiqua" w:hAnsi="Book Antiqua"/>
          <w:lang w:val="es-ES"/>
        </w:rPr>
      </w:pPr>
      <w:r>
        <w:rPr>
          <w:rFonts w:ascii="Book Antiqua" w:hAnsi="Book Antiqua"/>
          <w:lang w:val="es-ES"/>
        </w:rPr>
        <w:t>Sección 4.- La Comisión realizará aquellas vistas públicas e inspecciones oculares que sean necesarias; y citará a los funcionarios del Departamento de Transportación y Obras Públicas, de la Autoridad de Carreteras y Transportación y de la entidad a cargo del servicio de energía eléctrica, a los alcaldes de Manatí y Barceloneta, así como a la Policía de Puerto Rico y a líderes comunitarios, para rendir cuentas sobre el estado del alumbrado y los planes de acción correspondientes.</w:t>
      </w:r>
    </w:p>
    <w:p w14:paraId="505D3FE1" w14:textId="18C25C5D" w:rsidR="003A2B8B" w:rsidRPr="003A2B8B" w:rsidRDefault="003A2B8B" w:rsidP="003A2B8B">
      <w:pPr>
        <w:spacing w:line="480" w:lineRule="auto"/>
        <w:ind w:firstLine="567"/>
        <w:jc w:val="both"/>
        <w:rPr>
          <w:rFonts w:ascii="Book Antiqua" w:hAnsi="Book Antiqua"/>
          <w:lang w:val="es-ES"/>
        </w:rPr>
      </w:pPr>
      <w:r>
        <w:rPr>
          <w:rFonts w:ascii="Book Antiqua" w:hAnsi="Book Antiqua"/>
          <w:lang w:val="es-ES"/>
        </w:rPr>
        <w:t xml:space="preserve">Sección 5.- La Comisión rendirá un informe final con sus hallazgos, conclusiones y recomendaciones, dentro del término de ciento </w:t>
      </w:r>
      <w:r w:rsidR="00CD05BC">
        <w:rPr>
          <w:rFonts w:ascii="Book Antiqua" w:hAnsi="Book Antiqua"/>
          <w:lang w:val="es-ES"/>
        </w:rPr>
        <w:t>ochenta</w:t>
      </w:r>
      <w:r>
        <w:rPr>
          <w:rFonts w:ascii="Book Antiqua" w:hAnsi="Book Antiqua"/>
          <w:lang w:val="es-ES"/>
        </w:rPr>
        <w:t xml:space="preserve"> (1</w:t>
      </w:r>
      <w:r w:rsidR="00CD05BC">
        <w:rPr>
          <w:rFonts w:ascii="Book Antiqua" w:hAnsi="Book Antiqua"/>
          <w:lang w:val="es-ES"/>
        </w:rPr>
        <w:t>8</w:t>
      </w:r>
      <w:r>
        <w:rPr>
          <w:rFonts w:ascii="Book Antiqua" w:hAnsi="Book Antiqua"/>
          <w:lang w:val="es-ES"/>
        </w:rPr>
        <w:t>0) días, contados a partir de la aprobación de esta Resolución.</w:t>
      </w:r>
    </w:p>
    <w:p w14:paraId="0D63ABDE" w14:textId="003FE4B7" w:rsidR="00AB1BCF" w:rsidRPr="003A2B8B" w:rsidRDefault="003A2B8B" w:rsidP="00235718">
      <w:pPr>
        <w:spacing w:line="480" w:lineRule="auto"/>
        <w:ind w:firstLine="567"/>
        <w:jc w:val="both"/>
        <w:rPr>
          <w:rFonts w:ascii="Book Antiqua" w:hAnsi="Book Antiqua"/>
          <w:lang w:val="es-ES"/>
        </w:rPr>
      </w:pPr>
      <w:r>
        <w:rPr>
          <w:rFonts w:ascii="Book Antiqua" w:hAnsi="Book Antiqua"/>
          <w:lang w:val="es-ES"/>
        </w:rPr>
        <w:t>Sección 6.- Esta Resolución entrará en vigor inmediatamente después de su aprobación.</w:t>
      </w:r>
    </w:p>
    <w:sectPr w:rsidR="00AB1BCF" w:rsidRPr="003A2B8B" w:rsidSect="001305D5">
      <w:headerReference w:type="even" r:id="rId8"/>
      <w:headerReference w:type="default" r:id="rId9"/>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E5B71" w14:textId="77777777" w:rsidR="00D21926" w:rsidRDefault="00D21926">
      <w:r>
        <w:separator/>
      </w:r>
    </w:p>
  </w:endnote>
  <w:endnote w:type="continuationSeparator" w:id="0">
    <w:p w14:paraId="049A4A50" w14:textId="77777777" w:rsidR="00D21926" w:rsidRDefault="00D21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FEA62" w14:textId="77777777" w:rsidR="00D21926" w:rsidRDefault="00D21926">
      <w:r>
        <w:separator/>
      </w:r>
    </w:p>
  </w:footnote>
  <w:footnote w:type="continuationSeparator" w:id="0">
    <w:p w14:paraId="15BB523C" w14:textId="77777777" w:rsidR="00D21926" w:rsidRDefault="00D219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080B3" w14:textId="77777777" w:rsidR="00B815AA" w:rsidRDefault="00E56308">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AF02D" w14:textId="77777777" w:rsidR="00B815AA" w:rsidRDefault="00E5630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w:t>
    </w:r>
    <w:r>
      <w:rPr>
        <w:rStyle w:val="Nmerodepgina"/>
      </w:rPr>
      <w:fldChar w:fldCharType="end"/>
    </w:r>
  </w:p>
  <w:p w14:paraId="19FCE051" w14:textId="77777777" w:rsidR="00B815AA" w:rsidRDefault="00B815A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D3B39" w14:textId="77777777" w:rsidR="00B815AA" w:rsidRDefault="00E5630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6</w:t>
    </w:r>
    <w:r>
      <w:rPr>
        <w:rStyle w:val="Nmerodepgina"/>
      </w:rPr>
      <w:fldChar w:fldCharType="end"/>
    </w:r>
  </w:p>
  <w:p w14:paraId="2855EFB9" w14:textId="77777777" w:rsidR="00B815AA" w:rsidRDefault="00B815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DB083F"/>
    <w:multiLevelType w:val="multilevel"/>
    <w:tmpl w:val="10B6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66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F6"/>
    <w:rsid w:val="00091379"/>
    <w:rsid w:val="000A39CC"/>
    <w:rsid w:val="000A5340"/>
    <w:rsid w:val="000B3301"/>
    <w:rsid w:val="000E0602"/>
    <w:rsid w:val="00136111"/>
    <w:rsid w:val="00164D9F"/>
    <w:rsid w:val="00170857"/>
    <w:rsid w:val="00174DFD"/>
    <w:rsid w:val="00180FFE"/>
    <w:rsid w:val="001821E6"/>
    <w:rsid w:val="001A7154"/>
    <w:rsid w:val="001C7E59"/>
    <w:rsid w:val="001D56A3"/>
    <w:rsid w:val="001F6943"/>
    <w:rsid w:val="00204908"/>
    <w:rsid w:val="002123E5"/>
    <w:rsid w:val="00223B6B"/>
    <w:rsid w:val="00226770"/>
    <w:rsid w:val="00230820"/>
    <w:rsid w:val="00235718"/>
    <w:rsid w:val="0028607F"/>
    <w:rsid w:val="00286FC3"/>
    <w:rsid w:val="002E3783"/>
    <w:rsid w:val="002F394D"/>
    <w:rsid w:val="0030399F"/>
    <w:rsid w:val="003071FD"/>
    <w:rsid w:val="003278AF"/>
    <w:rsid w:val="00362A71"/>
    <w:rsid w:val="003A2B8B"/>
    <w:rsid w:val="003A2F43"/>
    <w:rsid w:val="003D1950"/>
    <w:rsid w:val="003E0DD9"/>
    <w:rsid w:val="0042082A"/>
    <w:rsid w:val="00423A10"/>
    <w:rsid w:val="004536B4"/>
    <w:rsid w:val="00486936"/>
    <w:rsid w:val="00487314"/>
    <w:rsid w:val="004A0759"/>
    <w:rsid w:val="004B1B50"/>
    <w:rsid w:val="004C1B66"/>
    <w:rsid w:val="004C28AB"/>
    <w:rsid w:val="004E18F7"/>
    <w:rsid w:val="004E6E11"/>
    <w:rsid w:val="004F5359"/>
    <w:rsid w:val="00522FD5"/>
    <w:rsid w:val="00541800"/>
    <w:rsid w:val="0057150E"/>
    <w:rsid w:val="005A652C"/>
    <w:rsid w:val="005C179B"/>
    <w:rsid w:val="005C3FB8"/>
    <w:rsid w:val="005C6F82"/>
    <w:rsid w:val="00613C54"/>
    <w:rsid w:val="00616A3A"/>
    <w:rsid w:val="00653164"/>
    <w:rsid w:val="00694452"/>
    <w:rsid w:val="00696BCE"/>
    <w:rsid w:val="006A1550"/>
    <w:rsid w:val="006C4EB8"/>
    <w:rsid w:val="006D14AC"/>
    <w:rsid w:val="006D4E06"/>
    <w:rsid w:val="00705B95"/>
    <w:rsid w:val="00725BF3"/>
    <w:rsid w:val="00731A6B"/>
    <w:rsid w:val="00736CF7"/>
    <w:rsid w:val="00740A5D"/>
    <w:rsid w:val="00747247"/>
    <w:rsid w:val="007525F6"/>
    <w:rsid w:val="00771EFB"/>
    <w:rsid w:val="00784166"/>
    <w:rsid w:val="0079291F"/>
    <w:rsid w:val="007A3DD3"/>
    <w:rsid w:val="00804038"/>
    <w:rsid w:val="00824586"/>
    <w:rsid w:val="0083174E"/>
    <w:rsid w:val="00831A6A"/>
    <w:rsid w:val="00853B32"/>
    <w:rsid w:val="008673EB"/>
    <w:rsid w:val="0088170D"/>
    <w:rsid w:val="008B028B"/>
    <w:rsid w:val="00911984"/>
    <w:rsid w:val="009466D1"/>
    <w:rsid w:val="00965662"/>
    <w:rsid w:val="009A0450"/>
    <w:rsid w:val="009B0603"/>
    <w:rsid w:val="009B44DE"/>
    <w:rsid w:val="009D090E"/>
    <w:rsid w:val="009D357D"/>
    <w:rsid w:val="00A05959"/>
    <w:rsid w:val="00A16F32"/>
    <w:rsid w:val="00A405F6"/>
    <w:rsid w:val="00A452ED"/>
    <w:rsid w:val="00A65F3D"/>
    <w:rsid w:val="00AA14A5"/>
    <w:rsid w:val="00AB1BCF"/>
    <w:rsid w:val="00AB2D76"/>
    <w:rsid w:val="00AB727F"/>
    <w:rsid w:val="00AF3C1E"/>
    <w:rsid w:val="00B2111C"/>
    <w:rsid w:val="00B54094"/>
    <w:rsid w:val="00B54B73"/>
    <w:rsid w:val="00B815AA"/>
    <w:rsid w:val="00BE10B9"/>
    <w:rsid w:val="00BE3D16"/>
    <w:rsid w:val="00C06C1E"/>
    <w:rsid w:val="00C4189A"/>
    <w:rsid w:val="00C43788"/>
    <w:rsid w:val="00C54E20"/>
    <w:rsid w:val="00C649B1"/>
    <w:rsid w:val="00C944B3"/>
    <w:rsid w:val="00CA1FC0"/>
    <w:rsid w:val="00CD05BC"/>
    <w:rsid w:val="00CF6A88"/>
    <w:rsid w:val="00D0495F"/>
    <w:rsid w:val="00D113FC"/>
    <w:rsid w:val="00D21926"/>
    <w:rsid w:val="00D429E5"/>
    <w:rsid w:val="00D65C84"/>
    <w:rsid w:val="00D72FD8"/>
    <w:rsid w:val="00D7412C"/>
    <w:rsid w:val="00DD0D1C"/>
    <w:rsid w:val="00E2117F"/>
    <w:rsid w:val="00E42E4C"/>
    <w:rsid w:val="00E52704"/>
    <w:rsid w:val="00E56308"/>
    <w:rsid w:val="00E578C6"/>
    <w:rsid w:val="00E666B6"/>
    <w:rsid w:val="00E827F6"/>
    <w:rsid w:val="00EC3734"/>
    <w:rsid w:val="00F2040E"/>
    <w:rsid w:val="00F33AA4"/>
    <w:rsid w:val="00F4493B"/>
    <w:rsid w:val="00F76ED8"/>
    <w:rsid w:val="00F848A5"/>
    <w:rsid w:val="00FB0523"/>
    <w:rsid w:val="00FC7440"/>
    <w:rsid w:val="00FD5AFB"/>
    <w:rsid w:val="00FF0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4A76"/>
  <w15:chartTrackingRefBased/>
  <w15:docId w15:val="{370306EC-D94F-4C0E-9D3A-123FFEF37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7F6"/>
    <w:pPr>
      <w:spacing w:after="0" w:line="240" w:lineRule="auto"/>
    </w:pPr>
    <w:rPr>
      <w:rFonts w:ascii="Times New Roman" w:eastAsia="Times New Roman" w:hAnsi="Times New Roman" w:cs="Times New Roman"/>
      <w:sz w:val="24"/>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827F6"/>
    <w:pPr>
      <w:tabs>
        <w:tab w:val="center" w:pos="4320"/>
        <w:tab w:val="right" w:pos="8640"/>
      </w:tabs>
    </w:pPr>
    <w:rPr>
      <w:szCs w:val="24"/>
    </w:rPr>
  </w:style>
  <w:style w:type="character" w:customStyle="1" w:styleId="EncabezadoCar">
    <w:name w:val="Encabezado Car"/>
    <w:basedOn w:val="Fuentedeprrafopredeter"/>
    <w:link w:val="Encabezado"/>
    <w:rsid w:val="00E827F6"/>
    <w:rPr>
      <w:rFonts w:ascii="Times New Roman" w:eastAsia="Times New Roman" w:hAnsi="Times New Roman" w:cs="Times New Roman"/>
      <w:sz w:val="24"/>
      <w:szCs w:val="24"/>
    </w:rPr>
  </w:style>
  <w:style w:type="character" w:styleId="Nmerodepgina">
    <w:name w:val="page number"/>
    <w:basedOn w:val="Fuentedeprrafopredeter"/>
    <w:rsid w:val="00E827F6"/>
  </w:style>
  <w:style w:type="paragraph" w:customStyle="1" w:styleId="Title2">
    <w:name w:val="Title2"/>
    <w:basedOn w:val="Normal"/>
    <w:next w:val="Normal"/>
    <w:rsid w:val="00E827F6"/>
    <w:pPr>
      <w:tabs>
        <w:tab w:val="left" w:pos="648"/>
        <w:tab w:val="right" w:pos="7776"/>
        <w:tab w:val="left" w:pos="7848"/>
      </w:tabs>
    </w:pPr>
  </w:style>
  <w:style w:type="paragraph" w:customStyle="1" w:styleId="Default">
    <w:name w:val="Default"/>
    <w:rsid w:val="00E827F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E827F6"/>
    <w:pPr>
      <w:spacing w:before="100" w:beforeAutospacing="1" w:after="100" w:afterAutospacing="1"/>
    </w:pPr>
    <w:rPr>
      <w:szCs w:val="24"/>
    </w:rPr>
  </w:style>
  <w:style w:type="character" w:styleId="Nmerodelnea">
    <w:name w:val="line number"/>
    <w:basedOn w:val="Fuentedeprrafopredeter"/>
    <w:uiPriority w:val="99"/>
    <w:semiHidden/>
    <w:unhideWhenUsed/>
    <w:rsid w:val="00E827F6"/>
  </w:style>
  <w:style w:type="character" w:customStyle="1" w:styleId="grame">
    <w:name w:val="grame"/>
    <w:basedOn w:val="Fuentedeprrafopredeter"/>
    <w:rsid w:val="00164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5056</Characters>
  <Application>Microsoft Office Word</Application>
  <DocSecurity>0</DocSecurity>
  <Lines>42</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dc:creator>
  <cp:keywords/>
  <dc:description/>
  <cp:lastModifiedBy>Rocío Alayón Morell</cp:lastModifiedBy>
  <cp:revision>3</cp:revision>
  <cp:lastPrinted>2026-06-15T12:56:00Z</cp:lastPrinted>
  <dcterms:created xsi:type="dcterms:W3CDTF">2026-06-11T19:25:00Z</dcterms:created>
  <dcterms:modified xsi:type="dcterms:W3CDTF">2026-06-15T12:56:00Z</dcterms:modified>
</cp:coreProperties>
</file>