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FE69F" w14:textId="704AFEF7" w:rsidR="002D2659" w:rsidRPr="00F234CF" w:rsidRDefault="002D2659" w:rsidP="002D2659">
      <w:pPr>
        <w:suppressLineNumbers/>
        <w:tabs>
          <w:tab w:val="center" w:pos="4680"/>
        </w:tabs>
        <w:spacing w:after="0" w:line="480" w:lineRule="auto"/>
        <w:jc w:val="center"/>
        <w:rPr>
          <w:rFonts w:ascii="Book Antiqua" w:eastAsia="Times New Roman" w:hAnsi="Book Antiqua" w:cs="Times New Roman"/>
          <w:kern w:val="0"/>
          <w:sz w:val="28"/>
          <w:szCs w:val="28"/>
          <w:lang w:val="es-PR"/>
          <w14:ligatures w14:val="none"/>
        </w:rPr>
      </w:pPr>
      <w:r w:rsidRPr="00F234CF">
        <w:rPr>
          <w:rFonts w:ascii="Book Antiqua" w:eastAsia="Times New Roman" w:hAnsi="Book Antiqua" w:cs="Times New Roman"/>
          <w:kern w:val="0"/>
          <w:sz w:val="28"/>
          <w:szCs w:val="28"/>
          <w:lang w:val="es-PR"/>
          <w14:ligatures w14:val="none"/>
        </w:rPr>
        <w:t>GOBIERNO DE PUERTO RICO</w:t>
      </w:r>
    </w:p>
    <w:p w14:paraId="5E2F15AF" w14:textId="34115DA6" w:rsidR="002D2659" w:rsidRPr="00481104" w:rsidRDefault="00415075" w:rsidP="002D2659">
      <w:pPr>
        <w:suppressLineNumbers/>
        <w:spacing w:after="0" w:line="240" w:lineRule="auto"/>
        <w:jc w:val="both"/>
        <w:rPr>
          <w:rFonts w:ascii="Book Antiqua" w:eastAsia="Times New Roman" w:hAnsi="Book Antiqua" w:cs="Times New Roman"/>
          <w:kern w:val="0"/>
          <w:lang w:val="es-PR"/>
          <w14:ligatures w14:val="none"/>
        </w:rPr>
      </w:pPr>
      <w:r w:rsidRPr="00481104">
        <w:rPr>
          <w:rFonts w:ascii="Book Antiqua" w:eastAsia="Times New Roman" w:hAnsi="Book Antiqua" w:cs="Times New Roman"/>
          <w:kern w:val="0"/>
          <w:lang w:val="es-PR"/>
          <w14:ligatures w14:val="none"/>
        </w:rPr>
        <w:t>20ma.</w:t>
      </w:r>
      <w:r w:rsidR="002D2659" w:rsidRPr="00481104">
        <w:rPr>
          <w:rFonts w:ascii="Book Antiqua" w:eastAsia="Times New Roman" w:hAnsi="Book Antiqua" w:cs="Times New Roman"/>
          <w:kern w:val="0"/>
          <w:vertAlign w:val="superscript"/>
          <w:lang w:val="es-PR"/>
          <w14:ligatures w14:val="none"/>
        </w:rPr>
        <w:t xml:space="preserve"> </w:t>
      </w:r>
      <w:r w:rsidR="002D2659" w:rsidRPr="00481104">
        <w:rPr>
          <w:rFonts w:ascii="Book Antiqua" w:eastAsia="Times New Roman" w:hAnsi="Book Antiqua" w:cs="Times New Roman"/>
          <w:kern w:val="0"/>
          <w:lang w:val="es-PR"/>
          <w14:ligatures w14:val="none"/>
        </w:rPr>
        <w:t>Asamblea</w:t>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r>
      <w:r w:rsidR="002D2659" w:rsidRPr="00481104">
        <w:rPr>
          <w:rFonts w:ascii="Book Antiqua" w:eastAsia="Times New Roman" w:hAnsi="Book Antiqua" w:cs="Times New Roman"/>
          <w:kern w:val="0"/>
          <w:lang w:val="es-PR"/>
          <w14:ligatures w14:val="none"/>
        </w:rPr>
        <w:tab/>
        <w:t xml:space="preserve">          </w:t>
      </w:r>
      <w:r w:rsidR="00D63BC9">
        <w:rPr>
          <w:rFonts w:ascii="Book Antiqua" w:eastAsia="Times New Roman" w:hAnsi="Book Antiqua" w:cs="Times New Roman"/>
          <w:kern w:val="0"/>
          <w:lang w:val="es-PR"/>
          <w14:ligatures w14:val="none"/>
        </w:rPr>
        <w:t xml:space="preserve"> </w:t>
      </w:r>
      <w:r w:rsidR="00E01CE7">
        <w:rPr>
          <w:rFonts w:ascii="Book Antiqua" w:eastAsia="Times New Roman" w:hAnsi="Book Antiqua" w:cs="Times New Roman"/>
          <w:kern w:val="0"/>
          <w:lang w:val="es-PR"/>
          <w14:ligatures w14:val="none"/>
        </w:rPr>
        <w:t>3</w:t>
      </w:r>
      <w:r w:rsidRPr="00481104">
        <w:rPr>
          <w:rFonts w:ascii="Book Antiqua" w:eastAsia="Times New Roman" w:hAnsi="Book Antiqua" w:cs="Times New Roman"/>
          <w:kern w:val="0"/>
          <w:lang w:val="es-PR"/>
          <w14:ligatures w14:val="none"/>
        </w:rPr>
        <w:t>ra.</w:t>
      </w:r>
      <w:r w:rsidR="002D2659" w:rsidRPr="00481104">
        <w:rPr>
          <w:rFonts w:ascii="Book Antiqua" w:eastAsia="Times New Roman" w:hAnsi="Book Antiqua" w:cs="Times New Roman"/>
          <w:kern w:val="0"/>
          <w:lang w:val="es-PR"/>
          <w14:ligatures w14:val="none"/>
        </w:rPr>
        <w:t xml:space="preserve"> Sesión</w:t>
      </w:r>
    </w:p>
    <w:p w14:paraId="4F5FD60E" w14:textId="22EB3307" w:rsidR="002D2659" w:rsidRPr="00481104" w:rsidRDefault="002D2659" w:rsidP="002D2659">
      <w:pPr>
        <w:suppressLineNumbers/>
        <w:spacing w:after="0" w:line="240" w:lineRule="auto"/>
        <w:jc w:val="both"/>
        <w:rPr>
          <w:rFonts w:ascii="Book Antiqua" w:eastAsia="Times New Roman" w:hAnsi="Book Antiqua" w:cs="Times New Roman"/>
          <w:kern w:val="0"/>
          <w:lang w:val="es-PR"/>
          <w14:ligatures w14:val="none"/>
        </w:rPr>
      </w:pPr>
      <w:r w:rsidRPr="00481104">
        <w:rPr>
          <w:rFonts w:ascii="Book Antiqua" w:eastAsia="Times New Roman" w:hAnsi="Book Antiqua" w:cs="Times New Roman"/>
          <w:kern w:val="0"/>
          <w:lang w:val="es-PR"/>
          <w14:ligatures w14:val="none"/>
        </w:rPr>
        <w:t xml:space="preserve">        </w:t>
      </w:r>
      <w:r w:rsidR="00415075" w:rsidRPr="00481104">
        <w:rPr>
          <w:rFonts w:ascii="Book Antiqua" w:eastAsia="Times New Roman" w:hAnsi="Book Antiqua" w:cs="Times New Roman"/>
          <w:kern w:val="0"/>
          <w:lang w:val="es-PR"/>
          <w14:ligatures w14:val="none"/>
        </w:rPr>
        <w:t xml:space="preserve">   </w:t>
      </w:r>
      <w:r w:rsidRPr="00481104">
        <w:rPr>
          <w:rFonts w:ascii="Book Antiqua" w:eastAsia="Times New Roman" w:hAnsi="Book Antiqua" w:cs="Times New Roman"/>
          <w:kern w:val="0"/>
          <w:lang w:val="es-PR"/>
          <w14:ligatures w14:val="none"/>
        </w:rPr>
        <w:t>Legislativa</w:t>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r>
      <w:r w:rsidRPr="00481104">
        <w:rPr>
          <w:rFonts w:ascii="Book Antiqua" w:eastAsia="Times New Roman" w:hAnsi="Book Antiqua" w:cs="Times New Roman"/>
          <w:kern w:val="0"/>
          <w:lang w:val="es-PR"/>
          <w14:ligatures w14:val="none"/>
        </w:rPr>
        <w:tab/>
        <w:t xml:space="preserve">                 </w:t>
      </w:r>
      <w:r w:rsidR="00D63BC9">
        <w:rPr>
          <w:rFonts w:ascii="Book Antiqua" w:eastAsia="Times New Roman" w:hAnsi="Book Antiqua" w:cs="Times New Roman"/>
          <w:kern w:val="0"/>
          <w:lang w:val="es-PR"/>
          <w14:ligatures w14:val="none"/>
        </w:rPr>
        <w:t xml:space="preserve"> </w:t>
      </w:r>
      <w:r w:rsidRPr="00481104">
        <w:rPr>
          <w:rFonts w:ascii="Book Antiqua" w:eastAsia="Times New Roman" w:hAnsi="Book Antiqua" w:cs="Times New Roman"/>
          <w:kern w:val="0"/>
          <w:lang w:val="es-PR"/>
          <w14:ligatures w14:val="none"/>
        </w:rPr>
        <w:t>Ordinaria</w:t>
      </w:r>
    </w:p>
    <w:p w14:paraId="2AA3BE1D" w14:textId="77777777" w:rsidR="002D2659" w:rsidRPr="00481104" w:rsidRDefault="002D2659" w:rsidP="002D2659">
      <w:pPr>
        <w:suppressLineNumbers/>
        <w:spacing w:after="0" w:line="240" w:lineRule="auto"/>
        <w:rPr>
          <w:rFonts w:ascii="Book Antiqua" w:eastAsia="Times New Roman" w:hAnsi="Book Antiqua" w:cs="Times New Roman"/>
          <w:kern w:val="0"/>
          <w:lang w:val="es-PR"/>
          <w14:ligatures w14:val="none"/>
        </w:rPr>
      </w:pPr>
      <w:r w:rsidRPr="00481104">
        <w:rPr>
          <w:rFonts w:ascii="Book Antiqua" w:eastAsia="Times New Roman" w:hAnsi="Book Antiqua" w:cs="Times New Roman"/>
          <w:kern w:val="0"/>
          <w:lang w:val="es-PR"/>
          <w14:ligatures w14:val="none"/>
        </w:rPr>
        <w:t xml:space="preserve">       </w:t>
      </w:r>
    </w:p>
    <w:p w14:paraId="66C12F02" w14:textId="77777777" w:rsidR="002D2659" w:rsidRPr="00F234CF" w:rsidRDefault="002D2659" w:rsidP="002D2659">
      <w:pPr>
        <w:suppressLineNumbers/>
        <w:spacing w:after="0" w:line="240" w:lineRule="auto"/>
        <w:jc w:val="center"/>
        <w:rPr>
          <w:rFonts w:ascii="Book Antiqua" w:eastAsia="Calibri" w:hAnsi="Book Antiqua" w:cs="Times New Roman"/>
          <w:b/>
          <w:kern w:val="0"/>
          <w:sz w:val="36"/>
          <w:szCs w:val="36"/>
          <w:lang w:val="es-PR"/>
          <w14:ligatures w14:val="none"/>
        </w:rPr>
      </w:pPr>
      <w:r w:rsidRPr="00F234CF">
        <w:rPr>
          <w:rFonts w:ascii="Book Antiqua" w:eastAsia="Calibri" w:hAnsi="Book Antiqua" w:cs="Times New Roman"/>
          <w:b/>
          <w:kern w:val="0"/>
          <w:sz w:val="36"/>
          <w:szCs w:val="36"/>
          <w:lang w:val="es-PR"/>
          <w14:ligatures w14:val="none"/>
        </w:rPr>
        <w:t>CÁMARA DE REPRESENTANTES</w:t>
      </w:r>
    </w:p>
    <w:p w14:paraId="1C353CB7" w14:textId="77777777" w:rsidR="002D2659" w:rsidRPr="00F234CF" w:rsidRDefault="002D2659" w:rsidP="002D2659">
      <w:pPr>
        <w:suppressLineNumbers/>
        <w:spacing w:after="0" w:line="240" w:lineRule="auto"/>
        <w:jc w:val="center"/>
        <w:rPr>
          <w:rFonts w:ascii="Book Antiqua" w:eastAsia="Calibri" w:hAnsi="Book Antiqua" w:cs="Times New Roman"/>
          <w:kern w:val="0"/>
          <w:lang w:val="es-PR"/>
          <w14:ligatures w14:val="none"/>
        </w:rPr>
      </w:pPr>
    </w:p>
    <w:p w14:paraId="4166FBEB" w14:textId="62109EAB" w:rsidR="002D2659" w:rsidRPr="00F234CF" w:rsidRDefault="002D2659" w:rsidP="002D2659">
      <w:pPr>
        <w:suppressLineNumbers/>
        <w:spacing w:after="0" w:line="240" w:lineRule="auto"/>
        <w:jc w:val="center"/>
        <w:rPr>
          <w:rFonts w:ascii="Book Antiqua" w:eastAsia="Calibri" w:hAnsi="Book Antiqua" w:cs="Times New Roman"/>
          <w:b/>
          <w:kern w:val="0"/>
          <w:sz w:val="52"/>
          <w:szCs w:val="52"/>
          <w:lang w:val="es-PR"/>
          <w14:ligatures w14:val="none"/>
        </w:rPr>
      </w:pPr>
      <w:r w:rsidRPr="00F234CF">
        <w:rPr>
          <w:rFonts w:ascii="Book Antiqua" w:eastAsia="Calibri" w:hAnsi="Book Antiqua" w:cs="Times New Roman"/>
          <w:b/>
          <w:kern w:val="0"/>
          <w:sz w:val="52"/>
          <w:szCs w:val="52"/>
          <w:lang w:val="es-PR"/>
          <w14:ligatures w14:val="none"/>
        </w:rPr>
        <w:t xml:space="preserve">R. C. de la C. </w:t>
      </w:r>
      <w:r w:rsidR="002C6065">
        <w:rPr>
          <w:rFonts w:ascii="Book Antiqua" w:eastAsia="Calibri" w:hAnsi="Book Antiqua" w:cs="Times New Roman"/>
          <w:b/>
          <w:kern w:val="0"/>
          <w:sz w:val="52"/>
          <w:szCs w:val="52"/>
          <w:lang w:val="es-PR"/>
          <w14:ligatures w14:val="none"/>
        </w:rPr>
        <w:t>372</w:t>
      </w:r>
    </w:p>
    <w:p w14:paraId="26DB2C22" w14:textId="77777777" w:rsidR="002D2659" w:rsidRPr="00F234CF" w:rsidRDefault="002D2659" w:rsidP="002D2659">
      <w:pPr>
        <w:suppressLineNumbers/>
        <w:spacing w:after="0" w:line="240" w:lineRule="auto"/>
        <w:jc w:val="center"/>
        <w:rPr>
          <w:rFonts w:ascii="Book Antiqua" w:eastAsia="Calibri" w:hAnsi="Book Antiqua" w:cs="Times New Roman"/>
          <w:kern w:val="0"/>
          <w:lang w:val="es-PR"/>
          <w14:ligatures w14:val="none"/>
        </w:rPr>
      </w:pPr>
    </w:p>
    <w:p w14:paraId="4138CBF3" w14:textId="53508EA1" w:rsidR="002D2659" w:rsidRPr="00F234CF" w:rsidRDefault="002C6065" w:rsidP="002D2659">
      <w:pPr>
        <w:suppressLineNumbers/>
        <w:spacing w:after="0" w:line="240" w:lineRule="auto"/>
        <w:jc w:val="center"/>
        <w:rPr>
          <w:rFonts w:ascii="Book Antiqua" w:eastAsia="Calibri" w:hAnsi="Book Antiqua" w:cs="Times New Roman"/>
          <w:kern w:val="0"/>
          <w:lang w:val="es-PR"/>
          <w14:ligatures w14:val="none"/>
        </w:rPr>
      </w:pPr>
      <w:r>
        <w:rPr>
          <w:rFonts w:ascii="Book Antiqua" w:eastAsia="Calibri" w:hAnsi="Book Antiqua" w:cs="Times New Roman"/>
          <w:kern w:val="0"/>
          <w:lang w:val="es-PR"/>
          <w14:ligatures w14:val="none"/>
        </w:rPr>
        <w:t>16</w:t>
      </w:r>
      <w:r w:rsidR="002D2659" w:rsidRPr="00F234CF">
        <w:rPr>
          <w:rFonts w:ascii="Book Antiqua" w:eastAsia="Calibri" w:hAnsi="Book Antiqua" w:cs="Times New Roman"/>
          <w:kern w:val="0"/>
          <w:lang w:val="es-PR"/>
          <w14:ligatures w14:val="none"/>
        </w:rPr>
        <w:t xml:space="preserve"> DE </w:t>
      </w:r>
      <w:r w:rsidR="002D2659" w:rsidRPr="002D2659">
        <w:rPr>
          <w:rFonts w:ascii="Book Antiqua" w:eastAsia="Calibri" w:hAnsi="Book Antiqua" w:cs="Times New Roman"/>
          <w:kern w:val="0"/>
          <w:lang w:val="es-PR"/>
          <w14:ligatures w14:val="none"/>
        </w:rPr>
        <w:t>JUNI</w:t>
      </w:r>
      <w:r w:rsidR="002D2659" w:rsidRPr="00F234CF">
        <w:rPr>
          <w:rFonts w:ascii="Book Antiqua" w:eastAsia="Calibri" w:hAnsi="Book Antiqua" w:cs="Times New Roman"/>
          <w:kern w:val="0"/>
          <w:lang w:val="es-PR"/>
          <w14:ligatures w14:val="none"/>
        </w:rPr>
        <w:t>O DE 202</w:t>
      </w:r>
      <w:r w:rsidR="00E01CE7">
        <w:rPr>
          <w:rFonts w:ascii="Book Antiqua" w:eastAsia="Calibri" w:hAnsi="Book Antiqua" w:cs="Times New Roman"/>
          <w:kern w:val="0"/>
          <w:lang w:val="es-PR"/>
          <w14:ligatures w14:val="none"/>
        </w:rPr>
        <w:t>6</w:t>
      </w:r>
    </w:p>
    <w:p w14:paraId="3AF4FA93" w14:textId="77777777" w:rsidR="002D2659" w:rsidRPr="00F234CF" w:rsidRDefault="002D2659" w:rsidP="002D2659">
      <w:pPr>
        <w:suppressLineNumbers/>
        <w:spacing w:after="0" w:line="240" w:lineRule="auto"/>
        <w:jc w:val="center"/>
        <w:rPr>
          <w:rFonts w:ascii="Book Antiqua" w:eastAsia="Calibri" w:hAnsi="Book Antiqua" w:cs="Times New Roman"/>
          <w:i/>
          <w:kern w:val="0"/>
          <w:lang w:val="es-PR"/>
          <w14:ligatures w14:val="none"/>
        </w:rPr>
      </w:pPr>
    </w:p>
    <w:p w14:paraId="633DB650" w14:textId="61E85C39" w:rsidR="002D2659" w:rsidRPr="00F234CF" w:rsidRDefault="002D2659" w:rsidP="002D2659">
      <w:pPr>
        <w:suppressLineNumbers/>
        <w:spacing w:after="0" w:line="240" w:lineRule="auto"/>
        <w:ind w:left="720" w:hanging="720"/>
        <w:jc w:val="center"/>
        <w:rPr>
          <w:rFonts w:ascii="Book Antiqua" w:eastAsia="Calibri" w:hAnsi="Book Antiqua" w:cs="Times New Roman"/>
          <w:kern w:val="0"/>
          <w:lang w:val="es-PR"/>
          <w14:ligatures w14:val="none"/>
        </w:rPr>
      </w:pPr>
      <w:r w:rsidRPr="00F234CF">
        <w:rPr>
          <w:rFonts w:ascii="Book Antiqua" w:eastAsia="Calibri" w:hAnsi="Book Antiqua" w:cs="Times New Roman"/>
          <w:kern w:val="0"/>
          <w:lang w:val="es-PR"/>
          <w14:ligatures w14:val="none"/>
        </w:rPr>
        <w:t xml:space="preserve">Presentada por </w:t>
      </w:r>
      <w:r w:rsidR="00792ABB" w:rsidRPr="00F234CF">
        <w:rPr>
          <w:rFonts w:ascii="Book Antiqua" w:eastAsia="Calibri" w:hAnsi="Book Antiqua" w:cs="Times New Roman"/>
          <w:kern w:val="0"/>
          <w:lang w:val="es-PR"/>
          <w14:ligatures w14:val="none"/>
        </w:rPr>
        <w:t xml:space="preserve">los </w:t>
      </w:r>
      <w:r w:rsidRPr="00F234CF">
        <w:rPr>
          <w:rFonts w:ascii="Book Antiqua" w:eastAsia="Calibri" w:hAnsi="Book Antiqua" w:cs="Times New Roman"/>
          <w:kern w:val="0"/>
          <w:lang w:val="es-PR"/>
          <w14:ligatures w14:val="none"/>
        </w:rPr>
        <w:t>representante</w:t>
      </w:r>
      <w:r w:rsidR="00792ABB" w:rsidRPr="00F234CF">
        <w:rPr>
          <w:rFonts w:ascii="Book Antiqua" w:eastAsia="Calibri" w:hAnsi="Book Antiqua" w:cs="Times New Roman"/>
          <w:kern w:val="0"/>
          <w:lang w:val="es-PR"/>
          <w14:ligatures w14:val="none"/>
        </w:rPr>
        <w:t xml:space="preserve">s </w:t>
      </w:r>
      <w:r w:rsidR="00792ABB" w:rsidRPr="00F234CF">
        <w:rPr>
          <w:rFonts w:ascii="Book Antiqua" w:eastAsia="Calibri" w:hAnsi="Book Antiqua" w:cs="Times New Roman"/>
          <w:i/>
          <w:iCs/>
          <w:kern w:val="0"/>
          <w:lang w:val="es-PR"/>
          <w14:ligatures w14:val="none"/>
        </w:rPr>
        <w:t xml:space="preserve">Méndez Núñez </w:t>
      </w:r>
      <w:r w:rsidR="00792ABB" w:rsidRPr="00D63BC9">
        <w:rPr>
          <w:rFonts w:ascii="Book Antiqua" w:eastAsia="Calibri" w:hAnsi="Book Antiqua" w:cs="Times New Roman"/>
          <w:kern w:val="0"/>
          <w:lang w:val="es-PR"/>
          <w14:ligatures w14:val="none"/>
        </w:rPr>
        <w:t>y</w:t>
      </w:r>
      <w:r w:rsidR="00792ABB" w:rsidRPr="00F234CF">
        <w:rPr>
          <w:rFonts w:ascii="Book Antiqua" w:eastAsia="Calibri" w:hAnsi="Book Antiqua" w:cs="Times New Roman"/>
          <w:i/>
          <w:iCs/>
          <w:kern w:val="0"/>
          <w:lang w:val="es-PR"/>
          <w14:ligatures w14:val="none"/>
        </w:rPr>
        <w:t xml:space="preserve"> </w:t>
      </w:r>
      <w:r w:rsidRPr="00F234CF">
        <w:rPr>
          <w:rFonts w:ascii="Book Antiqua" w:eastAsia="Calibri" w:hAnsi="Book Antiqua" w:cs="Times New Roman"/>
          <w:i/>
          <w:iCs/>
          <w:kern w:val="0"/>
          <w:lang w:val="es-PR"/>
          <w14:ligatures w14:val="none"/>
        </w:rPr>
        <w:t xml:space="preserve">Charbonier </w:t>
      </w:r>
      <w:r w:rsidRPr="00F234CF">
        <w:rPr>
          <w:rFonts w:ascii="Book Antiqua" w:eastAsia="Calibri" w:hAnsi="Book Antiqua" w:cs="Times New Roman"/>
          <w:i/>
          <w:kern w:val="0"/>
          <w:lang w:val="es-PR"/>
          <w14:ligatures w14:val="none"/>
        </w:rPr>
        <w:t>Chinea</w:t>
      </w:r>
    </w:p>
    <w:p w14:paraId="5187FDE4" w14:textId="77777777" w:rsidR="002D2659" w:rsidRPr="00F234CF" w:rsidRDefault="002D2659" w:rsidP="002D2659">
      <w:pPr>
        <w:suppressLineNumbers/>
        <w:spacing w:after="0" w:line="240" w:lineRule="auto"/>
        <w:ind w:left="720" w:hanging="720"/>
        <w:jc w:val="both"/>
        <w:rPr>
          <w:rFonts w:ascii="Book Antiqua" w:eastAsia="Calibri" w:hAnsi="Book Antiqua" w:cs="Times New Roman"/>
          <w:kern w:val="0"/>
          <w:lang w:val="es-PR"/>
          <w14:ligatures w14:val="none"/>
        </w:rPr>
      </w:pPr>
    </w:p>
    <w:p w14:paraId="69240412" w14:textId="02298D91" w:rsidR="002D2659" w:rsidRPr="00F234CF" w:rsidRDefault="002D2659" w:rsidP="002D2659">
      <w:pPr>
        <w:suppressLineNumbers/>
        <w:spacing w:after="0" w:line="240" w:lineRule="auto"/>
        <w:ind w:left="720" w:hanging="720"/>
        <w:jc w:val="center"/>
        <w:rPr>
          <w:rFonts w:ascii="Book Antiqua" w:eastAsia="Calibri" w:hAnsi="Book Antiqua" w:cs="Times New Roman"/>
          <w:kern w:val="0"/>
          <w:sz w:val="28"/>
          <w:szCs w:val="28"/>
          <w:lang w:val="es-PR"/>
          <w14:ligatures w14:val="none"/>
        </w:rPr>
      </w:pPr>
      <w:r w:rsidRPr="00F234CF">
        <w:rPr>
          <w:rFonts w:ascii="Book Antiqua" w:eastAsia="Calibri" w:hAnsi="Book Antiqua" w:cs="Times New Roman"/>
          <w:kern w:val="0"/>
          <w:lang w:val="es-PR"/>
          <w14:ligatures w14:val="none"/>
        </w:rPr>
        <w:t xml:space="preserve">Referida a la Comisión </w:t>
      </w:r>
      <w:r w:rsidR="00415075">
        <w:rPr>
          <w:rFonts w:ascii="Book Antiqua" w:eastAsia="Calibri" w:hAnsi="Book Antiqua" w:cs="Times New Roman"/>
          <w:kern w:val="0"/>
          <w:lang w:val="es-PR"/>
          <w14:ligatures w14:val="none"/>
        </w:rPr>
        <w:t>de</w:t>
      </w:r>
      <w:r w:rsidR="00481104">
        <w:rPr>
          <w:rFonts w:ascii="Book Antiqua" w:eastAsia="Calibri" w:hAnsi="Book Antiqua" w:cs="Times New Roman"/>
          <w:kern w:val="0"/>
          <w:lang w:val="es-PR"/>
          <w14:ligatures w14:val="none"/>
        </w:rPr>
        <w:t xml:space="preserve"> </w:t>
      </w:r>
      <w:r w:rsidR="008E0F89">
        <w:rPr>
          <w:rFonts w:ascii="Book Antiqua" w:eastAsia="Calibri" w:hAnsi="Book Antiqua" w:cs="Times New Roman"/>
          <w:kern w:val="0"/>
          <w:lang w:val="es-PR"/>
          <w14:ligatures w14:val="none"/>
        </w:rPr>
        <w:t>Hacienda</w:t>
      </w:r>
    </w:p>
    <w:p w14:paraId="25BD0420" w14:textId="77777777" w:rsidR="002D2659" w:rsidRPr="00F234CF" w:rsidRDefault="002D2659" w:rsidP="002D2659">
      <w:pPr>
        <w:suppressLineNumbers/>
        <w:spacing w:after="0" w:line="240" w:lineRule="auto"/>
        <w:jc w:val="center"/>
        <w:rPr>
          <w:rFonts w:ascii="Book Antiqua" w:eastAsia="Calibri" w:hAnsi="Book Antiqua" w:cs="Times New Roman"/>
          <w:kern w:val="0"/>
          <w:lang w:val="es-ES_tradnl"/>
          <w14:ligatures w14:val="none"/>
        </w:rPr>
      </w:pPr>
    </w:p>
    <w:p w14:paraId="5F541471" w14:textId="77777777" w:rsidR="002D2659" w:rsidRPr="00F234CF" w:rsidRDefault="002D2659" w:rsidP="002D2659">
      <w:pPr>
        <w:suppressLineNumbers/>
        <w:spacing w:after="0" w:line="240" w:lineRule="auto"/>
        <w:jc w:val="center"/>
        <w:rPr>
          <w:rFonts w:ascii="Book Antiqua" w:eastAsia="Calibri" w:hAnsi="Book Antiqua" w:cs="Times New Roman"/>
          <w:b/>
          <w:kern w:val="0"/>
          <w:sz w:val="28"/>
          <w:lang w:val="es-PR"/>
          <w14:ligatures w14:val="none"/>
        </w:rPr>
      </w:pPr>
      <w:r w:rsidRPr="00F234CF">
        <w:rPr>
          <w:rFonts w:ascii="Book Antiqua" w:eastAsia="Calibri" w:hAnsi="Book Antiqua" w:cs="Times New Roman"/>
          <w:b/>
          <w:kern w:val="0"/>
          <w:sz w:val="28"/>
          <w:lang w:val="es-PR"/>
          <w14:ligatures w14:val="none"/>
        </w:rPr>
        <w:t>RESOLUCIÓN CONJUNTA</w:t>
      </w:r>
    </w:p>
    <w:p w14:paraId="37A12491" w14:textId="77777777" w:rsidR="002D2659" w:rsidRPr="00F234CF" w:rsidRDefault="002D2659" w:rsidP="002D2659">
      <w:pPr>
        <w:suppressLineNumbers/>
        <w:spacing w:after="0" w:line="240" w:lineRule="auto"/>
        <w:jc w:val="center"/>
        <w:rPr>
          <w:rFonts w:ascii="Book Antiqua" w:eastAsia="Calibri" w:hAnsi="Book Antiqua" w:cs="Times New Roman"/>
          <w:b/>
          <w:kern w:val="0"/>
          <w:lang w:val="es-PR"/>
          <w14:ligatures w14:val="none"/>
        </w:rPr>
      </w:pPr>
    </w:p>
    <w:p w14:paraId="1AD2B557" w14:textId="12039B0C" w:rsidR="002D2659" w:rsidRDefault="00272A2A" w:rsidP="00415075">
      <w:pPr>
        <w:suppressLineNumbers/>
        <w:spacing w:after="0" w:line="240" w:lineRule="auto"/>
        <w:ind w:left="720" w:hanging="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 xml:space="preserve">Para asignar la cantidad de veinte millones ($20,000,000) de dólares, los cuales </w:t>
      </w:r>
      <w:r w:rsidRPr="00415075">
        <w:rPr>
          <w:rFonts w:ascii="Book Antiqua" w:eastAsia="Times New Roman" w:hAnsi="Book Antiqua" w:cs="Times New Roman"/>
          <w:kern w:val="0"/>
          <w:lang w:val="es-PR"/>
          <w14:ligatures w14:val="none"/>
        </w:rPr>
        <w:t>procederán de la Resolución Conjunta de Presupuesto para el Año Fiscal 202</w:t>
      </w:r>
      <w:r w:rsidR="00E01CE7">
        <w:rPr>
          <w:rFonts w:ascii="Book Antiqua" w:eastAsia="Times New Roman" w:hAnsi="Book Antiqua" w:cs="Times New Roman"/>
          <w:kern w:val="0"/>
          <w:lang w:val="es-PR"/>
          <w14:ligatures w14:val="none"/>
        </w:rPr>
        <w:t>6</w:t>
      </w:r>
      <w:r w:rsidRPr="00415075">
        <w:rPr>
          <w:rFonts w:ascii="Book Antiqua" w:eastAsia="Times New Roman" w:hAnsi="Book Antiqua" w:cs="Times New Roman"/>
          <w:kern w:val="0"/>
          <w:lang w:val="es-PR"/>
          <w14:ligatures w14:val="none"/>
        </w:rPr>
        <w:t>-202</w:t>
      </w:r>
      <w:r w:rsidR="00E01CE7">
        <w:rPr>
          <w:rFonts w:ascii="Book Antiqua" w:eastAsia="Times New Roman" w:hAnsi="Book Antiqua" w:cs="Times New Roman"/>
          <w:kern w:val="0"/>
          <w:lang w:val="es-PR"/>
          <w14:ligatures w14:val="none"/>
        </w:rPr>
        <w:t>7</w:t>
      </w:r>
      <w:r w:rsidRPr="00415075">
        <w:rPr>
          <w:rFonts w:ascii="Book Antiqua" w:eastAsia="Times New Roman" w:hAnsi="Book Antiqua" w:cs="Times New Roman"/>
          <w:kern w:val="0"/>
          <w:lang w:val="es-PR"/>
          <w14:ligatures w14:val="none"/>
        </w:rPr>
        <w:t xml:space="preserve">,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 de la </w:t>
      </w:r>
      <w:r w:rsidR="00792ABB" w:rsidRPr="00415075">
        <w:rPr>
          <w:rFonts w:ascii="Book Antiqua" w:eastAsia="Times New Roman" w:hAnsi="Book Antiqua" w:cs="Times New Roman"/>
          <w:kern w:val="0"/>
          <w:lang w:val="es-PR"/>
          <w14:ligatures w14:val="none"/>
        </w:rPr>
        <w:t>Comisión Especial Conjunta de Fondos Legislativos para Impacto Comunitario</w:t>
      </w:r>
      <w:r w:rsidRPr="00415075">
        <w:rPr>
          <w:rFonts w:ascii="Book Antiqua" w:eastAsia="Times New Roman" w:hAnsi="Book Antiqua" w:cs="Times New Roman"/>
          <w:kern w:val="0"/>
          <w:lang w:val="es-PR"/>
          <w14:ligatures w14:val="none"/>
        </w:rPr>
        <w:t>; autorizar el pareo de los fondos asignados; y para otros fines relacionados.</w:t>
      </w:r>
      <w:r>
        <w:rPr>
          <w:rFonts w:ascii="Book Antiqua" w:eastAsia="Times New Roman" w:hAnsi="Book Antiqua" w:cs="Times New Roman"/>
          <w:kern w:val="0"/>
          <w:lang w:val="es-PR"/>
          <w14:ligatures w14:val="none"/>
        </w:rPr>
        <w:t xml:space="preserve"> </w:t>
      </w:r>
    </w:p>
    <w:p w14:paraId="73231B64" w14:textId="77777777" w:rsidR="00272A2A" w:rsidRPr="002D2659" w:rsidRDefault="00272A2A" w:rsidP="002D2659">
      <w:pPr>
        <w:suppressLineNumbers/>
        <w:spacing w:after="0" w:line="240" w:lineRule="auto"/>
        <w:ind w:left="600" w:hanging="600"/>
        <w:jc w:val="both"/>
        <w:rPr>
          <w:rFonts w:ascii="Book Antiqua" w:eastAsia="Times New Roman" w:hAnsi="Book Antiqua" w:cs="Times New Roman"/>
          <w:kern w:val="0"/>
          <w:lang w:val="es-PR"/>
          <w14:ligatures w14:val="none"/>
        </w:rPr>
      </w:pPr>
    </w:p>
    <w:p w14:paraId="20839C21" w14:textId="77777777" w:rsidR="002D2659" w:rsidRDefault="002D2659" w:rsidP="002D2659">
      <w:pPr>
        <w:suppressLineNumbers/>
        <w:spacing w:after="0" w:line="240" w:lineRule="auto"/>
        <w:jc w:val="center"/>
        <w:rPr>
          <w:rFonts w:ascii="Book Antiqua" w:eastAsia="Times New Roman" w:hAnsi="Book Antiqua" w:cs="Times New Roman"/>
          <w:kern w:val="0"/>
          <w:lang w:val="es-PR"/>
          <w14:ligatures w14:val="none"/>
        </w:rPr>
      </w:pPr>
      <w:r w:rsidRPr="002D2659">
        <w:rPr>
          <w:rFonts w:ascii="Book Antiqua" w:eastAsia="Times New Roman" w:hAnsi="Book Antiqua" w:cs="Times New Roman"/>
          <w:kern w:val="0"/>
          <w:lang w:val="es-PR"/>
          <w14:ligatures w14:val="none"/>
        </w:rPr>
        <w:t>EXPOSICIÓN DE MOTIVOS</w:t>
      </w:r>
    </w:p>
    <w:p w14:paraId="4FC9C6C7" w14:textId="77777777" w:rsidR="00764DCD" w:rsidRDefault="00764DCD" w:rsidP="00764DCD">
      <w:pPr>
        <w:suppressLineNumbers/>
        <w:spacing w:after="0" w:line="240" w:lineRule="auto"/>
        <w:rPr>
          <w:rFonts w:ascii="Book Antiqua" w:eastAsia="Times New Roman" w:hAnsi="Book Antiqua" w:cs="Times New Roman"/>
          <w:kern w:val="0"/>
          <w:lang w:val="es-PR"/>
          <w14:ligatures w14:val="none"/>
        </w:rPr>
      </w:pPr>
    </w:p>
    <w:p w14:paraId="54217E71" w14:textId="30476EC9"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 xml:space="preserve">La Comisión Especial Conjunta de Fondos Legislativos para Impacto Comunitario (CECFL) es un organismo creado por la </w:t>
      </w:r>
      <w:r w:rsidR="00601415" w:rsidRPr="00415075">
        <w:rPr>
          <w:rFonts w:ascii="Book Antiqua" w:eastAsia="Times New Roman" w:hAnsi="Book Antiqua" w:cs="Times New Roman"/>
          <w:kern w:val="0"/>
          <w:lang w:val="es-PR"/>
          <w14:ligatures w14:val="none"/>
        </w:rPr>
        <w:t>Ley Núm. 113-1996</w:t>
      </w:r>
      <w:r w:rsidR="00F234CF" w:rsidRPr="00415075">
        <w:rPr>
          <w:rFonts w:ascii="Book Antiqua" w:eastAsia="Times New Roman" w:hAnsi="Book Antiqua" w:cs="Times New Roman"/>
          <w:kern w:val="0"/>
          <w:lang w:val="es-PR"/>
          <w14:ligatures w14:val="none"/>
        </w:rPr>
        <w:t xml:space="preserve"> y complementado por</w:t>
      </w:r>
      <w:r w:rsidR="00601415" w:rsidRPr="00415075">
        <w:rPr>
          <w:rFonts w:ascii="Book Antiqua" w:eastAsia="Times New Roman" w:hAnsi="Book Antiqua" w:cs="Times New Roman"/>
          <w:kern w:val="0"/>
          <w:lang w:val="es-PR"/>
          <w14:ligatures w14:val="none"/>
        </w:rPr>
        <w:t xml:space="preserve"> </w:t>
      </w:r>
      <w:r w:rsidR="00F234CF" w:rsidRPr="00415075">
        <w:rPr>
          <w:rFonts w:ascii="Book Antiqua" w:eastAsia="Times New Roman" w:hAnsi="Book Antiqua" w:cs="Times New Roman"/>
          <w:kern w:val="0"/>
          <w:lang w:val="es-PR"/>
          <w14:ligatures w14:val="none"/>
        </w:rPr>
        <w:t xml:space="preserve">la </w:t>
      </w:r>
      <w:r w:rsidRPr="00415075">
        <w:rPr>
          <w:rFonts w:ascii="Book Antiqua" w:eastAsia="Times New Roman" w:hAnsi="Book Antiqua" w:cs="Times New Roman"/>
          <w:kern w:val="0"/>
          <w:lang w:val="es-PR"/>
          <w14:ligatures w14:val="none"/>
        </w:rPr>
        <w:t>Ley Núm. 20-2015. Su misión principal es administrar, supervisar y fiscalizar los fondos públicos asignados a organizaciones sin fines de lucro para el desarrollo de proyectos que promuevan el bienestar social, económico y comunitario en la isla.</w:t>
      </w:r>
    </w:p>
    <w:p w14:paraId="370D4F84"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6B669563" w14:textId="6AC0E84F"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Las organizaciones sin fines de lucro interesadas en recibir fondos deben someter propuestas detalladas que incluyan objetivos, actividades, presupuesto y resultados esperados. La CECFL evalúa estas propuestas según criterios de impacto comunitario, viabilidad y alineación con las áreas de enfoque establecidas.</w:t>
      </w:r>
    </w:p>
    <w:p w14:paraId="67B5FBCC" w14:textId="77777777" w:rsidR="00764DCD"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04DC7F6" w14:textId="00B8FF29"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lastRenderedPageBreak/>
        <w:t>En Puerto Rico, las entidades sin fines de lucro desempeñan un papel fundamental en el desarrollo social, económico y comunitario del país. Estas organizaciones trabajan en áreas esenciales como la salud, la educación, la cultura, la vivienda, la protección ambiental, el desarrollo económico y la asistencia a poblaciones vulnerables, entre muchas otras. Su labor complementa y, en ocasiones, suple las funciones del Estado, especialmente en contextos de crisis fiscal, desastres naturales y cambios demográficos.</w:t>
      </w:r>
    </w:p>
    <w:p w14:paraId="02FD0EA6"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4127A775" w14:textId="6CBEC6A0"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A pesar de sus aportaciones, las organizaciones sin fines de lucro enfrentan múltiples desafíos que limitan su capacidad operativa y de sostenibilidad. Entre estos retos se encuentran la falta de acceso a financiamiento</w:t>
      </w:r>
      <w:r w:rsidR="00F234CF" w:rsidRPr="00415075">
        <w:rPr>
          <w:rFonts w:ascii="Book Antiqua" w:eastAsia="Times New Roman" w:hAnsi="Book Antiqua" w:cs="Times New Roman"/>
          <w:kern w:val="0"/>
          <w:lang w:val="es-PR"/>
          <w14:ligatures w14:val="none"/>
        </w:rPr>
        <w:t xml:space="preserve">, que juega un rol fundamental. </w:t>
      </w:r>
      <w:r w:rsidRPr="00415075">
        <w:rPr>
          <w:rFonts w:ascii="Book Antiqua" w:eastAsia="Times New Roman" w:hAnsi="Book Antiqua" w:cs="Times New Roman"/>
          <w:kern w:val="0"/>
          <w:lang w:val="es-PR"/>
          <w14:ligatures w14:val="none"/>
        </w:rPr>
        <w:t>Además, existe la necesidad de fortalecer la transparencia, la rendición de cuentas y la profesionalización del tercer sector, elementos clave para asegurar la confianza pública y la efectividad de su misión.</w:t>
      </w:r>
    </w:p>
    <w:p w14:paraId="29501357"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0002C74D" w14:textId="71B1949B"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 xml:space="preserve">Reconociendo la importancia estratégica de estas entidades para el bienestar colectivo, es </w:t>
      </w:r>
      <w:r w:rsidR="00F234CF" w:rsidRPr="00415075">
        <w:rPr>
          <w:rFonts w:ascii="Book Antiqua" w:eastAsia="Times New Roman" w:hAnsi="Book Antiqua" w:cs="Times New Roman"/>
          <w:kern w:val="0"/>
          <w:lang w:val="es-PR"/>
          <w14:ligatures w14:val="none"/>
        </w:rPr>
        <w:t>necesario</w:t>
      </w:r>
      <w:r w:rsidRPr="00415075">
        <w:rPr>
          <w:rFonts w:ascii="Book Antiqua" w:eastAsia="Times New Roman" w:hAnsi="Book Antiqua" w:cs="Times New Roman"/>
          <w:kern w:val="0"/>
          <w:lang w:val="es-PR"/>
          <w14:ligatures w14:val="none"/>
        </w:rPr>
        <w:t xml:space="preserve"> promover reformas legislativas y políticas públicas que fomenten un entorno más favorable para su desarrollo. </w:t>
      </w:r>
    </w:p>
    <w:p w14:paraId="05A48E85" w14:textId="77777777"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p>
    <w:p w14:paraId="25BA9BC4" w14:textId="71CEE0CB" w:rsidR="00764DCD" w:rsidRPr="00415075" w:rsidRDefault="00764DCD" w:rsidP="00764DCD">
      <w:pPr>
        <w:suppressLineNumbers/>
        <w:spacing w:after="0" w:line="240" w:lineRule="auto"/>
        <w:jc w:val="both"/>
        <w:rPr>
          <w:rFonts w:ascii="Book Antiqua" w:eastAsia="Times New Roman" w:hAnsi="Book Antiqua" w:cs="Times New Roman"/>
          <w:kern w:val="0"/>
          <w:lang w:val="es-PR"/>
          <w14:ligatures w14:val="none"/>
        </w:rPr>
      </w:pPr>
      <w:r w:rsidRPr="00415075">
        <w:rPr>
          <w:rFonts w:ascii="Book Antiqua" w:eastAsia="Times New Roman" w:hAnsi="Book Antiqua" w:cs="Times New Roman"/>
          <w:kern w:val="0"/>
          <w:lang w:val="es-PR"/>
          <w14:ligatures w14:val="none"/>
        </w:rPr>
        <w:t>Este esfuerzo</w:t>
      </w:r>
      <w:r w:rsidR="00F234CF" w:rsidRPr="00415075">
        <w:rPr>
          <w:rFonts w:ascii="Book Antiqua" w:eastAsia="Times New Roman" w:hAnsi="Book Antiqua" w:cs="Times New Roman"/>
          <w:kern w:val="0"/>
          <w:lang w:val="es-PR"/>
          <w14:ligatures w14:val="none"/>
        </w:rPr>
        <w:t xml:space="preserve"> de otorgar la cantidad de veinte millones ($20,000,000) de dólares, </w:t>
      </w:r>
      <w:r w:rsidRPr="00415075">
        <w:rPr>
          <w:rFonts w:ascii="Book Antiqua" w:eastAsia="Times New Roman" w:hAnsi="Book Antiqua" w:cs="Times New Roman"/>
          <w:kern w:val="0"/>
          <w:lang w:val="es-PR"/>
          <w14:ligatures w14:val="none"/>
        </w:rPr>
        <w:t>busca no solo fortalecer a las entidades sin fines de lucro existentes, sino también fomentar la creación de nuevas iniciativas comunitarias capaces de responder de forma innovadora y sostenible a los desafíos sociales que enfrenta Puerto Rico.</w:t>
      </w:r>
    </w:p>
    <w:p w14:paraId="74096970" w14:textId="77777777" w:rsidR="002D2659" w:rsidRPr="002D2659" w:rsidRDefault="002D2659" w:rsidP="002D2659">
      <w:pPr>
        <w:suppressLineNumbers/>
        <w:spacing w:after="0" w:line="240" w:lineRule="auto"/>
        <w:jc w:val="center"/>
        <w:rPr>
          <w:rFonts w:ascii="Book Antiqua" w:eastAsia="Times New Roman" w:hAnsi="Book Antiqua" w:cs="Times New Roman"/>
          <w:kern w:val="0"/>
          <w:lang w:val="es-PR"/>
          <w14:ligatures w14:val="none"/>
        </w:rPr>
      </w:pPr>
    </w:p>
    <w:p w14:paraId="3A79A6EB" w14:textId="77777777" w:rsidR="002D2659" w:rsidRPr="00F234CF" w:rsidRDefault="002D2659" w:rsidP="002D2659">
      <w:pPr>
        <w:suppressLineNumbers/>
        <w:spacing w:after="0" w:line="480" w:lineRule="auto"/>
        <w:jc w:val="both"/>
        <w:rPr>
          <w:rFonts w:ascii="Book Antiqua" w:eastAsia="Times New Roman" w:hAnsi="Book Antiqua" w:cs="Times New Roman"/>
          <w:i/>
          <w:kern w:val="0"/>
          <w:lang w:val="es-PR"/>
          <w14:ligatures w14:val="none"/>
        </w:rPr>
      </w:pPr>
      <w:r w:rsidRPr="00F234CF">
        <w:rPr>
          <w:rFonts w:ascii="Book Antiqua" w:eastAsia="Times New Roman" w:hAnsi="Book Antiqua" w:cs="Times New Roman"/>
          <w:i/>
          <w:kern w:val="0"/>
          <w:lang w:val="es-PR"/>
          <w14:ligatures w14:val="none"/>
        </w:rPr>
        <w:t>RESUÉLVESE POR LA ASAMBLEA LEGISLATIVA DE PUERTO RICO:</w:t>
      </w:r>
    </w:p>
    <w:p w14:paraId="41916936" w14:textId="4F6ADE59" w:rsidR="0068022C" w:rsidRPr="0068022C"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Sección 1.- Se asigna la cantidad de veinte millones ($20,000,000) de dólares, los cuales procederán de la Resolución Conjunta de Presupuesto para el Año Fiscal 202</w:t>
      </w:r>
      <w:r w:rsidR="00E01CE7">
        <w:rPr>
          <w:rFonts w:ascii="Book Antiqua" w:eastAsia="Times New Roman" w:hAnsi="Book Antiqua" w:cs="Times New Roman"/>
          <w:kern w:val="0"/>
          <w:lang w:val="es-PR"/>
          <w14:ligatures w14:val="none"/>
        </w:rPr>
        <w:t>6</w:t>
      </w:r>
      <w:r w:rsidRPr="00F234CF">
        <w:rPr>
          <w:rFonts w:ascii="Book Antiqua" w:eastAsia="Times New Roman" w:hAnsi="Book Antiqua" w:cs="Times New Roman"/>
          <w:kern w:val="0"/>
          <w:lang w:val="es-PR"/>
          <w14:ligatures w14:val="none"/>
        </w:rPr>
        <w:t>-202</w:t>
      </w:r>
      <w:r w:rsidR="00E01CE7">
        <w:rPr>
          <w:rFonts w:ascii="Book Antiqua" w:eastAsia="Times New Roman" w:hAnsi="Book Antiqua" w:cs="Times New Roman"/>
          <w:kern w:val="0"/>
          <w:lang w:val="es-PR"/>
          <w14:ligatures w14:val="none"/>
        </w:rPr>
        <w:t>7</w:t>
      </w:r>
      <w:r w:rsidRPr="00F234CF">
        <w:rPr>
          <w:rFonts w:ascii="Book Antiqua" w:eastAsia="Times New Roman" w:hAnsi="Book Antiqua" w:cs="Times New Roman"/>
          <w:kern w:val="0"/>
          <w:lang w:val="es-PR"/>
          <w14:ligatures w14:val="none"/>
        </w:rPr>
        <w:t>, para proveer asignaciones a entidades e instituciones semipúblicas, públicas y privadas cuyas actividades o servicios propendan al desarrollo de programas y bienestar social, de la salud, educación, cultura, y a mejorar la calidad de vida de los puertorriqueños; los beneficiarios de los fondos aquí asignados deberán cumplir con los requisitos establecidos en la Ley 20-2015</w:t>
      </w:r>
      <w:r w:rsidR="00C83F45">
        <w:rPr>
          <w:rFonts w:ascii="Book Antiqua" w:eastAsia="Times New Roman" w:hAnsi="Book Antiqua" w:cs="Times New Roman"/>
          <w:kern w:val="0"/>
          <w:lang w:val="es-PR"/>
          <w14:ligatures w14:val="none"/>
        </w:rPr>
        <w:t xml:space="preserve"> </w:t>
      </w:r>
      <w:r w:rsidR="003C2E89">
        <w:rPr>
          <w:rFonts w:ascii="Book Antiqua" w:eastAsia="Times New Roman" w:hAnsi="Book Antiqua" w:cs="Times New Roman"/>
          <w:kern w:val="0"/>
          <w:lang w:val="es-PR"/>
          <w14:ligatures w14:val="none"/>
        </w:rPr>
        <w:t>d</w:t>
      </w:r>
      <w:r w:rsidRPr="00F234CF">
        <w:rPr>
          <w:rFonts w:ascii="Book Antiqua" w:eastAsia="Times New Roman" w:hAnsi="Book Antiqua" w:cs="Times New Roman"/>
          <w:kern w:val="0"/>
          <w:lang w:val="es-PR"/>
          <w14:ligatures w14:val="none"/>
        </w:rPr>
        <w:t xml:space="preserve">e </w:t>
      </w:r>
      <w:r w:rsidRPr="00E037D1">
        <w:rPr>
          <w:rFonts w:ascii="Book Antiqua" w:eastAsia="Times New Roman" w:hAnsi="Book Antiqua" w:cs="Times New Roman"/>
          <w:kern w:val="0"/>
          <w:lang w:val="es-PR"/>
          <w14:ligatures w14:val="none"/>
        </w:rPr>
        <w:t xml:space="preserve">la </w:t>
      </w:r>
      <w:r w:rsidR="00601415" w:rsidRPr="00E037D1">
        <w:rPr>
          <w:rFonts w:ascii="Book Antiqua" w:eastAsia="Times New Roman" w:hAnsi="Book Antiqua" w:cs="Times New Roman"/>
          <w:kern w:val="0"/>
          <w:lang w:val="es-PR"/>
          <w14:ligatures w14:val="none"/>
        </w:rPr>
        <w:t>Comisión Especial Conjunta de Fondos Legislativos para Impacto Comunitario</w:t>
      </w:r>
      <w:r w:rsidRPr="00E037D1">
        <w:rPr>
          <w:rFonts w:ascii="Book Antiqua" w:eastAsia="Times New Roman" w:hAnsi="Book Antiqua" w:cs="Times New Roman"/>
          <w:kern w:val="0"/>
          <w:lang w:val="es-PR"/>
          <w14:ligatures w14:val="none"/>
        </w:rPr>
        <w:t>; según se detalla a continuación:</w:t>
      </w:r>
    </w:p>
    <w:p w14:paraId="027E1FC0" w14:textId="32AE31D5" w:rsidR="0068022C" w:rsidRPr="0068022C" w:rsidRDefault="0068022C" w:rsidP="00764DCD">
      <w:pPr>
        <w:spacing w:line="480" w:lineRule="auto"/>
        <w:jc w:val="both"/>
        <w:rPr>
          <w:rFonts w:ascii="Book Antiqua" w:eastAsia="Times New Roman" w:hAnsi="Book Antiqua" w:cs="Times New Roman"/>
          <w:kern w:val="0"/>
          <w:lang w:val="es-PR"/>
          <w14:ligatures w14:val="none"/>
        </w:rPr>
      </w:pPr>
      <w:r w:rsidRPr="0068022C">
        <w:rPr>
          <w:rFonts w:ascii="Book Antiqua" w:eastAsia="Times New Roman" w:hAnsi="Book Antiqua" w:cs="Times New Roman"/>
          <w:kern w:val="0"/>
          <w:lang w:val="es-PR"/>
          <w14:ligatures w14:val="none"/>
        </w:rPr>
        <w:lastRenderedPageBreak/>
        <w:tab/>
        <w:t>Sección 2.- Los veinte millones de dólares ($20,000,000) asignados en esta Resolución Conjunta deberán ser desembolsados por el Departamento de Hacienda en o antes del 3</w:t>
      </w:r>
      <w:r w:rsidR="00391FED">
        <w:rPr>
          <w:rFonts w:ascii="Book Antiqua" w:eastAsia="Times New Roman" w:hAnsi="Book Antiqua" w:cs="Times New Roman"/>
          <w:kern w:val="0"/>
          <w:lang w:val="es-PR"/>
          <w14:ligatures w14:val="none"/>
        </w:rPr>
        <w:t>1 de agosto</w:t>
      </w:r>
      <w:r w:rsidRPr="0068022C">
        <w:rPr>
          <w:rFonts w:ascii="Book Antiqua" w:eastAsia="Times New Roman" w:hAnsi="Book Antiqua" w:cs="Times New Roman"/>
          <w:kern w:val="0"/>
          <w:lang w:val="es-PR"/>
          <w14:ligatures w14:val="none"/>
        </w:rPr>
        <w:t xml:space="preserve"> de 202</w:t>
      </w:r>
      <w:r w:rsidR="00E01CE7">
        <w:rPr>
          <w:rFonts w:ascii="Book Antiqua" w:eastAsia="Times New Roman" w:hAnsi="Book Antiqua" w:cs="Times New Roman"/>
          <w:kern w:val="0"/>
          <w:lang w:val="es-PR"/>
          <w14:ligatures w14:val="none"/>
        </w:rPr>
        <w:t>6</w:t>
      </w:r>
      <w:r w:rsidRPr="0068022C">
        <w:rPr>
          <w:rFonts w:ascii="Book Antiqua" w:eastAsia="Times New Roman" w:hAnsi="Book Antiqua" w:cs="Times New Roman"/>
          <w:kern w:val="0"/>
          <w:lang w:val="es-PR"/>
          <w14:ligatures w14:val="none"/>
        </w:rPr>
        <w:t>.</w:t>
      </w:r>
      <w:r w:rsidR="00601415">
        <w:rPr>
          <w:rFonts w:ascii="Book Antiqua" w:eastAsia="Times New Roman" w:hAnsi="Book Antiqua" w:cs="Times New Roman"/>
          <w:kern w:val="0"/>
          <w:lang w:val="es-PR"/>
          <w14:ligatures w14:val="none"/>
        </w:rPr>
        <w:t xml:space="preserve"> </w:t>
      </w:r>
    </w:p>
    <w:p w14:paraId="3B94C824" w14:textId="59D211B0" w:rsidR="0068022C" w:rsidRPr="00F234CF"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Sección 3.- Los beneficiarios de los fondos aquí asignados deberán evidenciar que los gastos constituyen parte de los servicios cubiertos en su propuesta aprobada para el referido periodo de tiempo, así como cumplir con cualquier documentación adicional que se le requiera por virtud de la Ley 20-2015</w:t>
      </w:r>
      <w:r w:rsidR="00E037D1">
        <w:rPr>
          <w:rFonts w:ascii="Book Antiqua" w:eastAsia="Times New Roman" w:hAnsi="Book Antiqua" w:cs="Times New Roman"/>
          <w:kern w:val="0"/>
          <w:lang w:val="es-PR"/>
          <w14:ligatures w14:val="none"/>
        </w:rPr>
        <w:t xml:space="preserve">. </w:t>
      </w:r>
    </w:p>
    <w:p w14:paraId="55CEDA2E" w14:textId="23791181" w:rsidR="0068022C" w:rsidRPr="00F234CF"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 xml:space="preserve">Sección 4.- </w:t>
      </w:r>
      <w:r w:rsidR="00F234CF" w:rsidRPr="00F234CF">
        <w:rPr>
          <w:rFonts w:ascii="Book Antiqua" w:eastAsia="Times New Roman" w:hAnsi="Book Antiqua" w:cs="Times New Roman"/>
          <w:kern w:val="0"/>
          <w:lang w:val="es-PR"/>
          <w14:ligatures w14:val="none"/>
        </w:rPr>
        <w:t>Los fondos aquí consignados tendrán vigencia desde el 1 de julio de 202</w:t>
      </w:r>
      <w:r w:rsidR="00E01CE7">
        <w:rPr>
          <w:rFonts w:ascii="Book Antiqua" w:eastAsia="Times New Roman" w:hAnsi="Book Antiqua" w:cs="Times New Roman"/>
          <w:kern w:val="0"/>
          <w:lang w:val="es-PR"/>
          <w14:ligatures w14:val="none"/>
        </w:rPr>
        <w:t>6</w:t>
      </w:r>
      <w:r w:rsidR="00F234CF" w:rsidRPr="00F234CF">
        <w:rPr>
          <w:rFonts w:ascii="Book Antiqua" w:eastAsia="Times New Roman" w:hAnsi="Book Antiqua" w:cs="Times New Roman"/>
          <w:kern w:val="0"/>
          <w:lang w:val="es-PR"/>
          <w14:ligatures w14:val="none"/>
        </w:rPr>
        <w:t xml:space="preserve"> hasta el 30 de junio de 202</w:t>
      </w:r>
      <w:r w:rsidR="00E01CE7">
        <w:rPr>
          <w:rFonts w:ascii="Book Antiqua" w:eastAsia="Times New Roman" w:hAnsi="Book Antiqua" w:cs="Times New Roman"/>
          <w:kern w:val="0"/>
          <w:lang w:val="es-PR"/>
          <w14:ligatures w14:val="none"/>
        </w:rPr>
        <w:t>7</w:t>
      </w:r>
      <w:r w:rsidR="00F234CF" w:rsidRPr="00F234CF">
        <w:rPr>
          <w:rFonts w:ascii="Book Antiqua" w:eastAsia="Times New Roman" w:hAnsi="Book Antiqua" w:cs="Times New Roman"/>
          <w:kern w:val="0"/>
          <w:lang w:val="es-PR"/>
          <w14:ligatures w14:val="none"/>
        </w:rPr>
        <w:t xml:space="preserve">.  </w:t>
      </w:r>
    </w:p>
    <w:p w14:paraId="7B950407" w14:textId="3177BBDF" w:rsidR="0068022C" w:rsidRPr="00F234CF" w:rsidRDefault="0068022C" w:rsidP="00764DCD">
      <w:pPr>
        <w:spacing w:line="480" w:lineRule="auto"/>
        <w:ind w:firstLine="720"/>
        <w:jc w:val="both"/>
        <w:rPr>
          <w:rFonts w:ascii="Book Antiqua" w:eastAsia="Times New Roman" w:hAnsi="Book Antiqua" w:cs="Times New Roman"/>
          <w:kern w:val="0"/>
          <w:lang w:val="es-PR"/>
          <w14:ligatures w14:val="none"/>
        </w:rPr>
      </w:pPr>
      <w:r w:rsidRPr="00F234CF">
        <w:rPr>
          <w:rFonts w:ascii="Book Antiqua" w:eastAsia="Times New Roman" w:hAnsi="Book Antiqua" w:cs="Times New Roman"/>
          <w:kern w:val="0"/>
          <w:lang w:val="es-PR"/>
          <w14:ligatures w14:val="none"/>
        </w:rPr>
        <w:t xml:space="preserve">Sección 5.- </w:t>
      </w:r>
      <w:r w:rsidR="00F234CF" w:rsidRPr="00F234CF">
        <w:rPr>
          <w:rFonts w:ascii="Book Antiqua" w:eastAsia="Times New Roman" w:hAnsi="Book Antiqua" w:cs="Times New Roman"/>
          <w:kern w:val="0"/>
          <w:lang w:val="es-PR"/>
          <w14:ligatures w14:val="none"/>
        </w:rPr>
        <w:t>Los fondos aquí asignados podrán ser pareados con fondos estatales, federales, municipales y privados.</w:t>
      </w:r>
    </w:p>
    <w:p w14:paraId="549F8545" w14:textId="1EC88146" w:rsidR="00A03A1A" w:rsidRPr="002D2659" w:rsidRDefault="0068022C" w:rsidP="00764DCD">
      <w:pPr>
        <w:spacing w:line="480" w:lineRule="auto"/>
        <w:ind w:firstLine="720"/>
        <w:jc w:val="both"/>
        <w:rPr>
          <w:lang w:val="es-PR"/>
        </w:rPr>
      </w:pPr>
      <w:r w:rsidRPr="00F234CF">
        <w:rPr>
          <w:rFonts w:ascii="Book Antiqua" w:eastAsia="Times New Roman" w:hAnsi="Book Antiqua" w:cs="Times New Roman"/>
          <w:kern w:val="0"/>
          <w:lang w:val="es-PR"/>
          <w14:ligatures w14:val="none"/>
        </w:rPr>
        <w:t>Sección 6.- Esta Resolución Conjunta comenzará a regir inmediatamente después de su aprobación.</w:t>
      </w:r>
    </w:p>
    <w:sectPr w:rsidR="00A03A1A" w:rsidRPr="002D2659" w:rsidSect="008118D1">
      <w:headerReference w:type="default" r:id="rId6"/>
      <w:footerReference w:type="default" r:id="rId7"/>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E5BA1" w14:textId="77777777" w:rsidR="004445C4" w:rsidRDefault="004445C4" w:rsidP="008118D1">
      <w:pPr>
        <w:spacing w:after="0" w:line="240" w:lineRule="auto"/>
      </w:pPr>
      <w:r>
        <w:separator/>
      </w:r>
    </w:p>
  </w:endnote>
  <w:endnote w:type="continuationSeparator" w:id="0">
    <w:p w14:paraId="09F4FBD2" w14:textId="77777777" w:rsidR="004445C4" w:rsidRDefault="004445C4" w:rsidP="008118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7498" w14:textId="336E7756" w:rsidR="008118D1" w:rsidRDefault="008118D1">
    <w:pPr>
      <w:pStyle w:val="Piedepgina"/>
      <w:jc w:val="center"/>
    </w:pPr>
  </w:p>
  <w:p w14:paraId="4BC3B5AC" w14:textId="77777777" w:rsidR="008118D1" w:rsidRDefault="008118D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789FA" w14:textId="77777777" w:rsidR="004445C4" w:rsidRDefault="004445C4" w:rsidP="008118D1">
      <w:pPr>
        <w:spacing w:after="0" w:line="240" w:lineRule="auto"/>
      </w:pPr>
      <w:r>
        <w:separator/>
      </w:r>
    </w:p>
  </w:footnote>
  <w:footnote w:type="continuationSeparator" w:id="0">
    <w:p w14:paraId="620D52FF" w14:textId="77777777" w:rsidR="004445C4" w:rsidRDefault="004445C4" w:rsidP="008118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7695135"/>
      <w:docPartObj>
        <w:docPartGallery w:val="Page Numbers (Top of Page)"/>
        <w:docPartUnique/>
      </w:docPartObj>
    </w:sdtPr>
    <w:sdtEndPr>
      <w:rPr>
        <w:noProof/>
      </w:rPr>
    </w:sdtEndPr>
    <w:sdtContent>
      <w:p w14:paraId="43DBDE46" w14:textId="247F0333" w:rsidR="00AC1425" w:rsidRDefault="00AC1425">
        <w:pPr>
          <w:pStyle w:val="Encabezado"/>
          <w:jc w:val="center"/>
        </w:pPr>
        <w:r>
          <w:fldChar w:fldCharType="begin"/>
        </w:r>
        <w:r>
          <w:instrText xml:space="preserve"> PAGE   \* MERGEFORMAT </w:instrText>
        </w:r>
        <w:r>
          <w:fldChar w:fldCharType="separate"/>
        </w:r>
        <w:r>
          <w:rPr>
            <w:noProof/>
          </w:rPr>
          <w:t>2</w:t>
        </w:r>
        <w:r>
          <w:rPr>
            <w:noProof/>
          </w:rPr>
          <w:fldChar w:fldCharType="end"/>
        </w:r>
      </w:p>
    </w:sdtContent>
  </w:sdt>
  <w:p w14:paraId="167DF112" w14:textId="77777777" w:rsidR="00AC1425" w:rsidRDefault="00AC142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659"/>
    <w:rsid w:val="000B2801"/>
    <w:rsid w:val="000D4E61"/>
    <w:rsid w:val="000F795E"/>
    <w:rsid w:val="001E60CF"/>
    <w:rsid w:val="00272A2A"/>
    <w:rsid w:val="002C6065"/>
    <w:rsid w:val="002D2659"/>
    <w:rsid w:val="00391FED"/>
    <w:rsid w:val="003C2E89"/>
    <w:rsid w:val="003E244E"/>
    <w:rsid w:val="0041286F"/>
    <w:rsid w:val="00415075"/>
    <w:rsid w:val="004445C4"/>
    <w:rsid w:val="00481104"/>
    <w:rsid w:val="004E5571"/>
    <w:rsid w:val="005F3EA8"/>
    <w:rsid w:val="00600012"/>
    <w:rsid w:val="00601415"/>
    <w:rsid w:val="00623811"/>
    <w:rsid w:val="006308A9"/>
    <w:rsid w:val="0065293D"/>
    <w:rsid w:val="0068022C"/>
    <w:rsid w:val="00697B92"/>
    <w:rsid w:val="00764DCD"/>
    <w:rsid w:val="00792ABB"/>
    <w:rsid w:val="008118D1"/>
    <w:rsid w:val="0087712F"/>
    <w:rsid w:val="008E0F89"/>
    <w:rsid w:val="00965A13"/>
    <w:rsid w:val="00A03A1A"/>
    <w:rsid w:val="00A05EE0"/>
    <w:rsid w:val="00AC1425"/>
    <w:rsid w:val="00B35271"/>
    <w:rsid w:val="00C83F45"/>
    <w:rsid w:val="00D63BC9"/>
    <w:rsid w:val="00DA6DC5"/>
    <w:rsid w:val="00DD7AD0"/>
    <w:rsid w:val="00E01CE7"/>
    <w:rsid w:val="00E037D1"/>
    <w:rsid w:val="00E46CEA"/>
    <w:rsid w:val="00EE7D37"/>
    <w:rsid w:val="00F0261E"/>
    <w:rsid w:val="00F03A4C"/>
    <w:rsid w:val="00F234CF"/>
    <w:rsid w:val="00FC4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B160A7"/>
  <w15:chartTrackingRefBased/>
  <w15:docId w15:val="{ECFEFB89-CE1E-4B88-BDFB-57D6E0291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D26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2D26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2D265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2D265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2D265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2D265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D265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D265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D265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D265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D265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D265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D265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D265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D265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D265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D265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D2659"/>
    <w:rPr>
      <w:rFonts w:eastAsiaTheme="majorEastAsia" w:cstheme="majorBidi"/>
      <w:color w:val="272727" w:themeColor="text1" w:themeTint="D8"/>
    </w:rPr>
  </w:style>
  <w:style w:type="paragraph" w:styleId="Ttulo">
    <w:name w:val="Title"/>
    <w:basedOn w:val="Normal"/>
    <w:next w:val="Normal"/>
    <w:link w:val="TtuloCar"/>
    <w:uiPriority w:val="10"/>
    <w:qFormat/>
    <w:rsid w:val="002D26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D265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D265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D265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D2659"/>
    <w:pPr>
      <w:spacing w:before="160"/>
      <w:jc w:val="center"/>
    </w:pPr>
    <w:rPr>
      <w:i/>
      <w:iCs/>
      <w:color w:val="404040" w:themeColor="text1" w:themeTint="BF"/>
    </w:rPr>
  </w:style>
  <w:style w:type="character" w:customStyle="1" w:styleId="CitaCar">
    <w:name w:val="Cita Car"/>
    <w:basedOn w:val="Fuentedeprrafopredeter"/>
    <w:link w:val="Cita"/>
    <w:uiPriority w:val="29"/>
    <w:rsid w:val="002D2659"/>
    <w:rPr>
      <w:i/>
      <w:iCs/>
      <w:color w:val="404040" w:themeColor="text1" w:themeTint="BF"/>
    </w:rPr>
  </w:style>
  <w:style w:type="paragraph" w:styleId="Prrafodelista">
    <w:name w:val="List Paragraph"/>
    <w:basedOn w:val="Normal"/>
    <w:uiPriority w:val="34"/>
    <w:qFormat/>
    <w:rsid w:val="002D2659"/>
    <w:pPr>
      <w:ind w:left="720"/>
      <w:contextualSpacing/>
    </w:pPr>
  </w:style>
  <w:style w:type="character" w:styleId="nfasisintenso">
    <w:name w:val="Intense Emphasis"/>
    <w:basedOn w:val="Fuentedeprrafopredeter"/>
    <w:uiPriority w:val="21"/>
    <w:qFormat/>
    <w:rsid w:val="002D2659"/>
    <w:rPr>
      <w:i/>
      <w:iCs/>
      <w:color w:val="0F4761" w:themeColor="accent1" w:themeShade="BF"/>
    </w:rPr>
  </w:style>
  <w:style w:type="paragraph" w:styleId="Citadestacada">
    <w:name w:val="Intense Quote"/>
    <w:basedOn w:val="Normal"/>
    <w:next w:val="Normal"/>
    <w:link w:val="CitadestacadaCar"/>
    <w:uiPriority w:val="30"/>
    <w:qFormat/>
    <w:rsid w:val="002D26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2D2659"/>
    <w:rPr>
      <w:i/>
      <w:iCs/>
      <w:color w:val="0F4761" w:themeColor="accent1" w:themeShade="BF"/>
    </w:rPr>
  </w:style>
  <w:style w:type="character" w:styleId="Referenciaintensa">
    <w:name w:val="Intense Reference"/>
    <w:basedOn w:val="Fuentedeprrafopredeter"/>
    <w:uiPriority w:val="32"/>
    <w:qFormat/>
    <w:rsid w:val="002D2659"/>
    <w:rPr>
      <w:b/>
      <w:bCs/>
      <w:smallCaps/>
      <w:color w:val="0F4761" w:themeColor="accent1" w:themeShade="BF"/>
      <w:spacing w:val="5"/>
    </w:rPr>
  </w:style>
  <w:style w:type="character" w:styleId="Nmerodelnea">
    <w:name w:val="line number"/>
    <w:basedOn w:val="Fuentedeprrafopredeter"/>
    <w:uiPriority w:val="99"/>
    <w:semiHidden/>
    <w:unhideWhenUsed/>
    <w:rsid w:val="00764DCD"/>
  </w:style>
  <w:style w:type="paragraph" w:styleId="Encabezado">
    <w:name w:val="header"/>
    <w:basedOn w:val="Normal"/>
    <w:link w:val="EncabezadoCar"/>
    <w:uiPriority w:val="99"/>
    <w:unhideWhenUsed/>
    <w:rsid w:val="008118D1"/>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8118D1"/>
  </w:style>
  <w:style w:type="paragraph" w:styleId="Piedepgina">
    <w:name w:val="footer"/>
    <w:basedOn w:val="Normal"/>
    <w:link w:val="PiedepginaCar"/>
    <w:uiPriority w:val="99"/>
    <w:unhideWhenUsed/>
    <w:rsid w:val="008118D1"/>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8118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720</Words>
  <Characters>4110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Berrios Sierra (Fondos Legislativos)</dc:creator>
  <cp:keywords/>
  <dc:description/>
  <cp:lastModifiedBy>Rocío Alayón Morell</cp:lastModifiedBy>
  <cp:revision>4</cp:revision>
  <cp:lastPrinted>2026-06-16T19:28:00Z</cp:lastPrinted>
  <dcterms:created xsi:type="dcterms:W3CDTF">2026-06-16T20:47:00Z</dcterms:created>
  <dcterms:modified xsi:type="dcterms:W3CDTF">2026-06-17T15:57:00Z</dcterms:modified>
</cp:coreProperties>
</file>