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8669F" w14:textId="37C712B7" w:rsidR="009F0EBF" w:rsidRPr="00C350AC" w:rsidRDefault="00AA2350" w:rsidP="009F0EBF">
      <w:pPr>
        <w:jc w:val="center"/>
        <w:rPr>
          <w:rFonts w:ascii="Book Antiqua" w:hAnsi="Book Antiqua"/>
          <w:sz w:val="28"/>
          <w:lang w:val="es-PR"/>
        </w:rPr>
      </w:pPr>
      <w:r w:rsidRPr="00C350AC">
        <w:rPr>
          <w:rFonts w:ascii="Book Antiqua" w:hAnsi="Book Antiqua"/>
          <w:sz w:val="28"/>
          <w:lang w:val="es-PR"/>
        </w:rPr>
        <w:t>GOBIERNO DE PUERTO RICO</w:t>
      </w:r>
    </w:p>
    <w:p w14:paraId="7CC5B41B" w14:textId="77777777" w:rsidR="009F0EBF" w:rsidRPr="00C350AC" w:rsidRDefault="009F0EBF" w:rsidP="009F0EBF">
      <w:pPr>
        <w:jc w:val="center"/>
        <w:rPr>
          <w:rFonts w:ascii="Book Antiqua" w:hAnsi="Book Antiqua"/>
          <w:szCs w:val="18"/>
          <w:lang w:val="es-PR"/>
        </w:rPr>
      </w:pPr>
    </w:p>
    <w:p w14:paraId="479B618D" w14:textId="07C74DB0" w:rsidR="009F0EBF" w:rsidRPr="00C350AC" w:rsidRDefault="001879D9" w:rsidP="009F0EBF">
      <w:pPr>
        <w:pStyle w:val="Title2"/>
        <w:rPr>
          <w:rFonts w:ascii="Book Antiqua" w:hAnsi="Book Antiqua"/>
          <w:lang w:val="es-PR"/>
        </w:rPr>
      </w:pPr>
      <w:r w:rsidRPr="00C350AC">
        <w:rPr>
          <w:rFonts w:ascii="Book Antiqua" w:hAnsi="Book Antiqua"/>
          <w:lang w:val="es-PR"/>
        </w:rPr>
        <w:t>20ma</w:t>
      </w:r>
      <w:r w:rsidR="007B2A91" w:rsidRPr="00C350AC">
        <w:rPr>
          <w:rFonts w:ascii="Book Antiqua" w:hAnsi="Book Antiqua"/>
          <w:lang w:val="es-PR"/>
        </w:rPr>
        <w:t>.</w:t>
      </w:r>
      <w:r w:rsidR="009F0EBF" w:rsidRPr="00C350AC">
        <w:rPr>
          <w:rFonts w:ascii="Book Antiqua" w:hAnsi="Book Antiqua"/>
          <w:lang w:val="es-PR"/>
        </w:rPr>
        <w:t xml:space="preserve"> Asamblea</w:t>
      </w:r>
      <w:r w:rsidR="009F0EBF" w:rsidRPr="00C350AC">
        <w:rPr>
          <w:rFonts w:ascii="Book Antiqua" w:hAnsi="Book Antiqua"/>
          <w:lang w:val="es-PR"/>
        </w:rPr>
        <w:tab/>
      </w:r>
      <w:r w:rsidR="00F03C45">
        <w:rPr>
          <w:rFonts w:ascii="Book Antiqua" w:hAnsi="Book Antiqua"/>
          <w:lang w:val="es-PR"/>
        </w:rPr>
        <w:t>3</w:t>
      </w:r>
      <w:r w:rsidR="007B2A91" w:rsidRPr="00C350AC">
        <w:rPr>
          <w:rFonts w:ascii="Book Antiqua" w:hAnsi="Book Antiqua"/>
          <w:lang w:val="es-PR"/>
        </w:rPr>
        <w:t>ra.</w:t>
      </w:r>
      <w:r w:rsidR="009F0EBF" w:rsidRPr="00C350AC">
        <w:rPr>
          <w:rFonts w:ascii="Book Antiqua" w:hAnsi="Book Antiqua"/>
          <w:lang w:val="es-PR"/>
        </w:rPr>
        <w:tab/>
        <w:t>Sesión</w:t>
      </w:r>
    </w:p>
    <w:p w14:paraId="2EFA2DDF" w14:textId="77777777" w:rsidR="009F0EBF" w:rsidRPr="00C350AC" w:rsidRDefault="009F0EBF" w:rsidP="009F0EBF">
      <w:pPr>
        <w:pStyle w:val="Title2"/>
        <w:rPr>
          <w:rFonts w:ascii="Book Antiqua" w:hAnsi="Book Antiqua"/>
          <w:lang w:val="es-PR"/>
        </w:rPr>
      </w:pPr>
      <w:r w:rsidRPr="00C350AC">
        <w:rPr>
          <w:rFonts w:ascii="Book Antiqua" w:hAnsi="Book Antiqua"/>
          <w:lang w:val="es-PR"/>
        </w:rPr>
        <w:tab/>
        <w:t>Legislativa</w:t>
      </w:r>
      <w:r w:rsidRPr="00C350AC">
        <w:rPr>
          <w:rFonts w:ascii="Book Antiqua" w:hAnsi="Book Antiqua"/>
          <w:lang w:val="es-PR"/>
        </w:rPr>
        <w:tab/>
      </w:r>
      <w:r w:rsidRPr="00C350AC">
        <w:rPr>
          <w:rFonts w:ascii="Book Antiqua" w:hAnsi="Book Antiqua"/>
          <w:lang w:val="es-PR"/>
        </w:rPr>
        <w:tab/>
        <w:t>Ordinaria</w:t>
      </w:r>
    </w:p>
    <w:p w14:paraId="4EBEA112" w14:textId="77777777" w:rsidR="009F0EBF" w:rsidRPr="00C350AC" w:rsidRDefault="009F0EBF" w:rsidP="009F0EBF">
      <w:pPr>
        <w:rPr>
          <w:rFonts w:ascii="Book Antiqua" w:hAnsi="Book Antiqua"/>
          <w:lang w:val="es-PR"/>
        </w:rPr>
      </w:pPr>
    </w:p>
    <w:p w14:paraId="71823855" w14:textId="2F3899BD" w:rsidR="009F0EBF" w:rsidRPr="00C350AC" w:rsidRDefault="009F0EBF" w:rsidP="007B2A91">
      <w:pPr>
        <w:jc w:val="center"/>
        <w:rPr>
          <w:rFonts w:ascii="Book Antiqua" w:hAnsi="Book Antiqua"/>
          <w:b/>
          <w:sz w:val="36"/>
          <w:lang w:val="es-PR"/>
        </w:rPr>
      </w:pPr>
      <w:r w:rsidRPr="00C350AC">
        <w:rPr>
          <w:rFonts w:ascii="Book Antiqua" w:hAnsi="Book Antiqua"/>
          <w:b/>
          <w:sz w:val="36"/>
          <w:lang w:val="es-PR"/>
        </w:rPr>
        <w:t>CÁMARA DE REPRESENTANTES</w:t>
      </w:r>
    </w:p>
    <w:p w14:paraId="3326B7B8" w14:textId="77777777" w:rsidR="007B2A91" w:rsidRPr="00C350AC" w:rsidRDefault="007B2A91" w:rsidP="007B2A91">
      <w:pPr>
        <w:jc w:val="center"/>
        <w:rPr>
          <w:rFonts w:ascii="Book Antiqua" w:hAnsi="Book Antiqua"/>
          <w:b/>
          <w:szCs w:val="24"/>
          <w:lang w:val="es-PR"/>
        </w:rPr>
      </w:pPr>
    </w:p>
    <w:p w14:paraId="2BB81995" w14:textId="6376B741" w:rsidR="009F0EBF" w:rsidRPr="00C350AC" w:rsidRDefault="009F0EBF" w:rsidP="007B2A91">
      <w:pPr>
        <w:jc w:val="center"/>
        <w:rPr>
          <w:rFonts w:ascii="Book Antiqua" w:hAnsi="Book Antiqua"/>
          <w:b/>
          <w:sz w:val="52"/>
          <w:lang w:val="es-PR"/>
        </w:rPr>
      </w:pPr>
      <w:r w:rsidRPr="00C350AC">
        <w:rPr>
          <w:rFonts w:ascii="Book Antiqua" w:hAnsi="Book Antiqua"/>
          <w:b/>
          <w:sz w:val="52"/>
          <w:lang w:val="es-PR"/>
        </w:rPr>
        <w:t xml:space="preserve">P. de la C. </w:t>
      </w:r>
      <w:r w:rsidR="00190E7D">
        <w:rPr>
          <w:rFonts w:ascii="Book Antiqua" w:hAnsi="Book Antiqua"/>
          <w:b/>
          <w:sz w:val="52"/>
          <w:lang w:val="es-PR"/>
        </w:rPr>
        <w:t>1317</w:t>
      </w:r>
    </w:p>
    <w:p w14:paraId="3DCCB3DD" w14:textId="77777777" w:rsidR="007B2A91" w:rsidRPr="00C350AC" w:rsidRDefault="007B2A91" w:rsidP="007B2A91">
      <w:pPr>
        <w:jc w:val="center"/>
        <w:rPr>
          <w:rFonts w:ascii="Book Antiqua" w:hAnsi="Book Antiqua"/>
          <w:lang w:val="es-PR"/>
        </w:rPr>
      </w:pPr>
    </w:p>
    <w:p w14:paraId="50BA278B" w14:textId="0F31ACC9" w:rsidR="009F0EBF" w:rsidRPr="00C350AC" w:rsidRDefault="00190E7D" w:rsidP="007B2A91">
      <w:pPr>
        <w:jc w:val="center"/>
        <w:rPr>
          <w:rFonts w:ascii="Book Antiqua" w:hAnsi="Book Antiqua"/>
          <w:lang w:val="es-PR"/>
        </w:rPr>
      </w:pPr>
      <w:r>
        <w:rPr>
          <w:rFonts w:ascii="Book Antiqua" w:hAnsi="Book Antiqua"/>
          <w:lang w:val="es-PR"/>
        </w:rPr>
        <w:t xml:space="preserve">22 </w:t>
      </w:r>
      <w:r w:rsidR="009F0EBF" w:rsidRPr="00C350AC">
        <w:rPr>
          <w:rFonts w:ascii="Book Antiqua" w:hAnsi="Book Antiqua"/>
          <w:lang w:val="es-PR"/>
        </w:rPr>
        <w:t xml:space="preserve">DE </w:t>
      </w:r>
      <w:r w:rsidR="00F03C45">
        <w:rPr>
          <w:rFonts w:ascii="Book Antiqua" w:hAnsi="Book Antiqua"/>
          <w:lang w:val="es-PR"/>
        </w:rPr>
        <w:t>JUNIO</w:t>
      </w:r>
      <w:r w:rsidR="00955F71">
        <w:rPr>
          <w:rFonts w:ascii="Book Antiqua" w:hAnsi="Book Antiqua"/>
          <w:lang w:val="es-PR"/>
        </w:rPr>
        <w:t xml:space="preserve"> </w:t>
      </w:r>
      <w:r w:rsidR="009F0EBF" w:rsidRPr="00C350AC">
        <w:rPr>
          <w:rFonts w:ascii="Book Antiqua" w:hAnsi="Book Antiqua"/>
          <w:lang w:val="es-PR"/>
        </w:rPr>
        <w:t>DE 202</w:t>
      </w:r>
      <w:r w:rsidR="00F03C45">
        <w:rPr>
          <w:rFonts w:ascii="Book Antiqua" w:hAnsi="Book Antiqua"/>
          <w:lang w:val="es-PR"/>
        </w:rPr>
        <w:t>6</w:t>
      </w:r>
    </w:p>
    <w:p w14:paraId="15067624" w14:textId="77777777" w:rsidR="00395958" w:rsidRPr="00C350AC" w:rsidRDefault="00395958" w:rsidP="007B2A91">
      <w:pPr>
        <w:jc w:val="center"/>
        <w:rPr>
          <w:rFonts w:ascii="Book Antiqua" w:hAnsi="Book Antiqua"/>
          <w:lang w:val="es-PR"/>
        </w:rPr>
      </w:pPr>
    </w:p>
    <w:p w14:paraId="49DBBD96" w14:textId="3F8F0B5E" w:rsidR="00F03C45" w:rsidRPr="00037389" w:rsidRDefault="009F0EBF" w:rsidP="007B2A91">
      <w:pPr>
        <w:jc w:val="center"/>
        <w:rPr>
          <w:rFonts w:ascii="Book Antiqua" w:hAnsi="Book Antiqua"/>
          <w:i/>
          <w:lang w:val="es-PR"/>
        </w:rPr>
      </w:pPr>
      <w:r w:rsidRPr="00C350AC">
        <w:rPr>
          <w:rFonts w:ascii="Book Antiqua" w:hAnsi="Book Antiqua"/>
          <w:lang w:val="es-PR"/>
        </w:rPr>
        <w:t>Presentado por l</w:t>
      </w:r>
      <w:r w:rsidR="0036707D" w:rsidRPr="00C350AC">
        <w:rPr>
          <w:rFonts w:ascii="Book Antiqua" w:hAnsi="Book Antiqua"/>
          <w:lang w:val="es-PR"/>
        </w:rPr>
        <w:t>a</w:t>
      </w:r>
      <w:r w:rsidRPr="00C350AC">
        <w:rPr>
          <w:rFonts w:ascii="Book Antiqua" w:hAnsi="Book Antiqua"/>
          <w:lang w:val="es-PR"/>
        </w:rPr>
        <w:t xml:space="preserve"> representante</w:t>
      </w:r>
      <w:r w:rsidR="002F7329" w:rsidRPr="00C350AC">
        <w:rPr>
          <w:rFonts w:ascii="Book Antiqua" w:hAnsi="Book Antiqua"/>
          <w:i/>
          <w:lang w:val="es-PR"/>
        </w:rPr>
        <w:t xml:space="preserve"> </w:t>
      </w:r>
      <w:r w:rsidR="00461F2A" w:rsidRPr="00C350AC">
        <w:rPr>
          <w:rFonts w:ascii="Book Antiqua" w:hAnsi="Book Antiqua"/>
          <w:i/>
          <w:lang w:val="es-PR"/>
        </w:rPr>
        <w:t>Medina Calderón</w:t>
      </w:r>
      <w:r w:rsidR="00761CDE" w:rsidRPr="00C350AC">
        <w:rPr>
          <w:rFonts w:ascii="Book Antiqua" w:hAnsi="Book Antiqua"/>
          <w:i/>
          <w:lang w:val="es-PR"/>
        </w:rPr>
        <w:t xml:space="preserve">  </w:t>
      </w:r>
    </w:p>
    <w:p w14:paraId="436F3F20" w14:textId="4F3A8672" w:rsidR="00F03C45" w:rsidRPr="00F03C45" w:rsidRDefault="00F03C45" w:rsidP="007B2A91">
      <w:pPr>
        <w:jc w:val="center"/>
        <w:rPr>
          <w:rFonts w:ascii="Book Antiqua" w:hAnsi="Book Antiqua"/>
          <w:i/>
          <w:lang w:val="es-PR"/>
        </w:rPr>
      </w:pPr>
      <w:r w:rsidRPr="00F03C45">
        <w:rPr>
          <w:rFonts w:ascii="Book Antiqua" w:hAnsi="Book Antiqua"/>
          <w:i/>
          <w:lang w:val="es-PR"/>
        </w:rPr>
        <w:t>Por petición de la trabajadora social Yasmelyn Fuentes Ramos</w:t>
      </w:r>
    </w:p>
    <w:p w14:paraId="7E189B74" w14:textId="77777777" w:rsidR="007B2A91" w:rsidRPr="00C350AC" w:rsidRDefault="007B2A91" w:rsidP="007B2A91">
      <w:pPr>
        <w:jc w:val="center"/>
        <w:rPr>
          <w:rFonts w:ascii="Book Antiqua" w:hAnsi="Book Antiqua"/>
          <w:i/>
          <w:lang w:val="es-PR"/>
        </w:rPr>
      </w:pPr>
    </w:p>
    <w:p w14:paraId="61E0D59C" w14:textId="0D743827" w:rsidR="009F0EBF" w:rsidRPr="00C350AC" w:rsidRDefault="009F0EBF" w:rsidP="007B2A91">
      <w:pPr>
        <w:jc w:val="center"/>
        <w:rPr>
          <w:rFonts w:ascii="Book Antiqua" w:hAnsi="Book Antiqua"/>
          <w:lang w:val="es-PR"/>
        </w:rPr>
      </w:pPr>
      <w:r w:rsidRPr="00C350AC">
        <w:rPr>
          <w:rFonts w:ascii="Book Antiqua" w:hAnsi="Book Antiqua"/>
          <w:lang w:val="es-PR"/>
        </w:rPr>
        <w:t xml:space="preserve">Referido a </w:t>
      </w:r>
      <w:r w:rsidR="00037389">
        <w:rPr>
          <w:rFonts w:ascii="Book Antiqua" w:hAnsi="Book Antiqua"/>
          <w:lang w:val="es-PR"/>
        </w:rPr>
        <w:t xml:space="preserve">la Comisión de </w:t>
      </w:r>
      <w:r w:rsidR="006426AA">
        <w:rPr>
          <w:rFonts w:ascii="Book Antiqua" w:hAnsi="Book Antiqua"/>
          <w:lang w:val="es-PR"/>
        </w:rPr>
        <w:t>Educación</w:t>
      </w:r>
    </w:p>
    <w:p w14:paraId="096FA03C" w14:textId="77777777" w:rsidR="009F0EBF" w:rsidRPr="00C350AC" w:rsidRDefault="009F0EBF" w:rsidP="009F0EBF">
      <w:pPr>
        <w:jc w:val="both"/>
        <w:rPr>
          <w:rFonts w:ascii="Book Antiqua" w:hAnsi="Book Antiqua"/>
          <w:lang w:val="es-PR"/>
        </w:rPr>
      </w:pPr>
    </w:p>
    <w:p w14:paraId="1A62DA1E" w14:textId="77777777" w:rsidR="009F0EBF" w:rsidRPr="00C350AC" w:rsidRDefault="009F0EBF" w:rsidP="009F0EBF">
      <w:pPr>
        <w:jc w:val="center"/>
        <w:rPr>
          <w:rFonts w:ascii="Book Antiqua" w:hAnsi="Book Antiqua"/>
          <w:b/>
          <w:sz w:val="28"/>
          <w:lang w:val="es-PR"/>
        </w:rPr>
      </w:pPr>
      <w:r w:rsidRPr="00C350AC">
        <w:rPr>
          <w:rFonts w:ascii="Book Antiqua" w:hAnsi="Book Antiqua"/>
          <w:b/>
          <w:sz w:val="28"/>
          <w:lang w:val="es-PR"/>
        </w:rPr>
        <w:t>LEY</w:t>
      </w:r>
    </w:p>
    <w:p w14:paraId="5D566CD7" w14:textId="77777777" w:rsidR="009F0EBF" w:rsidRPr="00C350AC" w:rsidRDefault="009F0EBF" w:rsidP="009F0EBF">
      <w:pPr>
        <w:jc w:val="both"/>
        <w:rPr>
          <w:rFonts w:ascii="Book Antiqua" w:hAnsi="Book Antiqua"/>
          <w:lang w:val="es-PR"/>
        </w:rPr>
      </w:pPr>
    </w:p>
    <w:p w14:paraId="3FF7B5E1" w14:textId="426D9C2B" w:rsidR="00F03C45" w:rsidRPr="003A47D4" w:rsidRDefault="009F0EBF" w:rsidP="00F03C45">
      <w:pPr>
        <w:ind w:left="720" w:hanging="720"/>
        <w:contextualSpacing/>
        <w:jc w:val="both"/>
        <w:rPr>
          <w:rFonts w:ascii="Book Antiqua" w:eastAsiaTheme="minorHAnsi" w:hAnsi="Book Antiqua" w:cs="Arial"/>
          <w:kern w:val="2"/>
          <w:szCs w:val="24"/>
          <w:lang w:val="es-ES"/>
          <w14:ligatures w14:val="standardContextual"/>
        </w:rPr>
      </w:pPr>
      <w:r w:rsidRPr="003A47D4">
        <w:rPr>
          <w:rFonts w:ascii="Book Antiqua" w:hAnsi="Book Antiqua"/>
          <w:lang w:val="es-PR"/>
        </w:rPr>
        <w:t>Para</w:t>
      </w:r>
      <w:r w:rsidR="00F03C45" w:rsidRPr="003A47D4">
        <w:rPr>
          <w:rFonts w:ascii="Book Antiqua" w:eastAsiaTheme="minorHAnsi" w:hAnsi="Book Antiqua" w:cs="Arial"/>
          <w:kern w:val="2"/>
          <w:szCs w:val="24"/>
          <w:lang w:val="es-ES"/>
          <w14:ligatures w14:val="standardContextual"/>
        </w:rPr>
        <w:t xml:space="preserve"> </w:t>
      </w:r>
      <w:r w:rsidR="003A47D4" w:rsidRPr="003A47D4">
        <w:rPr>
          <w:rFonts w:ascii="Book Antiqua" w:hAnsi="Book Antiqua" w:cs="Arial"/>
          <w:lang w:val="es-ES"/>
        </w:rPr>
        <w:t xml:space="preserve">crear la “Ley de Educación en Equidad y Prevención de la Violencia de Género en las Escuelas de Puerto Rico”; con el propósito de </w:t>
      </w:r>
      <w:r w:rsidR="00F03C45" w:rsidRPr="003A47D4">
        <w:rPr>
          <w:rFonts w:ascii="Book Antiqua" w:eastAsiaTheme="minorHAnsi" w:hAnsi="Book Antiqua" w:cs="Arial"/>
          <w:kern w:val="2"/>
          <w:szCs w:val="24"/>
          <w:lang w:val="es-ES"/>
          <w14:ligatures w14:val="standardContextual"/>
        </w:rPr>
        <w:t xml:space="preserve">implantar un programa obligatorio y transversal de prevención de violencia de género en el currículo de escuelas intermedias y superiores del sistema de educación pública y privada </w:t>
      </w:r>
      <w:r w:rsidR="003A47D4" w:rsidRPr="003A47D4">
        <w:rPr>
          <w:rFonts w:ascii="Book Antiqua" w:eastAsiaTheme="minorHAnsi" w:hAnsi="Book Antiqua" w:cs="Arial"/>
          <w:kern w:val="2"/>
          <w:szCs w:val="24"/>
          <w:lang w:val="es-ES"/>
          <w14:ligatures w14:val="standardContextual"/>
        </w:rPr>
        <w:t>en</w:t>
      </w:r>
      <w:r w:rsidR="00F03C45" w:rsidRPr="003A47D4">
        <w:rPr>
          <w:rFonts w:ascii="Book Antiqua" w:eastAsiaTheme="minorHAnsi" w:hAnsi="Book Antiqua" w:cs="Arial"/>
          <w:kern w:val="2"/>
          <w:szCs w:val="24"/>
          <w:lang w:val="es-ES"/>
          <w14:ligatures w14:val="standardContextual"/>
        </w:rPr>
        <w:t xml:space="preserve"> Puerto Rico; asignar fondos; y para otros fines relacionados.</w:t>
      </w:r>
    </w:p>
    <w:p w14:paraId="755C9569" w14:textId="1D094E9C" w:rsidR="00B36870" w:rsidRPr="00C350AC" w:rsidRDefault="00B36870" w:rsidP="00F03C45">
      <w:pPr>
        <w:ind w:left="720" w:hanging="720"/>
        <w:jc w:val="both"/>
        <w:rPr>
          <w:rFonts w:ascii="Book Antiqua" w:hAnsi="Book Antiqua"/>
          <w:lang w:val="es-ES"/>
        </w:rPr>
      </w:pPr>
    </w:p>
    <w:p w14:paraId="5778F9E5" w14:textId="77777777" w:rsidR="009F0EBF" w:rsidRDefault="009F0EBF" w:rsidP="002E6481">
      <w:pPr>
        <w:ind w:firstLine="360"/>
        <w:jc w:val="center"/>
        <w:rPr>
          <w:rFonts w:ascii="Book Antiqua" w:hAnsi="Book Antiqua"/>
          <w:lang w:val="es-PR"/>
        </w:rPr>
      </w:pPr>
      <w:r w:rsidRPr="00C350AC">
        <w:rPr>
          <w:rFonts w:ascii="Book Antiqua" w:hAnsi="Book Antiqua"/>
          <w:lang w:val="es-PR"/>
        </w:rPr>
        <w:t>EXPOSICIÓN DE MOTIVOS</w:t>
      </w:r>
    </w:p>
    <w:p w14:paraId="5325FCAB" w14:textId="77777777" w:rsidR="002E6481" w:rsidRPr="003A47D4" w:rsidRDefault="002E6481" w:rsidP="003A47D4">
      <w:pPr>
        <w:ind w:firstLine="360"/>
        <w:jc w:val="both"/>
        <w:rPr>
          <w:rFonts w:ascii="Book Antiqua" w:hAnsi="Book Antiqua"/>
          <w:szCs w:val="24"/>
          <w:lang w:val="es-PR"/>
        </w:rPr>
      </w:pPr>
    </w:p>
    <w:p w14:paraId="58C24B30" w14:textId="77777777" w:rsidR="003A47D4"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La violencia de género en Puerto Rico constituye una crisis de salud y seguridad pública que atenta contra los derechos humanos más fundamentales. A pesar de los esfuerzos punitivos y punibles tras la declaración de un Estado de Emergencia, las estadísticas de feminicidios, agresiones sexuales y violencia doméstica demuestran que las medidas reactivas no son suficientes.</w:t>
      </w:r>
    </w:p>
    <w:p w14:paraId="207E870C" w14:textId="77777777" w:rsidR="00037389" w:rsidRPr="003A47D4"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065FA441" w14:textId="70668A77" w:rsidR="003A47D4"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La raíz del problema es cultural y estructural. Se fundamenta en estereotipos, relaciones de poder desiguales y la falta de herramientas emocionales para resolver conflictos de manera pacífica. El espacio idóneo para transformar esta cultura es la escuela. Incidir en las etapas de la adolescencia (escuela intermedia y superior) permite identificar conductas de riesgo como el</w:t>
      </w:r>
      <w:r w:rsidR="00B30DEA" w:rsidRPr="00B30DEA">
        <w:rPr>
          <w:rFonts w:ascii="Book Antiqua" w:eastAsiaTheme="minorHAnsi" w:hAnsi="Book Antiqua" w:cs="Arial"/>
          <w:i/>
          <w:iCs/>
          <w:kern w:val="2"/>
          <w:szCs w:val="24"/>
          <w:lang w:val="es-ES"/>
          <w14:ligatures w14:val="standardContextual"/>
        </w:rPr>
        <w:t xml:space="preserve"> dating violence</w:t>
      </w:r>
      <w:r w:rsidR="00B30DEA" w:rsidRPr="003A47D4">
        <w:rPr>
          <w:rFonts w:ascii="Book Antiqua" w:eastAsiaTheme="minorHAnsi" w:hAnsi="Book Antiqua" w:cs="Arial"/>
          <w:kern w:val="2"/>
          <w:szCs w:val="24"/>
          <w:lang w:val="es-ES"/>
          <w14:ligatures w14:val="standardContextual"/>
        </w:rPr>
        <w:t xml:space="preserve"> </w:t>
      </w:r>
      <w:r w:rsidRPr="003A47D4">
        <w:rPr>
          <w:rFonts w:ascii="Book Antiqua" w:eastAsiaTheme="minorHAnsi" w:hAnsi="Book Antiqua" w:cs="Arial"/>
          <w:kern w:val="2"/>
          <w:szCs w:val="24"/>
          <w:lang w:val="es-ES"/>
          <w14:ligatures w14:val="standardContextual"/>
        </w:rPr>
        <w:t>(</w:t>
      </w:r>
      <w:r w:rsidR="00B30DEA" w:rsidRPr="003A47D4">
        <w:rPr>
          <w:rFonts w:ascii="Book Antiqua" w:eastAsiaTheme="minorHAnsi" w:hAnsi="Book Antiqua" w:cs="Arial"/>
          <w:kern w:val="2"/>
          <w:szCs w:val="24"/>
          <w:lang w:val="es-ES"/>
          <w14:ligatures w14:val="standardContextual"/>
        </w:rPr>
        <w:t>maltrato en el noviazgo</w:t>
      </w:r>
      <w:r w:rsidRPr="003A47D4">
        <w:rPr>
          <w:rFonts w:ascii="Book Antiqua" w:eastAsiaTheme="minorHAnsi" w:hAnsi="Book Antiqua" w:cs="Arial"/>
          <w:kern w:val="2"/>
          <w:szCs w:val="24"/>
          <w:lang w:val="es-ES"/>
          <w14:ligatures w14:val="standardContextual"/>
        </w:rPr>
        <w:t>), construir relaciones basadas en el respeto mutuo, el consentimiento y erradicar las conductas machistas antes de que se arraiguen en la adultez.</w:t>
      </w:r>
    </w:p>
    <w:p w14:paraId="401999B4" w14:textId="77777777" w:rsidR="00037389" w:rsidRPr="003A47D4"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31CBEA41" w14:textId="77777777" w:rsidR="00B30DEA"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lastRenderedPageBreak/>
        <w:t xml:space="preserve">La urgencia de legislar se sostiene sobre la preocupante realidad estadística de nuestro Archipiélago. Datos del Observatorio de Equidad de Género y de la Oficina de la Procuradora de las Mujeres (OPM) confirman de manera consistente que las conductas de control, el acecho virtual y la violencia psicológica comienzan a manifestarse desde etapas tempranas en el noviazgo adolescente. </w:t>
      </w:r>
    </w:p>
    <w:p w14:paraId="38308878"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12440CF1" w14:textId="4AC081CB" w:rsidR="003A47D4"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En Puerto Rico, la normalización de los celos, la fiscalización de las redes sociales y la manipulación afectiva se han convertido en la antesala de la violencia física en la adultez. Al no intervenir de forma educativa en las escuelas intermedias y superiores, el Estado permite la perpetuación de ciclos de violencia que luego saturan nuestro sistema judicial y cobran vidas de jóvenes puertorriqueñas.</w:t>
      </w:r>
    </w:p>
    <w:p w14:paraId="70B15CAE" w14:textId="77777777" w:rsidR="00037389" w:rsidRPr="003A47D4"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4122BFBC" w14:textId="13EEDDB6" w:rsidR="003A47D4"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Prevenir la violencia de género en las escuelas es fiscalmente más responsable que atender sus consecuencias.</w:t>
      </w:r>
      <w:r w:rsidR="00B30DEA">
        <w:rPr>
          <w:rFonts w:ascii="Book Antiqua" w:eastAsiaTheme="minorHAnsi" w:hAnsi="Book Antiqua" w:cs="Arial"/>
          <w:kern w:val="2"/>
          <w:szCs w:val="24"/>
          <w:lang w:val="es-ES"/>
          <w14:ligatures w14:val="standardContextual"/>
        </w:rPr>
        <w:t xml:space="preserve">  </w:t>
      </w:r>
      <w:r w:rsidRPr="003A47D4">
        <w:rPr>
          <w:rFonts w:ascii="Book Antiqua" w:eastAsiaTheme="minorHAnsi" w:hAnsi="Book Antiqua" w:cs="Arial"/>
          <w:kern w:val="2"/>
          <w:szCs w:val="24"/>
          <w:lang w:val="es-ES"/>
          <w14:ligatures w14:val="standardContextual"/>
        </w:rPr>
        <w:t>Un programa educativo previene el gasto futuro en:</w:t>
      </w:r>
    </w:p>
    <w:p w14:paraId="4CFD300C" w14:textId="77777777" w:rsidR="00037389" w:rsidRPr="003A47D4"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470A3440" w14:textId="77777777" w:rsidR="00B30DEA" w:rsidRDefault="003A47D4" w:rsidP="00037389">
      <w:pPr>
        <w:pStyle w:val="Prrafodelista"/>
        <w:numPr>
          <w:ilvl w:val="0"/>
          <w:numId w:val="13"/>
        </w:numPr>
        <w:jc w:val="both"/>
        <w:rPr>
          <w:rFonts w:ascii="Book Antiqua" w:eastAsiaTheme="minorHAnsi" w:hAnsi="Book Antiqua" w:cs="Arial"/>
          <w:kern w:val="2"/>
          <w:szCs w:val="24"/>
          <w:lang w:val="es-ES"/>
          <w14:ligatures w14:val="standardContextual"/>
        </w:rPr>
      </w:pPr>
      <w:r w:rsidRPr="00B30DEA">
        <w:rPr>
          <w:rFonts w:ascii="Book Antiqua" w:eastAsiaTheme="minorHAnsi" w:hAnsi="Book Antiqua" w:cs="Arial"/>
          <w:kern w:val="2"/>
          <w:szCs w:val="24"/>
          <w:lang w:val="es-ES"/>
          <w14:ligatures w14:val="standardContextual"/>
        </w:rPr>
        <w:t>Procesos judiciales y representación legal pública.</w:t>
      </w:r>
    </w:p>
    <w:p w14:paraId="5CFA0F46" w14:textId="77777777" w:rsidR="00B30DEA" w:rsidRDefault="003A47D4" w:rsidP="00037389">
      <w:pPr>
        <w:pStyle w:val="Prrafodelista"/>
        <w:numPr>
          <w:ilvl w:val="0"/>
          <w:numId w:val="13"/>
        </w:numPr>
        <w:jc w:val="both"/>
        <w:rPr>
          <w:rFonts w:ascii="Book Antiqua" w:eastAsiaTheme="minorHAnsi" w:hAnsi="Book Antiqua" w:cs="Arial"/>
          <w:kern w:val="2"/>
          <w:szCs w:val="24"/>
          <w:lang w:val="es-ES"/>
          <w14:ligatures w14:val="standardContextual"/>
        </w:rPr>
      </w:pPr>
      <w:r w:rsidRPr="00B30DEA">
        <w:rPr>
          <w:rFonts w:ascii="Book Antiqua" w:eastAsiaTheme="minorHAnsi" w:hAnsi="Book Antiqua" w:cs="Arial"/>
          <w:kern w:val="2"/>
          <w:szCs w:val="24"/>
          <w:lang w:val="es-ES"/>
          <w14:ligatures w14:val="standardContextual"/>
        </w:rPr>
        <w:t>Órdenes de protección y movilización policial.</w:t>
      </w:r>
    </w:p>
    <w:p w14:paraId="0747A12B" w14:textId="77777777" w:rsidR="00B30DEA" w:rsidRDefault="003A47D4" w:rsidP="00037389">
      <w:pPr>
        <w:pStyle w:val="Prrafodelista"/>
        <w:numPr>
          <w:ilvl w:val="0"/>
          <w:numId w:val="13"/>
        </w:numPr>
        <w:jc w:val="both"/>
        <w:rPr>
          <w:rFonts w:ascii="Book Antiqua" w:eastAsiaTheme="minorHAnsi" w:hAnsi="Book Antiqua" w:cs="Arial"/>
          <w:kern w:val="2"/>
          <w:szCs w:val="24"/>
          <w:lang w:val="es-ES"/>
          <w14:ligatures w14:val="standardContextual"/>
        </w:rPr>
      </w:pPr>
      <w:r w:rsidRPr="00B30DEA">
        <w:rPr>
          <w:rFonts w:ascii="Book Antiqua" w:eastAsiaTheme="minorHAnsi" w:hAnsi="Book Antiqua" w:cs="Arial"/>
          <w:kern w:val="2"/>
          <w:szCs w:val="24"/>
          <w:lang w:val="es-ES"/>
          <w14:ligatures w14:val="standardContextual"/>
        </w:rPr>
        <w:t>Servicios de salud mental y médica de emergencia para las víctimas.</w:t>
      </w:r>
    </w:p>
    <w:p w14:paraId="648A2BE6" w14:textId="77777777" w:rsidR="00037389" w:rsidRDefault="00037389" w:rsidP="00037389">
      <w:pPr>
        <w:ind w:firstLine="720"/>
        <w:jc w:val="both"/>
        <w:rPr>
          <w:rFonts w:ascii="Book Antiqua" w:eastAsiaTheme="minorHAnsi" w:hAnsi="Book Antiqua" w:cs="Arial"/>
          <w:kern w:val="2"/>
          <w:szCs w:val="24"/>
          <w:lang w:val="es-ES"/>
          <w14:ligatures w14:val="standardContextual"/>
        </w:rPr>
      </w:pPr>
    </w:p>
    <w:p w14:paraId="7704C2BC" w14:textId="488D01C8" w:rsidR="003A47D4" w:rsidRPr="003A47D4" w:rsidRDefault="00B30DEA" w:rsidP="00037389">
      <w:pPr>
        <w:ind w:firstLine="720"/>
        <w:jc w:val="both"/>
        <w:rPr>
          <w:rFonts w:ascii="Book Antiqua" w:eastAsiaTheme="minorHAnsi" w:hAnsi="Book Antiqua" w:cs="Arial"/>
          <w:kern w:val="2"/>
          <w:szCs w:val="24"/>
          <w:lang w:val="es-ES"/>
          <w14:ligatures w14:val="standardContextual"/>
        </w:rPr>
      </w:pPr>
      <w:r>
        <w:rPr>
          <w:rFonts w:ascii="Book Antiqua" w:eastAsiaTheme="minorHAnsi" w:hAnsi="Book Antiqua" w:cs="Arial"/>
          <w:kern w:val="2"/>
          <w:szCs w:val="24"/>
          <w:lang w:val="es-ES"/>
          <w14:ligatures w14:val="standardContextual"/>
        </w:rPr>
        <w:t xml:space="preserve">Las </w:t>
      </w:r>
      <w:r w:rsidR="003A47D4" w:rsidRPr="00B30DEA">
        <w:rPr>
          <w:rFonts w:ascii="Book Antiqua" w:eastAsiaTheme="minorHAnsi" w:hAnsi="Book Antiqua" w:cs="Arial"/>
          <w:kern w:val="2"/>
          <w:szCs w:val="24"/>
          <w:lang w:val="es-ES"/>
          <w14:ligatures w14:val="standardContextual"/>
        </w:rPr>
        <w:t xml:space="preserve">estadísticas reales y más recientes recolectadas en Puerto Rico </w:t>
      </w:r>
      <w:r>
        <w:rPr>
          <w:rFonts w:ascii="Book Antiqua" w:eastAsiaTheme="minorHAnsi" w:hAnsi="Book Antiqua" w:cs="Arial"/>
          <w:kern w:val="2"/>
          <w:szCs w:val="24"/>
          <w:lang w:val="es-ES"/>
          <w14:ligatures w14:val="standardContextual"/>
        </w:rPr>
        <w:t xml:space="preserve">están </w:t>
      </w:r>
      <w:r w:rsidR="003A47D4" w:rsidRPr="00B30DEA">
        <w:rPr>
          <w:rFonts w:ascii="Book Antiqua" w:eastAsiaTheme="minorHAnsi" w:hAnsi="Book Antiqua" w:cs="Arial"/>
          <w:kern w:val="2"/>
          <w:szCs w:val="24"/>
          <w:lang w:val="es-ES"/>
          <w14:ligatures w14:val="standardContextual"/>
        </w:rPr>
        <w:t xml:space="preserve">actualizadas </w:t>
      </w:r>
      <w:r>
        <w:rPr>
          <w:rFonts w:ascii="Book Antiqua" w:eastAsiaTheme="minorHAnsi" w:hAnsi="Book Antiqua" w:cs="Arial"/>
          <w:kern w:val="2"/>
          <w:szCs w:val="24"/>
          <w:lang w:val="es-ES"/>
          <w14:ligatures w14:val="standardContextual"/>
        </w:rPr>
        <w:t xml:space="preserve">al </w:t>
      </w:r>
      <w:r w:rsidR="003A47D4" w:rsidRPr="00B30DEA">
        <w:rPr>
          <w:rFonts w:ascii="Book Antiqua" w:eastAsiaTheme="minorHAnsi" w:hAnsi="Book Antiqua" w:cs="Arial"/>
          <w:kern w:val="2"/>
          <w:szCs w:val="24"/>
          <w:lang w:val="es-ES"/>
          <w14:ligatures w14:val="standardContextual"/>
        </w:rPr>
        <w:t>2026.</w:t>
      </w:r>
      <w:r>
        <w:rPr>
          <w:rFonts w:ascii="Book Antiqua" w:eastAsiaTheme="minorHAnsi" w:hAnsi="Book Antiqua" w:cs="Arial"/>
          <w:kern w:val="2"/>
          <w:szCs w:val="24"/>
          <w:lang w:val="es-ES"/>
          <w14:ligatures w14:val="standardContextual"/>
        </w:rPr>
        <w:t xml:space="preserve"> Al u</w:t>
      </w:r>
      <w:r w:rsidR="003A47D4" w:rsidRPr="003A47D4">
        <w:rPr>
          <w:rFonts w:ascii="Book Antiqua" w:eastAsiaTheme="minorHAnsi" w:hAnsi="Book Antiqua" w:cs="Arial"/>
          <w:kern w:val="2"/>
          <w:szCs w:val="24"/>
          <w:lang w:val="es-ES"/>
          <w14:ligatures w14:val="standardContextual"/>
        </w:rPr>
        <w:t xml:space="preserve">tilizar estas cifras </w:t>
      </w:r>
      <w:r>
        <w:rPr>
          <w:rFonts w:ascii="Book Antiqua" w:eastAsiaTheme="minorHAnsi" w:hAnsi="Book Antiqua" w:cs="Arial"/>
          <w:kern w:val="2"/>
          <w:szCs w:val="24"/>
          <w:lang w:val="es-ES"/>
          <w14:ligatures w14:val="standardContextual"/>
        </w:rPr>
        <w:t xml:space="preserve">se </w:t>
      </w:r>
      <w:r w:rsidR="003A47D4" w:rsidRPr="003A47D4">
        <w:rPr>
          <w:rFonts w:ascii="Book Antiqua" w:eastAsiaTheme="minorHAnsi" w:hAnsi="Book Antiqua" w:cs="Arial"/>
          <w:kern w:val="2"/>
          <w:szCs w:val="24"/>
          <w:lang w:val="es-ES"/>
          <w14:ligatures w14:val="standardContextual"/>
        </w:rPr>
        <w:t>demuestra que no se trata de una preocupación teórica, sino de una emergencia social vigente.</w:t>
      </w:r>
    </w:p>
    <w:p w14:paraId="08F1BFD7"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183ED693" w14:textId="23C2F305" w:rsidR="00B30DEA"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Existe una diferencia importante entre los datos del Estado (Policía</w:t>
      </w:r>
      <w:r w:rsidR="00B30DEA">
        <w:rPr>
          <w:rFonts w:ascii="Book Antiqua" w:eastAsiaTheme="minorHAnsi" w:hAnsi="Book Antiqua" w:cs="Arial"/>
          <w:kern w:val="2"/>
          <w:szCs w:val="24"/>
          <w:lang w:val="es-ES"/>
          <w14:ligatures w14:val="standardContextual"/>
        </w:rPr>
        <w:t xml:space="preserve"> de Puerto Rico</w:t>
      </w:r>
      <w:r w:rsidRPr="003A47D4">
        <w:rPr>
          <w:rFonts w:ascii="Book Antiqua" w:eastAsiaTheme="minorHAnsi" w:hAnsi="Book Antiqua" w:cs="Arial"/>
          <w:kern w:val="2"/>
          <w:szCs w:val="24"/>
          <w:lang w:val="es-ES"/>
          <w14:ligatures w14:val="standardContextual"/>
        </w:rPr>
        <w:t xml:space="preserve">) y los datos de las organizaciones civiles como el Observatorio de Equidad de Género de Puerto Rico, ya que las organizaciones contabilizan casos que el gobierno mantiene congelados </w:t>
      </w:r>
      <w:r w:rsidR="00B30DEA">
        <w:rPr>
          <w:rFonts w:ascii="Book Antiqua" w:eastAsiaTheme="minorHAnsi" w:hAnsi="Book Antiqua" w:cs="Arial"/>
          <w:kern w:val="2"/>
          <w:szCs w:val="24"/>
          <w:lang w:val="es-ES"/>
          <w14:ligatures w14:val="standardContextual"/>
        </w:rPr>
        <w:t>“</w:t>
      </w:r>
      <w:r w:rsidRPr="003A47D4">
        <w:rPr>
          <w:rFonts w:ascii="Book Antiqua" w:eastAsiaTheme="minorHAnsi" w:hAnsi="Book Antiqua" w:cs="Arial"/>
          <w:kern w:val="2"/>
          <w:szCs w:val="24"/>
          <w:lang w:val="es-ES"/>
          <w14:ligatures w14:val="standardContextual"/>
        </w:rPr>
        <w:t>bajo investigación</w:t>
      </w:r>
      <w:r w:rsidR="00B30DEA">
        <w:rPr>
          <w:rFonts w:ascii="Book Antiqua" w:eastAsiaTheme="minorHAnsi" w:hAnsi="Book Antiqua" w:cs="Arial"/>
          <w:kern w:val="2"/>
          <w:szCs w:val="24"/>
          <w:lang w:val="es-ES"/>
          <w14:ligatures w14:val="standardContextual"/>
        </w:rPr>
        <w:t>”</w:t>
      </w:r>
      <w:r w:rsidRPr="003A47D4">
        <w:rPr>
          <w:rFonts w:ascii="Book Antiqua" w:eastAsiaTheme="minorHAnsi" w:hAnsi="Book Antiqua" w:cs="Arial"/>
          <w:kern w:val="2"/>
          <w:szCs w:val="24"/>
          <w:lang w:val="es-ES"/>
          <w14:ligatures w14:val="standardContextual"/>
        </w:rPr>
        <w:t xml:space="preserve"> o que se vinculan indirectamente. </w:t>
      </w:r>
    </w:p>
    <w:p w14:paraId="5CC4EE7A"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457FDD1E" w14:textId="672DA2A1" w:rsidR="003A47D4" w:rsidRPr="003A47D4"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Para esta propuesta, es ideal mencionar ambas perspectivas</w:t>
      </w:r>
      <w:r w:rsidR="00B30DEA">
        <w:rPr>
          <w:rFonts w:ascii="Book Antiqua" w:eastAsiaTheme="minorHAnsi" w:hAnsi="Book Antiqua" w:cs="Arial"/>
          <w:kern w:val="2"/>
          <w:szCs w:val="24"/>
          <w:lang w:val="es-ES"/>
          <w14:ligatures w14:val="standardContextual"/>
        </w:rPr>
        <w:t>:</w:t>
      </w:r>
    </w:p>
    <w:p w14:paraId="25FA4276"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5DF9C27F" w14:textId="327DFA5B" w:rsidR="003A47D4" w:rsidRPr="00062818"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062818">
        <w:rPr>
          <w:rFonts w:ascii="Book Antiqua" w:eastAsiaTheme="minorHAnsi" w:hAnsi="Book Antiqua" w:cs="Arial"/>
          <w:kern w:val="2"/>
          <w:szCs w:val="24"/>
          <w:lang w:val="es-ES"/>
          <w14:ligatures w14:val="standardContextual"/>
        </w:rPr>
        <w:t>1. Feminicidios y Desapariciones</w:t>
      </w:r>
    </w:p>
    <w:p w14:paraId="51D60872" w14:textId="77777777" w:rsidR="00037389" w:rsidRDefault="00037389" w:rsidP="00037389">
      <w:pPr>
        <w:ind w:left="720"/>
        <w:contextualSpacing/>
        <w:jc w:val="both"/>
        <w:rPr>
          <w:rFonts w:ascii="Book Antiqua" w:eastAsiaTheme="minorHAnsi" w:hAnsi="Book Antiqua" w:cs="Arial"/>
          <w:kern w:val="2"/>
          <w:szCs w:val="24"/>
          <w:lang w:val="es-ES"/>
          <w14:ligatures w14:val="standardContextual"/>
        </w:rPr>
      </w:pPr>
    </w:p>
    <w:p w14:paraId="51A75A40" w14:textId="30D40BD0" w:rsidR="003A47D4" w:rsidRPr="003A47D4" w:rsidRDefault="003A47D4" w:rsidP="00037389">
      <w:pPr>
        <w:ind w:left="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 xml:space="preserve">El Observatorio de Equidad de Género de Puerto Rico ya registra 17 feminicidios (entre directos e indirectos) y 32 intentos de feminicidio solo en el primer cuatrimestre del año.  </w:t>
      </w:r>
      <w:r w:rsidR="00EE319F">
        <w:rPr>
          <w:rFonts w:ascii="Book Antiqua" w:eastAsiaTheme="minorHAnsi" w:hAnsi="Book Antiqua" w:cs="Arial"/>
          <w:kern w:val="2"/>
          <w:szCs w:val="24"/>
          <w:lang w:val="es-ES"/>
          <w14:ligatures w14:val="standardContextual"/>
        </w:rPr>
        <w:t>(2026)</w:t>
      </w:r>
    </w:p>
    <w:p w14:paraId="58543076" w14:textId="77777777" w:rsidR="00037389" w:rsidRDefault="00037389" w:rsidP="00037389">
      <w:pPr>
        <w:ind w:left="720"/>
        <w:contextualSpacing/>
        <w:jc w:val="both"/>
        <w:rPr>
          <w:rFonts w:ascii="Book Antiqua" w:eastAsiaTheme="minorHAnsi" w:hAnsi="Book Antiqua" w:cs="Arial"/>
          <w:kern w:val="2"/>
          <w:szCs w:val="24"/>
          <w:lang w:val="es-ES"/>
          <w14:ligatures w14:val="standardContextual"/>
        </w:rPr>
      </w:pPr>
    </w:p>
    <w:p w14:paraId="698022D1" w14:textId="696EBCF7" w:rsidR="003A47D4" w:rsidRPr="003A47D4" w:rsidRDefault="003A47D4" w:rsidP="00037389">
      <w:pPr>
        <w:ind w:left="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El repunte previo (2024-2025): El año 2024 cerró como uno de los más violentos de la década, con 81 feminicidios, colocando a Puerto Rico intermitentemente en los primeros lugares de tasa poblacional de feminicidios en Latinoamérica. El año 2025 mantuvo una tendencia alarmante superando la frontera de los 50 casos reportados de forma independiente.</w:t>
      </w:r>
    </w:p>
    <w:p w14:paraId="345BBE74" w14:textId="77777777" w:rsidR="00EE319F" w:rsidRDefault="003A47D4" w:rsidP="00037389">
      <w:pPr>
        <w:ind w:left="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lastRenderedPageBreak/>
        <w:t>Desapariciones: Al iniciar el año, se reportó un acumulado histórico de 61 mujeres y menores de edad que permanecen desaparecidas en la isla desde el 2020 con casos sin resolver.</w:t>
      </w:r>
    </w:p>
    <w:p w14:paraId="4D8DA39C" w14:textId="77777777" w:rsidR="00037389" w:rsidRDefault="00037389" w:rsidP="00037389">
      <w:pPr>
        <w:ind w:left="720"/>
        <w:contextualSpacing/>
        <w:jc w:val="both"/>
        <w:rPr>
          <w:rFonts w:ascii="Book Antiqua" w:eastAsiaTheme="minorHAnsi" w:hAnsi="Book Antiqua" w:cs="Arial"/>
          <w:kern w:val="2"/>
          <w:szCs w:val="24"/>
          <w:lang w:val="es-ES"/>
          <w14:ligatures w14:val="standardContextual"/>
        </w:rPr>
      </w:pPr>
    </w:p>
    <w:p w14:paraId="22EAE505" w14:textId="0CD474B3" w:rsidR="00EE319F" w:rsidRDefault="003A47D4" w:rsidP="00037389">
      <w:pPr>
        <w:ind w:left="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 xml:space="preserve">2. </w:t>
      </w:r>
      <w:r w:rsidRPr="00062818">
        <w:rPr>
          <w:rFonts w:ascii="Book Antiqua" w:eastAsiaTheme="minorHAnsi" w:hAnsi="Book Antiqua" w:cs="Arial"/>
          <w:kern w:val="2"/>
          <w:szCs w:val="24"/>
          <w:lang w:val="es-ES"/>
          <w14:ligatures w14:val="standardContextual"/>
        </w:rPr>
        <w:t>Violencia Doméstica</w:t>
      </w:r>
      <w:r w:rsidRPr="003A47D4">
        <w:rPr>
          <w:rFonts w:ascii="Book Antiqua" w:eastAsiaTheme="minorHAnsi" w:hAnsi="Book Antiqua" w:cs="Arial"/>
          <w:kern w:val="2"/>
          <w:szCs w:val="24"/>
          <w:lang w:val="es-ES"/>
          <w14:ligatures w14:val="standardContextual"/>
        </w:rPr>
        <w:t xml:space="preserve"> (Datos del Negociado de la Policía de Puerto Rico)</w:t>
      </w:r>
    </w:p>
    <w:p w14:paraId="7BBE5130" w14:textId="3C8A5BA7" w:rsidR="003A47D4" w:rsidRPr="003A47D4" w:rsidRDefault="003A47D4" w:rsidP="00037389">
      <w:pPr>
        <w:ind w:left="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Un informe abarcador emitido por la Unidad de Violencia de Género de la Policía revela la magnitud de las denuncias por Ley 54 en los últimos meses:</w:t>
      </w:r>
    </w:p>
    <w:p w14:paraId="36B86D88" w14:textId="77777777" w:rsidR="00037389" w:rsidRDefault="00037389" w:rsidP="00037389">
      <w:pPr>
        <w:ind w:left="720"/>
        <w:contextualSpacing/>
        <w:jc w:val="both"/>
        <w:rPr>
          <w:rFonts w:ascii="Book Antiqua" w:eastAsiaTheme="minorHAnsi" w:hAnsi="Book Antiqua" w:cs="Arial"/>
          <w:kern w:val="2"/>
          <w:szCs w:val="24"/>
          <w:lang w:val="es-ES"/>
          <w14:ligatures w14:val="standardContextual"/>
        </w:rPr>
      </w:pPr>
    </w:p>
    <w:p w14:paraId="0A0D0A8D" w14:textId="77B35B09" w:rsidR="003A47D4" w:rsidRPr="003A47D4" w:rsidRDefault="003A47D4" w:rsidP="00037389">
      <w:pPr>
        <w:ind w:left="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 xml:space="preserve">Frecuencia de incidentes: Se investigan un promedio de 9,421 incidentes de violencia doméstica al año. Esto equivale matemáticamente a 1 incidente reportado cada 56 minutos en Puerto Rico.  </w:t>
      </w:r>
    </w:p>
    <w:p w14:paraId="6D8BCAE2"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68B6546C" w14:textId="5CA62950" w:rsidR="00EE319F"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Tipos de delitos imputados bajo la Ley 54:</w:t>
      </w:r>
    </w:p>
    <w:p w14:paraId="64907B9B"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2AA969E2" w14:textId="77777777" w:rsidR="00EE319F" w:rsidRDefault="003A47D4" w:rsidP="00037389">
      <w:pPr>
        <w:pStyle w:val="Prrafodelista"/>
        <w:numPr>
          <w:ilvl w:val="0"/>
          <w:numId w:val="14"/>
        </w:numPr>
        <w:jc w:val="both"/>
        <w:rPr>
          <w:rFonts w:ascii="Book Antiqua" w:eastAsiaTheme="minorHAnsi" w:hAnsi="Book Antiqua" w:cs="Arial"/>
          <w:kern w:val="2"/>
          <w:szCs w:val="24"/>
          <w:lang w:val="es-ES"/>
          <w14:ligatures w14:val="standardContextual"/>
        </w:rPr>
      </w:pPr>
      <w:r w:rsidRPr="00EE319F">
        <w:rPr>
          <w:rFonts w:ascii="Book Antiqua" w:eastAsiaTheme="minorHAnsi" w:hAnsi="Book Antiqua" w:cs="Arial"/>
          <w:kern w:val="2"/>
          <w:szCs w:val="24"/>
          <w:lang w:val="es-ES"/>
          <w14:ligatures w14:val="standardContextual"/>
        </w:rPr>
        <w:t>70.7% corresponden a casos de Maltrato (Artículo 3.1).</w:t>
      </w:r>
    </w:p>
    <w:p w14:paraId="6096AB5D" w14:textId="77777777" w:rsidR="00EE319F" w:rsidRDefault="003A47D4" w:rsidP="00037389">
      <w:pPr>
        <w:pStyle w:val="Prrafodelista"/>
        <w:numPr>
          <w:ilvl w:val="0"/>
          <w:numId w:val="14"/>
        </w:numPr>
        <w:jc w:val="both"/>
        <w:rPr>
          <w:rFonts w:ascii="Book Antiqua" w:eastAsiaTheme="minorHAnsi" w:hAnsi="Book Antiqua" w:cs="Arial"/>
          <w:kern w:val="2"/>
          <w:szCs w:val="24"/>
          <w:lang w:val="es-ES"/>
          <w14:ligatures w14:val="standardContextual"/>
        </w:rPr>
      </w:pPr>
      <w:r w:rsidRPr="00EE319F">
        <w:rPr>
          <w:rFonts w:ascii="Book Antiqua" w:eastAsiaTheme="minorHAnsi" w:hAnsi="Book Antiqua" w:cs="Arial"/>
          <w:kern w:val="2"/>
          <w:szCs w:val="24"/>
          <w:lang w:val="es-ES"/>
          <w14:ligatures w14:val="standardContextual"/>
        </w:rPr>
        <w:t>15.1% corresponden a Maltrato mediante amenaza (Artículo 3.3).</w:t>
      </w:r>
    </w:p>
    <w:p w14:paraId="1CD4EE46" w14:textId="35F70564" w:rsidR="003A47D4" w:rsidRPr="00EE319F" w:rsidRDefault="003A47D4" w:rsidP="00037389">
      <w:pPr>
        <w:pStyle w:val="Prrafodelista"/>
        <w:numPr>
          <w:ilvl w:val="0"/>
          <w:numId w:val="14"/>
        </w:numPr>
        <w:jc w:val="both"/>
        <w:rPr>
          <w:rFonts w:ascii="Book Antiqua" w:eastAsiaTheme="minorHAnsi" w:hAnsi="Book Antiqua" w:cs="Arial"/>
          <w:kern w:val="2"/>
          <w:szCs w:val="24"/>
          <w:lang w:val="es-ES"/>
          <w14:ligatures w14:val="standardContextual"/>
        </w:rPr>
      </w:pPr>
      <w:r w:rsidRPr="00EE319F">
        <w:rPr>
          <w:rFonts w:ascii="Book Antiqua" w:eastAsiaTheme="minorHAnsi" w:hAnsi="Book Antiqua" w:cs="Arial"/>
          <w:kern w:val="2"/>
          <w:szCs w:val="24"/>
          <w:lang w:val="es-ES"/>
          <w14:ligatures w14:val="standardContextual"/>
        </w:rPr>
        <w:t>11.8% corresponden a Maltrato agravado (Artículo 3.2).</w:t>
      </w:r>
    </w:p>
    <w:p w14:paraId="0B34E8AF" w14:textId="77777777" w:rsidR="00037389" w:rsidRDefault="00037389" w:rsidP="00037389">
      <w:pPr>
        <w:ind w:left="720"/>
        <w:contextualSpacing/>
        <w:jc w:val="both"/>
        <w:rPr>
          <w:rFonts w:ascii="Book Antiqua" w:eastAsiaTheme="minorHAnsi" w:hAnsi="Book Antiqua" w:cs="Arial"/>
          <w:kern w:val="2"/>
          <w:szCs w:val="24"/>
          <w:lang w:val="es-ES"/>
          <w14:ligatures w14:val="standardContextual"/>
        </w:rPr>
      </w:pPr>
    </w:p>
    <w:p w14:paraId="2B3B20F0" w14:textId="4FA1BF4E" w:rsidR="003A47D4" w:rsidRPr="003A47D4" w:rsidRDefault="003A47D4" w:rsidP="00037389">
      <w:pPr>
        <w:ind w:left="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El resto se divide entre violaciones a órdenes de protección, restricción a la libertad y agresiones sexuales conyugales.</w:t>
      </w:r>
    </w:p>
    <w:p w14:paraId="328F2CC4"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166B5C33" w14:textId="07CF30C8" w:rsidR="003A47D4" w:rsidRPr="003A47D4"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 xml:space="preserve">3. </w:t>
      </w:r>
      <w:r w:rsidRPr="00062818">
        <w:rPr>
          <w:rFonts w:ascii="Book Antiqua" w:eastAsiaTheme="minorHAnsi" w:hAnsi="Book Antiqua" w:cs="Arial"/>
          <w:kern w:val="2"/>
          <w:szCs w:val="24"/>
          <w:lang w:val="es-ES"/>
          <w14:ligatures w14:val="standardContextual"/>
        </w:rPr>
        <w:t>Las Víctimas Colaterales:</w:t>
      </w:r>
      <w:r w:rsidRPr="003A47D4">
        <w:rPr>
          <w:rFonts w:ascii="Book Antiqua" w:eastAsiaTheme="minorHAnsi" w:hAnsi="Book Antiqua" w:cs="Arial"/>
          <w:kern w:val="2"/>
          <w:szCs w:val="24"/>
          <w:lang w:val="es-ES"/>
          <w14:ligatures w14:val="standardContextual"/>
        </w:rPr>
        <w:t xml:space="preserve"> La Niñez y Juventud</w:t>
      </w:r>
    </w:p>
    <w:p w14:paraId="4526E547"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2FBCCF2B" w14:textId="7864914B" w:rsidR="003A47D4" w:rsidRPr="003A47D4"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Este es el dato más fuerte para justificar por qué el programa debe ir a las escuelas:</w:t>
      </w:r>
    </w:p>
    <w:p w14:paraId="1E79D05F" w14:textId="77777777" w:rsidR="003A47D4" w:rsidRPr="003A47D4" w:rsidRDefault="003A47D4" w:rsidP="00037389">
      <w:pPr>
        <w:ind w:left="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 xml:space="preserve">Menores en la orfandad: Desde el año 2019, al menos 156 niños, niñas y adolescentes han quedado huérfanos en Puerto Rico como consecuencia directa de un feminicidio.  </w:t>
      </w:r>
    </w:p>
    <w:p w14:paraId="7E4F3947"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6BC9F044" w14:textId="7FDDE2B5" w:rsidR="003A47D4" w:rsidRPr="00062818"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062818">
        <w:rPr>
          <w:rFonts w:ascii="Book Antiqua" w:eastAsiaTheme="minorHAnsi" w:hAnsi="Book Antiqua" w:cs="Arial"/>
          <w:kern w:val="2"/>
          <w:szCs w:val="24"/>
          <w:lang w:val="es-ES"/>
          <w14:ligatures w14:val="standardContextual"/>
        </w:rPr>
        <w:t>Argumentos de Impacto:</w:t>
      </w:r>
    </w:p>
    <w:p w14:paraId="04374CF4" w14:textId="77777777" w:rsidR="00037389" w:rsidRDefault="00037389" w:rsidP="00037389">
      <w:pPr>
        <w:pStyle w:val="Prrafodelista"/>
        <w:numPr>
          <w:ilvl w:val="0"/>
          <w:numId w:val="12"/>
        </w:numPr>
        <w:ind w:left="2160"/>
        <w:jc w:val="both"/>
        <w:rPr>
          <w:rFonts w:ascii="Book Antiqua" w:eastAsiaTheme="minorHAnsi" w:hAnsi="Book Antiqua" w:cs="Arial"/>
          <w:kern w:val="2"/>
          <w:szCs w:val="24"/>
          <w:lang w:val="es-ES"/>
          <w14:ligatures w14:val="standardContextual"/>
        </w:rPr>
      </w:pPr>
    </w:p>
    <w:p w14:paraId="78CC25A8" w14:textId="4ACD98C3" w:rsidR="00037389" w:rsidRDefault="003A47D4" w:rsidP="00037389">
      <w:pPr>
        <w:pStyle w:val="Prrafodelista"/>
        <w:ind w:left="2160"/>
        <w:jc w:val="both"/>
        <w:rPr>
          <w:rFonts w:ascii="Book Antiqua" w:eastAsiaTheme="minorHAnsi" w:hAnsi="Book Antiqua" w:cs="Arial"/>
          <w:kern w:val="2"/>
          <w:szCs w:val="24"/>
          <w:lang w:val="es-ES"/>
          <w14:ligatures w14:val="standardContextual"/>
        </w:rPr>
      </w:pPr>
      <w:r w:rsidRPr="00EE319F">
        <w:rPr>
          <w:rFonts w:ascii="Book Antiqua" w:eastAsiaTheme="minorHAnsi" w:hAnsi="Book Antiqua" w:cs="Arial"/>
          <w:kern w:val="2"/>
          <w:szCs w:val="24"/>
          <w:lang w:val="es-ES"/>
          <w14:ligatures w14:val="standardContextual"/>
        </w:rPr>
        <w:t xml:space="preserve">La cifra de </w:t>
      </w:r>
      <w:r w:rsidR="00EE319F">
        <w:rPr>
          <w:rFonts w:ascii="Book Antiqua" w:eastAsiaTheme="minorHAnsi" w:hAnsi="Book Antiqua" w:cs="Arial"/>
          <w:kern w:val="2"/>
          <w:szCs w:val="24"/>
          <w:lang w:val="es-ES"/>
          <w14:ligatures w14:val="standardContextual"/>
        </w:rPr>
        <w:t>“</w:t>
      </w:r>
      <w:r w:rsidRPr="00EE319F">
        <w:rPr>
          <w:rFonts w:ascii="Book Antiqua" w:eastAsiaTheme="minorHAnsi" w:hAnsi="Book Antiqua" w:cs="Arial"/>
          <w:kern w:val="2"/>
          <w:szCs w:val="24"/>
          <w:lang w:val="es-ES"/>
          <w14:ligatures w14:val="standardContextual"/>
        </w:rPr>
        <w:t>Cada 56 minutos</w:t>
      </w:r>
      <w:r w:rsidR="00EE319F">
        <w:rPr>
          <w:rFonts w:ascii="Book Antiqua" w:eastAsiaTheme="minorHAnsi" w:hAnsi="Book Antiqua" w:cs="Arial"/>
          <w:kern w:val="2"/>
          <w:szCs w:val="24"/>
          <w:lang w:val="es-ES"/>
          <w14:ligatures w14:val="standardContextual"/>
        </w:rPr>
        <w:t>”</w:t>
      </w:r>
      <w:r w:rsidRPr="00EE319F">
        <w:rPr>
          <w:rFonts w:ascii="Book Antiqua" w:eastAsiaTheme="minorHAnsi" w:hAnsi="Book Antiqua" w:cs="Arial"/>
          <w:kern w:val="2"/>
          <w:szCs w:val="24"/>
          <w:lang w:val="es-ES"/>
          <w14:ligatures w14:val="standardContextual"/>
        </w:rPr>
        <w:t>: Al alertar que la policía atiende un caso de violencia doméstica casi cada hora, demuestras que el sistema de respuesta está saturado y que la única forma de desfogarlo es la prevención temprana en los salones de clases.</w:t>
      </w:r>
    </w:p>
    <w:p w14:paraId="27CDA3B5" w14:textId="77777777" w:rsidR="00037389" w:rsidRDefault="00037389" w:rsidP="00037389">
      <w:pPr>
        <w:pStyle w:val="Prrafodelista"/>
        <w:ind w:left="2160"/>
        <w:jc w:val="both"/>
        <w:rPr>
          <w:rFonts w:ascii="Book Antiqua" w:eastAsiaTheme="minorHAnsi" w:hAnsi="Book Antiqua" w:cs="Arial"/>
          <w:kern w:val="2"/>
          <w:szCs w:val="24"/>
          <w:lang w:val="es-ES"/>
          <w14:ligatures w14:val="standardContextual"/>
        </w:rPr>
      </w:pPr>
    </w:p>
    <w:p w14:paraId="6B957C67" w14:textId="0FBCBFAD" w:rsidR="00EE319F" w:rsidRDefault="003A47D4" w:rsidP="00037389">
      <w:pPr>
        <w:pStyle w:val="Prrafodelista"/>
        <w:numPr>
          <w:ilvl w:val="0"/>
          <w:numId w:val="12"/>
        </w:numPr>
        <w:ind w:left="2160"/>
        <w:jc w:val="both"/>
        <w:rPr>
          <w:rFonts w:ascii="Book Antiqua" w:eastAsiaTheme="minorHAnsi" w:hAnsi="Book Antiqua" w:cs="Arial"/>
          <w:kern w:val="2"/>
          <w:szCs w:val="24"/>
          <w:lang w:val="es-ES"/>
          <w14:ligatures w14:val="standardContextual"/>
        </w:rPr>
      </w:pPr>
      <w:r w:rsidRPr="00EE319F">
        <w:rPr>
          <w:rFonts w:ascii="Book Antiqua" w:eastAsiaTheme="minorHAnsi" w:hAnsi="Book Antiqua" w:cs="Arial"/>
          <w:kern w:val="2"/>
          <w:szCs w:val="24"/>
          <w:lang w:val="es-ES"/>
          <w14:ligatures w14:val="standardContextual"/>
        </w:rPr>
        <w:t>El peligro de las redes sociales y el control virtual: Puedes destacar que, aunque el maltrato físico es el más visible, el crecimiento de los intentos de feminicidio (32 en lo que va de año) nace de conductas de control psicológico y acecho digital que los adolescentes experimentan en el noviazgo y que no saben identificar como peligro.</w:t>
      </w:r>
    </w:p>
    <w:p w14:paraId="3A2A7A75" w14:textId="77777777" w:rsidR="00037389" w:rsidRPr="00EE319F" w:rsidRDefault="00037389" w:rsidP="00037389">
      <w:pPr>
        <w:pStyle w:val="Prrafodelista"/>
        <w:ind w:left="2160"/>
        <w:jc w:val="both"/>
        <w:rPr>
          <w:rFonts w:ascii="Book Antiqua" w:eastAsiaTheme="minorHAnsi" w:hAnsi="Book Antiqua" w:cs="Arial"/>
          <w:kern w:val="2"/>
          <w:szCs w:val="24"/>
          <w:lang w:val="es-ES"/>
          <w14:ligatures w14:val="standardContextual"/>
        </w:rPr>
      </w:pPr>
    </w:p>
    <w:p w14:paraId="5AFA1468" w14:textId="177B2DB7" w:rsidR="003A47D4" w:rsidRPr="00EE319F" w:rsidRDefault="003A47D4" w:rsidP="00037389">
      <w:pPr>
        <w:pStyle w:val="Prrafodelista"/>
        <w:numPr>
          <w:ilvl w:val="0"/>
          <w:numId w:val="12"/>
        </w:numPr>
        <w:ind w:left="2160"/>
        <w:jc w:val="both"/>
        <w:rPr>
          <w:rFonts w:ascii="Book Antiqua" w:eastAsiaTheme="minorHAnsi" w:hAnsi="Book Antiqua" w:cs="Arial"/>
          <w:kern w:val="2"/>
          <w:szCs w:val="24"/>
          <w:lang w:val="es-ES"/>
          <w14:ligatures w14:val="standardContextual"/>
        </w:rPr>
      </w:pPr>
      <w:r w:rsidRPr="00EE319F">
        <w:rPr>
          <w:rFonts w:ascii="Book Antiqua" w:eastAsiaTheme="minorHAnsi" w:hAnsi="Book Antiqua" w:cs="Arial"/>
          <w:kern w:val="2"/>
          <w:szCs w:val="24"/>
          <w:lang w:val="es-ES"/>
          <w14:ligatures w14:val="standardContextual"/>
        </w:rPr>
        <w:lastRenderedPageBreak/>
        <w:t>Los 156 huérfanos: Esto demuestra que el trauma de la violencia de género ya convive dentro de las escuelas del Departamento de Educación. Los maestros y trabajadores sociales atienden hoy mismo a menores afectados por esta crisis sin tener un protocolo curricular que visibilice su realidad.</w:t>
      </w:r>
      <w:r w:rsidRPr="00EE319F">
        <w:rPr>
          <w:rFonts w:ascii="Book Antiqua" w:eastAsiaTheme="minorHAnsi" w:hAnsi="Book Antiqua" w:cstheme="minorBidi"/>
          <w:kern w:val="2"/>
          <w:szCs w:val="24"/>
          <w:lang w:val="es-ES"/>
          <w14:ligatures w14:val="standardContextual"/>
        </w:rPr>
        <w:t xml:space="preserve"> </w:t>
      </w:r>
    </w:p>
    <w:p w14:paraId="58B4AC49"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7C67F33C" w14:textId="72E86697" w:rsidR="003A47D4" w:rsidRPr="003A47D4"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EE319F">
        <w:rPr>
          <w:rFonts w:ascii="Book Antiqua" w:eastAsiaTheme="minorHAnsi" w:hAnsi="Book Antiqua" w:cs="Arial"/>
          <w:kern w:val="2"/>
          <w:szCs w:val="24"/>
          <w:lang w:val="es-ES"/>
          <w14:ligatures w14:val="standardContextual"/>
        </w:rPr>
        <w:t xml:space="preserve">Enfoque de Salud Pública: </w:t>
      </w:r>
      <w:r w:rsidRPr="003A47D4">
        <w:rPr>
          <w:rFonts w:ascii="Book Antiqua" w:eastAsiaTheme="minorHAnsi" w:hAnsi="Book Antiqua" w:cs="Arial"/>
          <w:kern w:val="2"/>
          <w:szCs w:val="24"/>
          <w:lang w:val="es-ES"/>
          <w14:ligatures w14:val="standardContextual"/>
        </w:rPr>
        <w:t>Enmarca el proyecto como una medida de prevención de crimen y protección de la vida, respaldada por datos de la Policía de Puerto Rico y agencias de salud.</w:t>
      </w:r>
    </w:p>
    <w:p w14:paraId="57F98470"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6DF9ABCC" w14:textId="2642490F" w:rsidR="003A47D4" w:rsidRPr="003A47D4"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EE319F">
        <w:rPr>
          <w:rFonts w:ascii="Book Antiqua" w:eastAsiaTheme="minorHAnsi" w:hAnsi="Book Antiqua" w:cs="Arial"/>
          <w:kern w:val="2"/>
          <w:szCs w:val="24"/>
          <w:lang w:val="es-ES"/>
          <w14:ligatures w14:val="standardContextual"/>
        </w:rPr>
        <w:t>Enfoque de Datos Locales:</w:t>
      </w:r>
      <w:r w:rsidRPr="003A47D4">
        <w:rPr>
          <w:rFonts w:ascii="Book Antiqua" w:eastAsiaTheme="minorHAnsi" w:hAnsi="Book Antiqua" w:cs="Arial"/>
          <w:kern w:val="2"/>
          <w:szCs w:val="24"/>
          <w:lang w:val="es-ES"/>
          <w14:ligatures w14:val="standardContextual"/>
        </w:rPr>
        <w:t xml:space="preserve"> Menciona las altas tasas de maltrato en el noviazgo juvenil en la isla.</w:t>
      </w:r>
    </w:p>
    <w:p w14:paraId="3116104C" w14:textId="77777777" w:rsidR="003A47D4" w:rsidRPr="003A47D4" w:rsidRDefault="003A47D4" w:rsidP="00037389">
      <w:pPr>
        <w:contextualSpacing/>
        <w:jc w:val="both"/>
        <w:rPr>
          <w:rFonts w:ascii="Book Antiqua" w:eastAsiaTheme="minorHAnsi" w:hAnsi="Book Antiqua" w:cs="Arial"/>
          <w:kern w:val="2"/>
          <w:szCs w:val="24"/>
          <w:lang w:val="es-ES"/>
          <w14:ligatures w14:val="standardContextual"/>
        </w:rPr>
      </w:pPr>
      <w:r w:rsidRPr="00EE319F">
        <w:rPr>
          <w:rFonts w:ascii="Book Antiqua" w:eastAsiaTheme="minorHAnsi" w:hAnsi="Book Antiqua" w:cs="Arial"/>
          <w:kern w:val="2"/>
          <w:szCs w:val="24"/>
          <w:lang w:val="es-ES"/>
          <w14:ligatures w14:val="standardContextual"/>
        </w:rPr>
        <w:t>Inclusión de la Comunidad:</w:t>
      </w:r>
      <w:r w:rsidRPr="003A47D4">
        <w:rPr>
          <w:rFonts w:ascii="Book Antiqua" w:eastAsiaTheme="minorHAnsi" w:hAnsi="Book Antiqua" w:cs="Arial"/>
          <w:kern w:val="2"/>
          <w:szCs w:val="24"/>
          <w:lang w:val="es-ES"/>
          <w14:ligatures w14:val="standardContextual"/>
        </w:rPr>
        <w:t xml:space="preserve"> Propón que los padres y tutores reciban talleres complementarios cortos (vía plataformas virtuales o reuniones escolares) para que el mensaje de la escuela se refuerce en el hogar.</w:t>
      </w:r>
    </w:p>
    <w:p w14:paraId="60DF67A4"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0E967D58" w14:textId="5FE7F644" w:rsidR="003A47D4" w:rsidRPr="003A47D4"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A nivel global, la Organización Mundial de la Salud (OMS) estima que casi una de cada tres mujeres de 15 a 19 años que han tenido una relación sentimental han sufrido violencia física o sexual por parte de su pareja. En Puerto Rico, esta realidad se manifiesta con matices específicos y preocupantes:</w:t>
      </w:r>
    </w:p>
    <w:p w14:paraId="60D44A52"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1CE20080" w14:textId="7597EFB8" w:rsidR="003A47D4" w:rsidRPr="003A47D4"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Prevalencia en la Juventud: Estudios locales de organizaciones como el Observatorio de Equidad de Género de Puerto Rico y encuestas escolares reflejan que el maltrato psicológico y el control digital (revisar el celular, exigir contraseñas, celos excesivos) son las manifestaciones de violencia más comunes y normalizadas entre adolescentes entre 12 y 18 años.</w:t>
      </w:r>
    </w:p>
    <w:p w14:paraId="7FEB18B3"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3D730DE2" w14:textId="29215C9F" w:rsidR="003A47D4" w:rsidRPr="003A47D4"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Violencia en el Noviazgo (Dating Violence): Según los informes anuales de la Oficina de la Procuradora de las Mujeres (OPM) y la Policía de Puerto Rico, los incidentes de violencia doméstica entre parejas que no cohabitan o parejas jóvenes en etapa de noviazgo representan una porción significativa de las querellas bajo la Ley 54</w:t>
      </w:r>
      <w:r w:rsidR="00EE319F">
        <w:rPr>
          <w:rFonts w:ascii="Book Antiqua" w:eastAsiaTheme="minorHAnsi" w:hAnsi="Book Antiqua" w:cs="Arial"/>
          <w:kern w:val="2"/>
          <w:szCs w:val="24"/>
          <w:lang w:val="es-ES"/>
          <w14:ligatures w14:val="standardContextual"/>
        </w:rPr>
        <w:t>.</w:t>
      </w:r>
    </w:p>
    <w:p w14:paraId="0B4A979C" w14:textId="77777777" w:rsidR="00037389" w:rsidRDefault="00EE319F" w:rsidP="00037389">
      <w:pPr>
        <w:contextualSpacing/>
        <w:jc w:val="both"/>
        <w:rPr>
          <w:rFonts w:ascii="Book Antiqua" w:eastAsiaTheme="minorHAnsi" w:hAnsi="Book Antiqua" w:cs="Arial"/>
          <w:kern w:val="2"/>
          <w:szCs w:val="24"/>
          <w:lang w:val="es-ES"/>
          <w14:ligatures w14:val="standardContextual"/>
        </w:rPr>
      </w:pPr>
      <w:r>
        <w:rPr>
          <w:rFonts w:ascii="Book Antiqua" w:eastAsiaTheme="minorHAnsi" w:hAnsi="Book Antiqua" w:cs="Arial"/>
          <w:kern w:val="2"/>
          <w:szCs w:val="24"/>
          <w:lang w:val="es-ES"/>
          <w14:ligatures w14:val="standardContextual"/>
        </w:rPr>
        <w:tab/>
      </w:r>
    </w:p>
    <w:p w14:paraId="4C16ACAC" w14:textId="47A6E8B4" w:rsidR="003A47D4" w:rsidRPr="003A47D4" w:rsidRDefault="00037389" w:rsidP="00037389">
      <w:pPr>
        <w:contextualSpacing/>
        <w:jc w:val="both"/>
        <w:rPr>
          <w:rFonts w:ascii="Book Antiqua" w:eastAsiaTheme="minorHAnsi" w:hAnsi="Book Antiqua" w:cs="Arial"/>
          <w:kern w:val="2"/>
          <w:szCs w:val="24"/>
          <w:lang w:val="es-ES"/>
          <w14:ligatures w14:val="standardContextual"/>
        </w:rPr>
      </w:pPr>
      <w:r>
        <w:rPr>
          <w:rFonts w:ascii="Book Antiqua" w:eastAsiaTheme="minorHAnsi" w:hAnsi="Book Antiqua" w:cs="Arial"/>
          <w:kern w:val="2"/>
          <w:szCs w:val="24"/>
          <w:lang w:val="es-ES"/>
          <w14:ligatures w14:val="standardContextual"/>
        </w:rPr>
        <w:tab/>
      </w:r>
      <w:r w:rsidR="003A47D4" w:rsidRPr="003A47D4">
        <w:rPr>
          <w:rFonts w:ascii="Book Antiqua" w:eastAsiaTheme="minorHAnsi" w:hAnsi="Book Antiqua" w:cs="Arial"/>
          <w:kern w:val="2"/>
          <w:szCs w:val="24"/>
          <w:lang w:val="es-ES"/>
          <w14:ligatures w14:val="standardContextual"/>
        </w:rPr>
        <w:t>La Brecha de Denuncia: En las etapas de escuela intermedia y superior, la inmensa mayoría de las víctimas de maltrato en el noviazgo no denuncian ni buscan ayuda formal por miedo al estigma, desconocimiento de sus derechos o temor a la reacción de sus padres. Esto invisibiliza el problema en las estadísticas policiales, pero se manifiesta abiertamente en el entorno escolar (baja en el rendimiento académico, aislamiento, depresión y deserción escolar).</w:t>
      </w:r>
    </w:p>
    <w:p w14:paraId="7627CD1C" w14:textId="77777777" w:rsidR="00037389" w:rsidRDefault="00037389" w:rsidP="00037389">
      <w:pPr>
        <w:ind w:firstLine="720"/>
        <w:contextualSpacing/>
        <w:jc w:val="both"/>
        <w:rPr>
          <w:rFonts w:ascii="Book Antiqua" w:eastAsiaTheme="minorHAnsi" w:hAnsi="Book Antiqua" w:cs="Arial"/>
          <w:kern w:val="2"/>
          <w:szCs w:val="24"/>
          <w:lang w:val="es-ES"/>
          <w14:ligatures w14:val="standardContextual"/>
        </w:rPr>
      </w:pPr>
    </w:p>
    <w:p w14:paraId="03963A3A" w14:textId="693A2199" w:rsidR="003A47D4" w:rsidRPr="003A47D4" w:rsidRDefault="003A47D4" w:rsidP="00037389">
      <w:pPr>
        <w:ind w:firstLine="720"/>
        <w:contextualSpacing/>
        <w:jc w:val="both"/>
        <w:rPr>
          <w:rFonts w:ascii="Book Antiqua" w:eastAsiaTheme="minorHAnsi" w:hAnsi="Book Antiqua" w:cs="Arial"/>
          <w:kern w:val="2"/>
          <w:szCs w:val="24"/>
          <w:lang w:val="es-ES"/>
          <w14:ligatures w14:val="standardContextual"/>
        </w:rPr>
      </w:pPr>
      <w:r w:rsidRPr="003A47D4">
        <w:rPr>
          <w:rFonts w:ascii="Book Antiqua" w:eastAsiaTheme="minorHAnsi" w:hAnsi="Book Antiqua" w:cs="Arial"/>
          <w:kern w:val="2"/>
          <w:szCs w:val="24"/>
          <w:lang w:val="es-ES"/>
          <w14:ligatures w14:val="standardContextual"/>
        </w:rPr>
        <w:t xml:space="preserve">El Impacto Tecnológico: El ciberacoso de género y la </w:t>
      </w:r>
      <w:r w:rsidR="00062818" w:rsidRPr="003A47D4">
        <w:rPr>
          <w:rFonts w:ascii="Book Antiqua" w:eastAsiaTheme="minorHAnsi" w:hAnsi="Book Antiqua" w:cs="Arial"/>
          <w:kern w:val="2"/>
          <w:szCs w:val="24"/>
          <w:lang w:val="es-ES"/>
          <w14:ligatures w14:val="standardContextual"/>
        </w:rPr>
        <w:t>ciber violencia</w:t>
      </w:r>
      <w:r w:rsidRPr="003A47D4">
        <w:rPr>
          <w:rFonts w:ascii="Book Antiqua" w:eastAsiaTheme="minorHAnsi" w:hAnsi="Book Antiqua" w:cs="Arial"/>
          <w:kern w:val="2"/>
          <w:szCs w:val="24"/>
          <w:lang w:val="es-ES"/>
          <w14:ligatures w14:val="standardContextual"/>
        </w:rPr>
        <w:t xml:space="preserve"> en el noviazgo han aumentado exponencialmente en la isla. El control de la vestimenta a través de fotos, el rastreo de ubicación en tiempo real mediante aplicaciones y la difusión no consentida </w:t>
      </w:r>
      <w:r w:rsidRPr="003A47D4">
        <w:rPr>
          <w:rFonts w:ascii="Book Antiqua" w:eastAsiaTheme="minorHAnsi" w:hAnsi="Book Antiqua" w:cs="Arial"/>
          <w:kern w:val="2"/>
          <w:szCs w:val="24"/>
          <w:lang w:val="es-ES"/>
          <w14:ligatures w14:val="standardContextual"/>
        </w:rPr>
        <w:lastRenderedPageBreak/>
        <w:t>de material íntimo (sexting coercitivo) son las formas de violencia más denunciadas de manera informal por los trabajadores sociales escolares.</w:t>
      </w:r>
    </w:p>
    <w:p w14:paraId="590E7924" w14:textId="77777777" w:rsidR="009F0EBF" w:rsidRPr="00C350AC" w:rsidRDefault="009F0EBF" w:rsidP="009F0EBF">
      <w:pPr>
        <w:spacing w:before="240" w:line="480" w:lineRule="auto"/>
        <w:rPr>
          <w:rFonts w:ascii="Book Antiqua" w:hAnsi="Book Antiqua"/>
          <w:i/>
          <w:lang w:val="es-PR"/>
        </w:rPr>
      </w:pPr>
      <w:r w:rsidRPr="00C350AC">
        <w:rPr>
          <w:rFonts w:ascii="Book Antiqua" w:hAnsi="Book Antiqua"/>
          <w:i/>
          <w:lang w:val="es-PR"/>
        </w:rPr>
        <w:t>DECRÉTASE POR LA ASAMBLEA LEGISLATIVA DE PUERTO RICO:</w:t>
      </w:r>
    </w:p>
    <w:p w14:paraId="1B4A49CC" w14:textId="77777777" w:rsidR="009F0EBF" w:rsidRPr="00C350AC" w:rsidRDefault="009F0EBF" w:rsidP="009F0EBF">
      <w:pPr>
        <w:spacing w:line="480" w:lineRule="auto"/>
        <w:jc w:val="both"/>
        <w:rPr>
          <w:rFonts w:ascii="Book Antiqua" w:hAnsi="Book Antiqua"/>
          <w:lang w:val="es-PR"/>
        </w:rPr>
        <w:sectPr w:rsidR="009F0EBF" w:rsidRPr="00C350AC">
          <w:headerReference w:type="default" r:id="rId11"/>
          <w:type w:val="continuous"/>
          <w:pgSz w:w="12240" w:h="15840" w:code="1"/>
          <w:pgMar w:top="1440" w:right="1440" w:bottom="1440" w:left="1440" w:header="720" w:footer="720" w:gutter="0"/>
          <w:cols w:space="720"/>
          <w:titlePg/>
        </w:sectPr>
      </w:pPr>
    </w:p>
    <w:p w14:paraId="20CDC54A" w14:textId="14CF0FC6" w:rsidR="00266DAC" w:rsidRPr="00266DAC" w:rsidRDefault="00461F2A" w:rsidP="00266DAC">
      <w:pPr>
        <w:spacing w:line="480" w:lineRule="auto"/>
        <w:ind w:firstLine="720"/>
        <w:contextualSpacing/>
        <w:jc w:val="both"/>
        <w:rPr>
          <w:rFonts w:ascii="Book Antiqua" w:eastAsiaTheme="minorHAnsi" w:hAnsi="Book Antiqua" w:cs="Arial"/>
          <w:kern w:val="2"/>
          <w:szCs w:val="24"/>
          <w:lang w:val="es-ES"/>
          <w14:ligatures w14:val="standardContextual"/>
        </w:rPr>
      </w:pPr>
      <w:r w:rsidRPr="00266DAC">
        <w:rPr>
          <w:rFonts w:ascii="Book Antiqua" w:hAnsi="Book Antiqua"/>
          <w:lang w:val="es-ES"/>
        </w:rPr>
        <w:t>Artículo 1.</w:t>
      </w:r>
      <w:r w:rsidR="00C350AC" w:rsidRPr="00266DAC">
        <w:rPr>
          <w:rFonts w:ascii="Book Antiqua" w:hAnsi="Book Antiqua"/>
          <w:lang w:val="es-ES"/>
        </w:rPr>
        <w:t xml:space="preserve">- </w:t>
      </w:r>
      <w:r w:rsidR="00266DAC" w:rsidRPr="00266DAC">
        <w:rPr>
          <w:rFonts w:ascii="Book Antiqua" w:eastAsiaTheme="minorHAnsi" w:hAnsi="Book Antiqua" w:cs="Arial"/>
          <w:kern w:val="2"/>
          <w:szCs w:val="24"/>
          <w:lang w:val="es-ES"/>
          <w14:ligatures w14:val="standardContextual"/>
        </w:rPr>
        <w:t>Título de la Ley</w:t>
      </w:r>
      <w:r w:rsidR="00266DAC">
        <w:rPr>
          <w:rFonts w:ascii="Book Antiqua" w:eastAsiaTheme="minorHAnsi" w:hAnsi="Book Antiqua" w:cs="Arial"/>
          <w:kern w:val="2"/>
          <w:szCs w:val="24"/>
          <w:lang w:val="es-ES"/>
          <w14:ligatures w14:val="standardContextual"/>
        </w:rPr>
        <w:t>.</w:t>
      </w:r>
    </w:p>
    <w:p w14:paraId="11167A4F" w14:textId="4A2FAA95" w:rsidR="00266DAC" w:rsidRPr="00266DAC" w:rsidRDefault="00266DAC" w:rsidP="00266DAC">
      <w:pPr>
        <w:spacing w:line="480" w:lineRule="auto"/>
        <w:contextualSpacing/>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 xml:space="preserve">Esta Ley se conocerá como la </w:t>
      </w:r>
      <w:r>
        <w:rPr>
          <w:rFonts w:ascii="Book Antiqua" w:eastAsiaTheme="minorHAnsi" w:hAnsi="Book Antiqua" w:cs="Arial"/>
          <w:kern w:val="2"/>
          <w:szCs w:val="24"/>
          <w:lang w:val="es-ES"/>
          <w14:ligatures w14:val="standardContextual"/>
        </w:rPr>
        <w:t>“</w:t>
      </w:r>
      <w:r w:rsidRPr="00266DAC">
        <w:rPr>
          <w:rFonts w:ascii="Book Antiqua" w:eastAsiaTheme="minorHAnsi" w:hAnsi="Book Antiqua" w:cs="Arial"/>
          <w:kern w:val="2"/>
          <w:szCs w:val="24"/>
          <w:lang w:val="es-ES"/>
          <w14:ligatures w14:val="standardContextual"/>
        </w:rPr>
        <w:t>Ley de Educación en Equidad y Prevención de la Violencia de Género</w:t>
      </w:r>
      <w:r>
        <w:rPr>
          <w:rFonts w:ascii="Book Antiqua" w:eastAsiaTheme="minorHAnsi" w:hAnsi="Book Antiqua" w:cs="Arial"/>
          <w:kern w:val="2"/>
          <w:szCs w:val="24"/>
          <w:lang w:val="es-ES"/>
          <w14:ligatures w14:val="standardContextual"/>
        </w:rPr>
        <w:t>”</w:t>
      </w:r>
      <w:r w:rsidRPr="00266DAC">
        <w:rPr>
          <w:rFonts w:ascii="Book Antiqua" w:eastAsiaTheme="minorHAnsi" w:hAnsi="Book Antiqua" w:cs="Arial"/>
          <w:kern w:val="2"/>
          <w:szCs w:val="24"/>
          <w:lang w:val="es-ES"/>
          <w14:ligatures w14:val="standardContextual"/>
        </w:rPr>
        <w:t>.</w:t>
      </w:r>
    </w:p>
    <w:p w14:paraId="1F1208F4" w14:textId="2966A1F9" w:rsidR="00266DAC" w:rsidRPr="00266DAC" w:rsidRDefault="00266DAC" w:rsidP="00266DAC">
      <w:pPr>
        <w:spacing w:line="480" w:lineRule="auto"/>
        <w:ind w:firstLine="720"/>
        <w:contextualSpacing/>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Artículo 2.- Creación del Programa Aulas en Respeto</w:t>
      </w:r>
      <w:r>
        <w:rPr>
          <w:rFonts w:ascii="Book Antiqua" w:eastAsiaTheme="minorHAnsi" w:hAnsi="Book Antiqua" w:cs="Arial"/>
          <w:kern w:val="2"/>
          <w:szCs w:val="24"/>
          <w:lang w:val="es-ES"/>
          <w14:ligatures w14:val="standardContextual"/>
        </w:rPr>
        <w:t>.</w:t>
      </w:r>
    </w:p>
    <w:p w14:paraId="11EE4825" w14:textId="77777777" w:rsidR="00266DAC" w:rsidRPr="00266DAC" w:rsidRDefault="00266DAC" w:rsidP="00266DAC">
      <w:pPr>
        <w:spacing w:line="480" w:lineRule="auto"/>
        <w:ind w:firstLine="720"/>
        <w:contextualSpacing/>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Se solicita al Departamento de Educación de Puerto Rico (DE), en coordinación con la Oficina de la Procuradora de las Mujeres (OPM), a diseñar e implantar un programa curricular para prevención de violencia de género dirigido a estudiantes de nivel intermedio y superior.</w:t>
      </w:r>
    </w:p>
    <w:p w14:paraId="5BA80989" w14:textId="3EF95FF0" w:rsidR="00266DAC" w:rsidRPr="00266DAC" w:rsidRDefault="00266DAC" w:rsidP="00266DAC">
      <w:pPr>
        <w:spacing w:line="480" w:lineRule="auto"/>
        <w:ind w:firstLine="720"/>
        <w:contextualSpacing/>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Artículo 3.- Pilares del Currículo Escolar</w:t>
      </w:r>
      <w:r>
        <w:rPr>
          <w:rFonts w:ascii="Book Antiqua" w:eastAsiaTheme="minorHAnsi" w:hAnsi="Book Antiqua" w:cs="Arial"/>
          <w:kern w:val="2"/>
          <w:szCs w:val="24"/>
          <w:lang w:val="es-ES"/>
          <w14:ligatures w14:val="standardContextual"/>
        </w:rPr>
        <w:t>.</w:t>
      </w:r>
    </w:p>
    <w:p w14:paraId="5882B418" w14:textId="77777777" w:rsidR="00266DAC" w:rsidRPr="00266DAC" w:rsidRDefault="00266DAC" w:rsidP="00266DAC">
      <w:pPr>
        <w:spacing w:line="480" w:lineRule="auto"/>
        <w:contextualSpacing/>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El programa no será una charla aislada, sino un módulo integrado en asignaturas existentes (como Salud o Ciencias Sociales) o un taller recurrente semestral que cubra:</w:t>
      </w:r>
    </w:p>
    <w:p w14:paraId="464F3CC7" w14:textId="1E80E3E6" w:rsidR="00266DAC" w:rsidRDefault="00266DAC" w:rsidP="00266DAC">
      <w:pPr>
        <w:pStyle w:val="Prrafodelista"/>
        <w:spacing w:line="480" w:lineRule="auto"/>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Nivel Intermedio</w:t>
      </w:r>
      <w:r>
        <w:rPr>
          <w:rFonts w:ascii="Book Antiqua" w:eastAsiaTheme="minorHAnsi" w:hAnsi="Book Antiqua" w:cs="Arial"/>
          <w:kern w:val="2"/>
          <w:szCs w:val="24"/>
          <w:lang w:val="es-ES"/>
          <w14:ligatures w14:val="standardContextual"/>
        </w:rPr>
        <w:t>:</w:t>
      </w:r>
    </w:p>
    <w:p w14:paraId="76385B3F" w14:textId="77777777" w:rsidR="00266DAC" w:rsidRDefault="00266DAC" w:rsidP="00611CA3">
      <w:pPr>
        <w:pStyle w:val="Prrafodelista"/>
        <w:numPr>
          <w:ilvl w:val="0"/>
          <w:numId w:val="16"/>
        </w:numPr>
        <w:spacing w:line="480" w:lineRule="auto"/>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Identificación de señales de alerta (red flags) en el noviazgo y amistades.</w:t>
      </w:r>
    </w:p>
    <w:p w14:paraId="64DE5929" w14:textId="77777777" w:rsidR="00266DAC" w:rsidRDefault="00266DAC" w:rsidP="00A20668">
      <w:pPr>
        <w:pStyle w:val="Prrafodelista"/>
        <w:numPr>
          <w:ilvl w:val="0"/>
          <w:numId w:val="16"/>
        </w:numPr>
        <w:spacing w:line="480" w:lineRule="auto"/>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Concepto de consentimiento y límites personales.</w:t>
      </w:r>
    </w:p>
    <w:p w14:paraId="2B38098D" w14:textId="77777777" w:rsidR="00266DAC" w:rsidRDefault="00266DAC" w:rsidP="003A2C98">
      <w:pPr>
        <w:pStyle w:val="Prrafodelista"/>
        <w:numPr>
          <w:ilvl w:val="0"/>
          <w:numId w:val="16"/>
        </w:numPr>
        <w:spacing w:line="480" w:lineRule="auto"/>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Manejo de emociones, autoestima y resolución de conflictos sin violencia.</w:t>
      </w:r>
    </w:p>
    <w:p w14:paraId="6D910619" w14:textId="4E97A8EA" w:rsidR="00266DAC" w:rsidRPr="00266DAC" w:rsidRDefault="00266DAC" w:rsidP="003A2C98">
      <w:pPr>
        <w:pStyle w:val="Prrafodelista"/>
        <w:numPr>
          <w:ilvl w:val="0"/>
          <w:numId w:val="16"/>
        </w:numPr>
        <w:spacing w:line="480" w:lineRule="auto"/>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Uso responsable de redes sociales y prevención del ciberacoso de género.</w:t>
      </w:r>
    </w:p>
    <w:p w14:paraId="7E7C9F25" w14:textId="77777777" w:rsidR="00266DAC" w:rsidRDefault="00266DAC" w:rsidP="00266DAC">
      <w:pPr>
        <w:spacing w:line="480" w:lineRule="auto"/>
        <w:ind w:firstLine="720"/>
        <w:contextualSpacing/>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Nivel Superior:</w:t>
      </w:r>
    </w:p>
    <w:p w14:paraId="35C71783" w14:textId="3BB75267" w:rsidR="00266DAC" w:rsidRPr="00266DAC" w:rsidRDefault="00266DAC" w:rsidP="00266DAC">
      <w:pPr>
        <w:pStyle w:val="Prrafodelista"/>
        <w:numPr>
          <w:ilvl w:val="0"/>
          <w:numId w:val="17"/>
        </w:numPr>
        <w:spacing w:line="480" w:lineRule="auto"/>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Tipos de violencia (psicológica, económica, física, cibernética).</w:t>
      </w:r>
    </w:p>
    <w:p w14:paraId="220A2CDB" w14:textId="77777777" w:rsidR="00266DAC" w:rsidRDefault="00266DAC" w:rsidP="007D57B0">
      <w:pPr>
        <w:pStyle w:val="Prrafodelista"/>
        <w:numPr>
          <w:ilvl w:val="0"/>
          <w:numId w:val="17"/>
        </w:numPr>
        <w:spacing w:line="480" w:lineRule="auto"/>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lastRenderedPageBreak/>
        <w:t>Rutas de apoyo, denuncia y cómo ayudar a una víctima (protocolos de la OPM).</w:t>
      </w:r>
    </w:p>
    <w:p w14:paraId="74A4273D" w14:textId="77777777" w:rsidR="00266DAC" w:rsidRDefault="00266DAC" w:rsidP="00291B51">
      <w:pPr>
        <w:pStyle w:val="Prrafodelista"/>
        <w:numPr>
          <w:ilvl w:val="0"/>
          <w:numId w:val="17"/>
        </w:numPr>
        <w:spacing w:line="480" w:lineRule="auto"/>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Desconstrucción de roles de género y promoción de la corresponsabilidad.</w:t>
      </w:r>
    </w:p>
    <w:p w14:paraId="1AAEE5F0" w14:textId="6CC24A2A" w:rsidR="00266DAC" w:rsidRPr="00266DAC" w:rsidRDefault="00266DAC" w:rsidP="00291B51">
      <w:pPr>
        <w:pStyle w:val="Prrafodelista"/>
        <w:numPr>
          <w:ilvl w:val="0"/>
          <w:numId w:val="17"/>
        </w:numPr>
        <w:spacing w:line="480" w:lineRule="auto"/>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Liderazgo, empatía y masculinidades corresponsables/positivas.</w:t>
      </w:r>
    </w:p>
    <w:p w14:paraId="222DDD89" w14:textId="77777777" w:rsidR="00266DAC" w:rsidRPr="00266DAC" w:rsidRDefault="00266DAC" w:rsidP="00266DAC">
      <w:pPr>
        <w:spacing w:line="480" w:lineRule="auto"/>
        <w:ind w:firstLine="720"/>
        <w:contextualSpacing/>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Artículo 4.- Capacitación Docente y de Personal de Apoyo</w:t>
      </w:r>
    </w:p>
    <w:p w14:paraId="549899F9" w14:textId="77777777" w:rsidR="00266DAC" w:rsidRDefault="00266DAC" w:rsidP="00266DAC">
      <w:pPr>
        <w:spacing w:line="480" w:lineRule="auto"/>
        <w:ind w:firstLine="720"/>
        <w:contextualSpacing/>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Ningún programa es efectivo sin guías preparadas. Se establece la obligación de adiestrar de forma continua a:</w:t>
      </w:r>
    </w:p>
    <w:p w14:paraId="384C754E" w14:textId="77777777" w:rsidR="00266DAC" w:rsidRDefault="00266DAC" w:rsidP="00594FDF">
      <w:pPr>
        <w:pStyle w:val="Prrafodelista"/>
        <w:numPr>
          <w:ilvl w:val="0"/>
          <w:numId w:val="18"/>
        </w:numPr>
        <w:spacing w:line="480" w:lineRule="auto"/>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Maestros(as) en la detección temprana de violencia intrafamiliar o en el noviazgo entre estudiantes.</w:t>
      </w:r>
    </w:p>
    <w:p w14:paraId="1FA47803" w14:textId="70098551" w:rsidR="00266DAC" w:rsidRPr="00266DAC" w:rsidRDefault="00266DAC" w:rsidP="00594FDF">
      <w:pPr>
        <w:pStyle w:val="Prrafodelista"/>
        <w:numPr>
          <w:ilvl w:val="0"/>
          <w:numId w:val="18"/>
        </w:numPr>
        <w:spacing w:line="480" w:lineRule="auto"/>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Trabajadores Sociales y Consejeros Escolares para ofrecer la primera línea de apoyo confidencial y seguro a las víctimas.</w:t>
      </w:r>
    </w:p>
    <w:p w14:paraId="33B41F65" w14:textId="77777777" w:rsidR="00266DAC" w:rsidRPr="00266DAC" w:rsidRDefault="00266DAC" w:rsidP="00266DAC">
      <w:pPr>
        <w:spacing w:line="480" w:lineRule="auto"/>
        <w:ind w:firstLine="720"/>
        <w:contextualSpacing/>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Artículo 5.- Fiscalización y Rendición de Cuentas</w:t>
      </w:r>
    </w:p>
    <w:p w14:paraId="13B7C90E" w14:textId="24DB671A" w:rsidR="00266DAC" w:rsidRDefault="00266DAC" w:rsidP="00266DAC">
      <w:pPr>
        <w:spacing w:line="480" w:lineRule="auto"/>
        <w:ind w:firstLine="720"/>
        <w:contextualSpacing/>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El D</w:t>
      </w:r>
      <w:r w:rsidR="007716DF">
        <w:rPr>
          <w:rFonts w:ascii="Book Antiqua" w:eastAsiaTheme="minorHAnsi" w:hAnsi="Book Antiqua" w:cs="Arial"/>
          <w:kern w:val="2"/>
          <w:szCs w:val="24"/>
          <w:lang w:val="es-ES"/>
          <w14:ligatures w14:val="standardContextual"/>
        </w:rPr>
        <w:t xml:space="preserve">epartamento de </w:t>
      </w:r>
      <w:r w:rsidR="007716DF" w:rsidRPr="00266DAC">
        <w:rPr>
          <w:rFonts w:ascii="Book Antiqua" w:eastAsiaTheme="minorHAnsi" w:hAnsi="Book Antiqua" w:cs="Arial"/>
          <w:kern w:val="2"/>
          <w:szCs w:val="24"/>
          <w:lang w:val="es-ES"/>
          <w14:ligatures w14:val="standardContextual"/>
        </w:rPr>
        <w:t>E</w:t>
      </w:r>
      <w:r w:rsidR="007716DF">
        <w:rPr>
          <w:rFonts w:ascii="Book Antiqua" w:eastAsiaTheme="minorHAnsi" w:hAnsi="Book Antiqua" w:cs="Arial"/>
          <w:kern w:val="2"/>
          <w:szCs w:val="24"/>
          <w:lang w:val="es-ES"/>
          <w14:ligatures w14:val="standardContextual"/>
        </w:rPr>
        <w:t>ducación</w:t>
      </w:r>
      <w:r w:rsidRPr="00266DAC">
        <w:rPr>
          <w:rFonts w:ascii="Book Antiqua" w:eastAsiaTheme="minorHAnsi" w:hAnsi="Book Antiqua" w:cs="Arial"/>
          <w:kern w:val="2"/>
          <w:szCs w:val="24"/>
          <w:lang w:val="es-ES"/>
          <w14:ligatures w14:val="standardContextual"/>
        </w:rPr>
        <w:t xml:space="preserve"> y la O</w:t>
      </w:r>
      <w:r w:rsidR="007716DF">
        <w:rPr>
          <w:rFonts w:ascii="Book Antiqua" w:eastAsiaTheme="minorHAnsi" w:hAnsi="Book Antiqua" w:cs="Arial"/>
          <w:kern w:val="2"/>
          <w:szCs w:val="24"/>
          <w:lang w:val="es-ES"/>
          <w14:ligatures w14:val="standardContextual"/>
        </w:rPr>
        <w:t xml:space="preserve">ficina de la </w:t>
      </w:r>
      <w:r w:rsidR="007716DF" w:rsidRPr="00266DAC">
        <w:rPr>
          <w:rFonts w:ascii="Book Antiqua" w:eastAsiaTheme="minorHAnsi" w:hAnsi="Book Antiqua" w:cs="Arial"/>
          <w:kern w:val="2"/>
          <w:szCs w:val="24"/>
          <w:lang w:val="es-ES"/>
          <w14:ligatures w14:val="standardContextual"/>
        </w:rPr>
        <w:t>P</w:t>
      </w:r>
      <w:r w:rsidR="007716DF">
        <w:rPr>
          <w:rFonts w:ascii="Book Antiqua" w:eastAsiaTheme="minorHAnsi" w:hAnsi="Book Antiqua" w:cs="Arial"/>
          <w:kern w:val="2"/>
          <w:szCs w:val="24"/>
          <w:lang w:val="es-ES"/>
          <w14:ligatures w14:val="standardContextual"/>
        </w:rPr>
        <w:t xml:space="preserve">rocuraduría de la </w:t>
      </w:r>
      <w:r w:rsidRPr="00266DAC">
        <w:rPr>
          <w:rFonts w:ascii="Book Antiqua" w:eastAsiaTheme="minorHAnsi" w:hAnsi="Book Antiqua" w:cs="Arial"/>
          <w:kern w:val="2"/>
          <w:szCs w:val="24"/>
          <w:lang w:val="es-ES"/>
          <w14:ligatures w14:val="standardContextual"/>
        </w:rPr>
        <w:t>M</w:t>
      </w:r>
      <w:r w:rsidR="007716DF">
        <w:rPr>
          <w:rFonts w:ascii="Book Antiqua" w:eastAsiaTheme="minorHAnsi" w:hAnsi="Book Antiqua" w:cs="Arial"/>
          <w:kern w:val="2"/>
          <w:szCs w:val="24"/>
          <w:lang w:val="es-ES"/>
          <w14:ligatures w14:val="standardContextual"/>
        </w:rPr>
        <w:t>ujer</w:t>
      </w:r>
      <w:r w:rsidRPr="00266DAC">
        <w:rPr>
          <w:rFonts w:ascii="Book Antiqua" w:eastAsiaTheme="minorHAnsi" w:hAnsi="Book Antiqua" w:cs="Arial"/>
          <w:kern w:val="2"/>
          <w:szCs w:val="24"/>
          <w:lang w:val="es-ES"/>
          <w14:ligatures w14:val="standardContextual"/>
        </w:rPr>
        <w:t xml:space="preserve"> presentarán un informe anual a la Asamblea Legislativa de Puerto Rico que incluya:</w:t>
      </w:r>
    </w:p>
    <w:p w14:paraId="2BA9F291" w14:textId="77777777" w:rsidR="00266DAC" w:rsidRDefault="00266DAC" w:rsidP="00725AA3">
      <w:pPr>
        <w:pStyle w:val="Prrafodelista"/>
        <w:numPr>
          <w:ilvl w:val="0"/>
          <w:numId w:val="19"/>
        </w:numPr>
        <w:spacing w:line="480" w:lineRule="auto"/>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El porcentaje de escuelas e instituciones que han completado el programa.</w:t>
      </w:r>
    </w:p>
    <w:p w14:paraId="5C3C3143" w14:textId="071E2CD1" w:rsidR="00266DAC" w:rsidRPr="00266DAC" w:rsidRDefault="00266DAC" w:rsidP="00725AA3">
      <w:pPr>
        <w:pStyle w:val="Prrafodelista"/>
        <w:numPr>
          <w:ilvl w:val="0"/>
          <w:numId w:val="19"/>
        </w:numPr>
        <w:spacing w:line="480" w:lineRule="auto"/>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Encuestas anónimas de clima escolar para medir el impacto en la percepción de los estudiantes sobre la violencia de género.</w:t>
      </w:r>
    </w:p>
    <w:p w14:paraId="42CBA1F6" w14:textId="77777777" w:rsidR="00266DAC" w:rsidRPr="00266DAC" w:rsidRDefault="00266DAC" w:rsidP="00266DAC">
      <w:pPr>
        <w:spacing w:line="480" w:lineRule="auto"/>
        <w:ind w:firstLine="720"/>
        <w:contextualSpacing/>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Artículo 6.- Asignación de Fondos</w:t>
      </w:r>
    </w:p>
    <w:p w14:paraId="19112CCA" w14:textId="77777777" w:rsidR="00266DAC" w:rsidRDefault="00266DAC" w:rsidP="00266DAC">
      <w:pPr>
        <w:spacing w:line="480" w:lineRule="auto"/>
        <w:ind w:firstLine="720"/>
        <w:contextualSpacing/>
        <w:jc w:val="both"/>
        <w:rPr>
          <w:rFonts w:ascii="Book Antiqua" w:eastAsiaTheme="minorHAnsi" w:hAnsi="Book Antiqua" w:cs="Arial"/>
          <w:kern w:val="2"/>
          <w:szCs w:val="24"/>
          <w:lang w:val="es-ES"/>
          <w14:ligatures w14:val="standardContextual"/>
        </w:rPr>
      </w:pPr>
      <w:r w:rsidRPr="00266DAC">
        <w:rPr>
          <w:rFonts w:ascii="Book Antiqua" w:eastAsiaTheme="minorHAnsi" w:hAnsi="Book Antiqua" w:cs="Arial"/>
          <w:kern w:val="2"/>
          <w:szCs w:val="24"/>
          <w:lang w:val="es-ES"/>
          <w14:ligatures w14:val="standardContextual"/>
        </w:rPr>
        <w:t>Se autoriza la asignación de recursos económicos provenientes del Fondo General de Puerto Rico, así como la identificación de fondos federales (como los fondos Title IV de seguridad y bienestar estudiantil), para el diseño de materiales, contratación de expertos y capacitación del personal.</w:t>
      </w:r>
    </w:p>
    <w:p w14:paraId="1BECFCDD" w14:textId="77777777" w:rsidR="00266DAC" w:rsidRPr="007716DF" w:rsidRDefault="00266DAC" w:rsidP="007716DF">
      <w:pPr>
        <w:spacing w:line="480" w:lineRule="auto"/>
        <w:ind w:firstLine="720"/>
        <w:contextualSpacing/>
        <w:jc w:val="both"/>
        <w:rPr>
          <w:rFonts w:ascii="Book Antiqua" w:eastAsiaTheme="minorHAnsi" w:hAnsi="Book Antiqua" w:cs="Arial"/>
          <w:kern w:val="2"/>
          <w:szCs w:val="24"/>
          <w:lang w:val="es-ES"/>
          <w14:ligatures w14:val="standardContextual"/>
        </w:rPr>
      </w:pPr>
      <w:r w:rsidRPr="007716DF">
        <w:rPr>
          <w:rFonts w:ascii="Book Antiqua" w:eastAsiaTheme="minorHAnsi" w:hAnsi="Book Antiqua" w:cs="Arial"/>
          <w:kern w:val="2"/>
          <w:szCs w:val="24"/>
          <w:lang w:val="es-ES"/>
          <w14:ligatures w14:val="standardContextual"/>
        </w:rPr>
        <w:lastRenderedPageBreak/>
        <w:t>Artículo 7.- Reglamentación</w:t>
      </w:r>
    </w:p>
    <w:p w14:paraId="6DAD6EFE" w14:textId="77777777" w:rsidR="00266DAC" w:rsidRPr="007716DF" w:rsidRDefault="00266DAC" w:rsidP="007716DF">
      <w:pPr>
        <w:spacing w:line="480" w:lineRule="auto"/>
        <w:ind w:firstLine="720"/>
        <w:contextualSpacing/>
        <w:jc w:val="both"/>
        <w:rPr>
          <w:rFonts w:ascii="Book Antiqua" w:eastAsiaTheme="minorHAnsi" w:hAnsi="Book Antiqua" w:cs="Arial"/>
          <w:kern w:val="2"/>
          <w:szCs w:val="24"/>
          <w:lang w:val="es-ES"/>
          <w14:ligatures w14:val="standardContextual"/>
        </w:rPr>
      </w:pPr>
      <w:r w:rsidRPr="007716DF">
        <w:rPr>
          <w:rFonts w:ascii="Book Antiqua" w:eastAsiaTheme="minorHAnsi" w:hAnsi="Book Antiqua" w:cs="Arial"/>
          <w:kern w:val="2"/>
          <w:szCs w:val="24"/>
          <w:lang w:val="es-ES"/>
          <w14:ligatures w14:val="standardContextual"/>
        </w:rPr>
        <w:t>Se ordena al Departamento de Educación de Puerto Rico y a la Oficina de la Procuradora de las Mujeres a promulgar, adoptar o enmendar aquellos reglamentos, cartas circulares u órdenes administrativas que sean necesarias para la plena consecución de los objetivos de esta Ley, dentro de un término no mayor de ciento veinte (120) días contados a partir de la aprobación de esta medida.</w:t>
      </w:r>
    </w:p>
    <w:p w14:paraId="47EC44D5" w14:textId="77777777" w:rsidR="00266DAC" w:rsidRPr="007716DF" w:rsidRDefault="00266DAC" w:rsidP="007716DF">
      <w:pPr>
        <w:spacing w:line="480" w:lineRule="auto"/>
        <w:ind w:firstLine="720"/>
        <w:contextualSpacing/>
        <w:jc w:val="both"/>
        <w:rPr>
          <w:rFonts w:ascii="Book Antiqua" w:eastAsiaTheme="minorHAnsi" w:hAnsi="Book Antiqua" w:cs="Arial"/>
          <w:kern w:val="2"/>
          <w:szCs w:val="24"/>
          <w:lang w:val="es-ES"/>
          <w14:ligatures w14:val="standardContextual"/>
        </w:rPr>
      </w:pPr>
      <w:r w:rsidRPr="007716DF">
        <w:rPr>
          <w:rFonts w:ascii="Book Antiqua" w:eastAsiaTheme="minorHAnsi" w:hAnsi="Book Antiqua" w:cs="Arial"/>
          <w:kern w:val="2"/>
          <w:szCs w:val="24"/>
          <w:lang w:val="es-ES"/>
          <w14:ligatures w14:val="standardContextual"/>
        </w:rPr>
        <w:t>Artículo 8.- Separabilidad</w:t>
      </w:r>
    </w:p>
    <w:p w14:paraId="4E19770B" w14:textId="77777777" w:rsidR="00266DAC" w:rsidRPr="007716DF" w:rsidRDefault="00266DAC" w:rsidP="007716DF">
      <w:pPr>
        <w:spacing w:line="480" w:lineRule="auto"/>
        <w:contextualSpacing/>
        <w:jc w:val="both"/>
        <w:rPr>
          <w:rFonts w:ascii="Book Antiqua" w:eastAsiaTheme="minorHAnsi" w:hAnsi="Book Antiqua" w:cs="Arial"/>
          <w:kern w:val="2"/>
          <w:szCs w:val="24"/>
          <w:lang w:val="es-ES"/>
          <w14:ligatures w14:val="standardContextual"/>
        </w:rPr>
      </w:pPr>
      <w:r w:rsidRPr="007716DF">
        <w:rPr>
          <w:rFonts w:ascii="Book Antiqua" w:eastAsiaTheme="minorHAnsi" w:hAnsi="Book Antiqua" w:cs="Arial"/>
          <w:kern w:val="2"/>
          <w:szCs w:val="24"/>
          <w:lang w:val="es-ES"/>
          <w14:ligatures w14:val="standardContextual"/>
        </w:rPr>
        <w:t>Si cualquier cláusula, párrafo, subpárrafo, oración, palabra, artículo o parte de esta Ley fuera declarada inconstitucional o nula por un tribunal con jurisdicción competente, dicha sentencia no afectará, perjudicará ni invalidará el resto de las disposiciones de esta Ley, limitándose su efecto a la parte específica que haya sido declarada inconstitucional o nula.</w:t>
      </w:r>
    </w:p>
    <w:p w14:paraId="01211304" w14:textId="77777777" w:rsidR="00266DAC" w:rsidRPr="007716DF" w:rsidRDefault="00266DAC" w:rsidP="007716DF">
      <w:pPr>
        <w:spacing w:line="480" w:lineRule="auto"/>
        <w:ind w:firstLine="720"/>
        <w:contextualSpacing/>
        <w:jc w:val="both"/>
        <w:rPr>
          <w:rFonts w:ascii="Book Antiqua" w:eastAsiaTheme="minorHAnsi" w:hAnsi="Book Antiqua" w:cs="Arial"/>
          <w:kern w:val="2"/>
          <w:szCs w:val="24"/>
          <w:lang w:val="es-ES"/>
          <w14:ligatures w14:val="standardContextual"/>
        </w:rPr>
      </w:pPr>
      <w:r w:rsidRPr="007716DF">
        <w:rPr>
          <w:rFonts w:ascii="Book Antiqua" w:eastAsiaTheme="minorHAnsi" w:hAnsi="Book Antiqua" w:cs="Arial"/>
          <w:kern w:val="2"/>
          <w:szCs w:val="24"/>
          <w:lang w:val="es-ES"/>
          <w14:ligatures w14:val="standardContextual"/>
        </w:rPr>
        <w:t>Artículo 9.- Vigencia</w:t>
      </w:r>
    </w:p>
    <w:p w14:paraId="65A174E2" w14:textId="17585EC2" w:rsidR="009F0EBF" w:rsidRPr="007716DF" w:rsidRDefault="00266DAC" w:rsidP="007716DF">
      <w:pPr>
        <w:spacing w:line="480" w:lineRule="auto"/>
        <w:ind w:firstLine="720"/>
        <w:contextualSpacing/>
        <w:jc w:val="both"/>
        <w:rPr>
          <w:rFonts w:ascii="Book Antiqua" w:eastAsiaTheme="minorHAnsi" w:hAnsi="Book Antiqua" w:cs="Arial"/>
          <w:kern w:val="2"/>
          <w:szCs w:val="24"/>
          <w:lang w:val="es-ES"/>
          <w14:ligatures w14:val="standardContextual"/>
        </w:rPr>
      </w:pPr>
      <w:r w:rsidRPr="007716DF">
        <w:rPr>
          <w:rFonts w:ascii="Book Antiqua" w:eastAsiaTheme="minorHAnsi" w:hAnsi="Book Antiqua" w:cs="Arial"/>
          <w:kern w:val="2"/>
          <w:szCs w:val="24"/>
          <w:lang w:val="es-ES"/>
          <w14:ligatures w14:val="standardContextual"/>
        </w:rPr>
        <w:t>Esta Ley comenzará a regir inmediatamente después de su aprobación</w:t>
      </w:r>
      <w:r w:rsidR="007716DF">
        <w:rPr>
          <w:rFonts w:ascii="Book Antiqua" w:eastAsiaTheme="minorHAnsi" w:hAnsi="Book Antiqua" w:cs="Arial"/>
          <w:kern w:val="2"/>
          <w:szCs w:val="24"/>
          <w:lang w:val="es-ES"/>
          <w14:ligatures w14:val="standardContextual"/>
        </w:rPr>
        <w:t>.</w:t>
      </w:r>
      <w:r w:rsidRPr="007716DF">
        <w:rPr>
          <w:rFonts w:ascii="Book Antiqua" w:eastAsiaTheme="minorHAnsi" w:hAnsi="Book Antiqua" w:cs="Arial"/>
          <w:kern w:val="2"/>
          <w:szCs w:val="24"/>
          <w:lang w:val="es-ES"/>
          <w14:ligatures w14:val="standardContextual"/>
        </w:rPr>
        <w:t xml:space="preserve"> </w:t>
      </w:r>
      <w:r w:rsidR="007716DF">
        <w:rPr>
          <w:rFonts w:ascii="Book Antiqua" w:eastAsiaTheme="minorHAnsi" w:hAnsi="Book Antiqua" w:cs="Arial"/>
          <w:kern w:val="2"/>
          <w:szCs w:val="24"/>
          <w:lang w:val="es-ES"/>
          <w14:ligatures w14:val="standardContextual"/>
        </w:rPr>
        <w:t>A</w:t>
      </w:r>
      <w:r w:rsidRPr="007716DF">
        <w:rPr>
          <w:rFonts w:ascii="Book Antiqua" w:eastAsiaTheme="minorHAnsi" w:hAnsi="Book Antiqua" w:cs="Arial"/>
          <w:kern w:val="2"/>
          <w:szCs w:val="24"/>
          <w:lang w:val="es-ES"/>
          <w14:ligatures w14:val="standardContextual"/>
        </w:rPr>
        <w:t xml:space="preserve"> los fines de que el diseño curricular e institucional comience de forma inmediata, y su implantación en las aulas de nivel intermedio y superior será obligatoria a partir del inicio del próximo año escolar.</w:t>
      </w:r>
      <w:r w:rsidR="009F0EBF" w:rsidRPr="007716DF">
        <w:rPr>
          <w:rFonts w:ascii="Book Antiqua" w:hAnsi="Book Antiqua"/>
          <w:lang w:val="es-PR"/>
        </w:rPr>
        <w:t xml:space="preserve"> </w:t>
      </w:r>
    </w:p>
    <w:sectPr w:rsidR="009F0EBF" w:rsidRPr="007716DF" w:rsidSect="00AF2BE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A8F48" w14:textId="77777777" w:rsidR="00C60394" w:rsidRDefault="00C60394">
      <w:r>
        <w:separator/>
      </w:r>
    </w:p>
  </w:endnote>
  <w:endnote w:type="continuationSeparator" w:id="0">
    <w:p w14:paraId="12FE6D50" w14:textId="77777777" w:rsidR="00C60394" w:rsidRDefault="00C60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29595" w14:textId="77777777" w:rsidR="00C60394" w:rsidRDefault="00C60394">
      <w:r>
        <w:separator/>
      </w:r>
    </w:p>
  </w:footnote>
  <w:footnote w:type="continuationSeparator" w:id="0">
    <w:p w14:paraId="763D5A3F" w14:textId="77777777" w:rsidR="00C60394" w:rsidRDefault="00C603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1C0F2" w14:textId="77777777" w:rsidR="009F0EBF" w:rsidRDefault="009F0EB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24F4C"/>
    <w:multiLevelType w:val="hybridMultilevel"/>
    <w:tmpl w:val="CC2C4EA4"/>
    <w:lvl w:ilvl="0" w:tplc="D1E4D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3155FE"/>
    <w:multiLevelType w:val="hybridMultilevel"/>
    <w:tmpl w:val="69E634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126501"/>
    <w:multiLevelType w:val="hybridMultilevel"/>
    <w:tmpl w:val="0850356E"/>
    <w:lvl w:ilvl="0" w:tplc="3C5600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0376092"/>
    <w:multiLevelType w:val="hybridMultilevel"/>
    <w:tmpl w:val="28F47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753846"/>
    <w:multiLevelType w:val="hybridMultilevel"/>
    <w:tmpl w:val="086EB542"/>
    <w:lvl w:ilvl="0" w:tplc="9AB826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A61A68"/>
    <w:multiLevelType w:val="hybridMultilevel"/>
    <w:tmpl w:val="6EF4F012"/>
    <w:lvl w:ilvl="0" w:tplc="1A86C9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46B7C2C"/>
    <w:multiLevelType w:val="hybridMultilevel"/>
    <w:tmpl w:val="A61AAC90"/>
    <w:lvl w:ilvl="0" w:tplc="1B2830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DD3893"/>
    <w:multiLevelType w:val="hybridMultilevel"/>
    <w:tmpl w:val="483C904C"/>
    <w:lvl w:ilvl="0" w:tplc="C7B879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AC104BC"/>
    <w:multiLevelType w:val="hybridMultilevel"/>
    <w:tmpl w:val="7C1A68D0"/>
    <w:lvl w:ilvl="0" w:tplc="70F83F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AD01A4"/>
    <w:multiLevelType w:val="hybridMultilevel"/>
    <w:tmpl w:val="52E236FE"/>
    <w:lvl w:ilvl="0" w:tplc="533A32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0285AF2"/>
    <w:multiLevelType w:val="hybridMultilevel"/>
    <w:tmpl w:val="F60481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C452F4"/>
    <w:multiLevelType w:val="hybridMultilevel"/>
    <w:tmpl w:val="A1BAF2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20143D"/>
    <w:multiLevelType w:val="hybridMultilevel"/>
    <w:tmpl w:val="208AC726"/>
    <w:lvl w:ilvl="0" w:tplc="16A633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3B55A55"/>
    <w:multiLevelType w:val="hybridMultilevel"/>
    <w:tmpl w:val="BF42B7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701A11"/>
    <w:multiLevelType w:val="hybridMultilevel"/>
    <w:tmpl w:val="76B8EA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1245546"/>
    <w:multiLevelType w:val="hybridMultilevel"/>
    <w:tmpl w:val="CF6E695C"/>
    <w:lvl w:ilvl="0" w:tplc="1750C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22827C9"/>
    <w:multiLevelType w:val="hybridMultilevel"/>
    <w:tmpl w:val="562C34B4"/>
    <w:lvl w:ilvl="0" w:tplc="D4900E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D5F4B"/>
    <w:multiLevelType w:val="hybridMultilevel"/>
    <w:tmpl w:val="E0220438"/>
    <w:lvl w:ilvl="0" w:tplc="B9627D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C2493A"/>
    <w:multiLevelType w:val="hybridMultilevel"/>
    <w:tmpl w:val="4580A406"/>
    <w:lvl w:ilvl="0" w:tplc="018E214A">
      <w:start w:val="1"/>
      <w:numFmt w:val="decimal"/>
      <w:lvlText w:val="%1."/>
      <w:lvlJc w:val="left"/>
      <w:pPr>
        <w:ind w:left="1080" w:hanging="720"/>
      </w:pPr>
      <w:rPr>
        <w:rFonts w:ascii="Book Antiqua" w:eastAsiaTheme="minorHAnsi" w:hAnsi="Book Antiqua"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614310">
    <w:abstractNumId w:val="15"/>
  </w:num>
  <w:num w:numId="2" w16cid:durableId="2106460621">
    <w:abstractNumId w:val="11"/>
  </w:num>
  <w:num w:numId="3" w16cid:durableId="707874773">
    <w:abstractNumId w:val="2"/>
  </w:num>
  <w:num w:numId="4" w16cid:durableId="1293512389">
    <w:abstractNumId w:val="17"/>
  </w:num>
  <w:num w:numId="5" w16cid:durableId="311066355">
    <w:abstractNumId w:val="6"/>
  </w:num>
  <w:num w:numId="6" w16cid:durableId="1807237223">
    <w:abstractNumId w:val="16"/>
  </w:num>
  <w:num w:numId="7" w16cid:durableId="2117671502">
    <w:abstractNumId w:val="0"/>
  </w:num>
  <w:num w:numId="8" w16cid:durableId="153108873">
    <w:abstractNumId w:val="13"/>
  </w:num>
  <w:num w:numId="9" w16cid:durableId="1030303120">
    <w:abstractNumId w:val="1"/>
  </w:num>
  <w:num w:numId="10" w16cid:durableId="1486161460">
    <w:abstractNumId w:val="8"/>
  </w:num>
  <w:num w:numId="11" w16cid:durableId="945699102">
    <w:abstractNumId w:val="10"/>
  </w:num>
  <w:num w:numId="12" w16cid:durableId="923497179">
    <w:abstractNumId w:val="18"/>
  </w:num>
  <w:num w:numId="13" w16cid:durableId="1433084947">
    <w:abstractNumId w:val="3"/>
  </w:num>
  <w:num w:numId="14" w16cid:durableId="1740470949">
    <w:abstractNumId w:val="14"/>
  </w:num>
  <w:num w:numId="15" w16cid:durableId="680820132">
    <w:abstractNumId w:val="4"/>
  </w:num>
  <w:num w:numId="16" w16cid:durableId="43264432">
    <w:abstractNumId w:val="12"/>
  </w:num>
  <w:num w:numId="17" w16cid:durableId="1097866551">
    <w:abstractNumId w:val="5"/>
  </w:num>
  <w:num w:numId="18" w16cid:durableId="1680623618">
    <w:abstractNumId w:val="9"/>
  </w:num>
  <w:num w:numId="19" w16cid:durableId="10307649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F0EBF"/>
    <w:rsid w:val="00013A2C"/>
    <w:rsid w:val="00020BBB"/>
    <w:rsid w:val="00037389"/>
    <w:rsid w:val="00050E9A"/>
    <w:rsid w:val="000542BD"/>
    <w:rsid w:val="00056024"/>
    <w:rsid w:val="00062818"/>
    <w:rsid w:val="00064ABB"/>
    <w:rsid w:val="00074F95"/>
    <w:rsid w:val="000860A2"/>
    <w:rsid w:val="00086B10"/>
    <w:rsid w:val="00095AE1"/>
    <w:rsid w:val="000A6B6C"/>
    <w:rsid w:val="000B0DBB"/>
    <w:rsid w:val="000B4BF2"/>
    <w:rsid w:val="000B79A9"/>
    <w:rsid w:val="000D2860"/>
    <w:rsid w:val="000D28AC"/>
    <w:rsid w:val="000E3E04"/>
    <w:rsid w:val="00111E71"/>
    <w:rsid w:val="001162B2"/>
    <w:rsid w:val="00127C6A"/>
    <w:rsid w:val="0013282F"/>
    <w:rsid w:val="001363FE"/>
    <w:rsid w:val="00157452"/>
    <w:rsid w:val="0017132B"/>
    <w:rsid w:val="00173EB5"/>
    <w:rsid w:val="001879D9"/>
    <w:rsid w:val="00190E7D"/>
    <w:rsid w:val="00194E05"/>
    <w:rsid w:val="00197A72"/>
    <w:rsid w:val="001B107C"/>
    <w:rsid w:val="001E37DE"/>
    <w:rsid w:val="001F0AC8"/>
    <w:rsid w:val="001F4CA3"/>
    <w:rsid w:val="001F612A"/>
    <w:rsid w:val="00206C0E"/>
    <w:rsid w:val="002105A0"/>
    <w:rsid w:val="00211396"/>
    <w:rsid w:val="0021429E"/>
    <w:rsid w:val="0021587C"/>
    <w:rsid w:val="002228E2"/>
    <w:rsid w:val="00226AE6"/>
    <w:rsid w:val="00245B34"/>
    <w:rsid w:val="00251D7C"/>
    <w:rsid w:val="00263355"/>
    <w:rsid w:val="00264D60"/>
    <w:rsid w:val="00266DAC"/>
    <w:rsid w:val="0026704E"/>
    <w:rsid w:val="00273792"/>
    <w:rsid w:val="00281822"/>
    <w:rsid w:val="0029183F"/>
    <w:rsid w:val="002926EE"/>
    <w:rsid w:val="00292DBB"/>
    <w:rsid w:val="002A1718"/>
    <w:rsid w:val="002B13B9"/>
    <w:rsid w:val="002B303C"/>
    <w:rsid w:val="002B74B4"/>
    <w:rsid w:val="002C0044"/>
    <w:rsid w:val="002C24BC"/>
    <w:rsid w:val="002D4AC8"/>
    <w:rsid w:val="002D54FC"/>
    <w:rsid w:val="002E6481"/>
    <w:rsid w:val="002E7D23"/>
    <w:rsid w:val="002F7329"/>
    <w:rsid w:val="00320D78"/>
    <w:rsid w:val="003543C8"/>
    <w:rsid w:val="0036707D"/>
    <w:rsid w:val="003802AE"/>
    <w:rsid w:val="00380FE5"/>
    <w:rsid w:val="003924DD"/>
    <w:rsid w:val="00394FCB"/>
    <w:rsid w:val="00395958"/>
    <w:rsid w:val="003963F4"/>
    <w:rsid w:val="00396653"/>
    <w:rsid w:val="003A2479"/>
    <w:rsid w:val="003A2C8F"/>
    <w:rsid w:val="003A47D4"/>
    <w:rsid w:val="003B5254"/>
    <w:rsid w:val="003B75A6"/>
    <w:rsid w:val="003C68BB"/>
    <w:rsid w:val="003E2A9B"/>
    <w:rsid w:val="004061CA"/>
    <w:rsid w:val="00415689"/>
    <w:rsid w:val="00425C6C"/>
    <w:rsid w:val="00432AC3"/>
    <w:rsid w:val="004440CB"/>
    <w:rsid w:val="00461F2A"/>
    <w:rsid w:val="004713D2"/>
    <w:rsid w:val="004A0F56"/>
    <w:rsid w:val="004A409B"/>
    <w:rsid w:val="004C1B1D"/>
    <w:rsid w:val="004D0BD0"/>
    <w:rsid w:val="004D7487"/>
    <w:rsid w:val="004E113E"/>
    <w:rsid w:val="004E1A28"/>
    <w:rsid w:val="004E4F05"/>
    <w:rsid w:val="004F335E"/>
    <w:rsid w:val="004F6814"/>
    <w:rsid w:val="00505737"/>
    <w:rsid w:val="00521639"/>
    <w:rsid w:val="00532BB7"/>
    <w:rsid w:val="005332E4"/>
    <w:rsid w:val="00533583"/>
    <w:rsid w:val="0053550C"/>
    <w:rsid w:val="00545910"/>
    <w:rsid w:val="00555018"/>
    <w:rsid w:val="00562D39"/>
    <w:rsid w:val="005723DC"/>
    <w:rsid w:val="005741E7"/>
    <w:rsid w:val="00576B81"/>
    <w:rsid w:val="00581CD6"/>
    <w:rsid w:val="0059378A"/>
    <w:rsid w:val="005E110E"/>
    <w:rsid w:val="005F245C"/>
    <w:rsid w:val="00603057"/>
    <w:rsid w:val="00610E59"/>
    <w:rsid w:val="006210DC"/>
    <w:rsid w:val="0062325F"/>
    <w:rsid w:val="00626DE1"/>
    <w:rsid w:val="00627C61"/>
    <w:rsid w:val="006426AA"/>
    <w:rsid w:val="0064349D"/>
    <w:rsid w:val="006475E2"/>
    <w:rsid w:val="006523FD"/>
    <w:rsid w:val="00653EED"/>
    <w:rsid w:val="006723CD"/>
    <w:rsid w:val="00677C5E"/>
    <w:rsid w:val="00685549"/>
    <w:rsid w:val="00692CA4"/>
    <w:rsid w:val="00693BBD"/>
    <w:rsid w:val="006A5AE9"/>
    <w:rsid w:val="006A7975"/>
    <w:rsid w:val="006B7365"/>
    <w:rsid w:val="006C1104"/>
    <w:rsid w:val="006C20A9"/>
    <w:rsid w:val="006C2D81"/>
    <w:rsid w:val="006C7DF8"/>
    <w:rsid w:val="006E0D28"/>
    <w:rsid w:val="00700FD2"/>
    <w:rsid w:val="00721968"/>
    <w:rsid w:val="007369D6"/>
    <w:rsid w:val="00750FC8"/>
    <w:rsid w:val="00751F13"/>
    <w:rsid w:val="007533D0"/>
    <w:rsid w:val="00755069"/>
    <w:rsid w:val="00761CDE"/>
    <w:rsid w:val="007716DF"/>
    <w:rsid w:val="0077510E"/>
    <w:rsid w:val="00775AB2"/>
    <w:rsid w:val="00794A03"/>
    <w:rsid w:val="007A5089"/>
    <w:rsid w:val="007B0660"/>
    <w:rsid w:val="007B2A91"/>
    <w:rsid w:val="007C12BF"/>
    <w:rsid w:val="007C4834"/>
    <w:rsid w:val="007D37C6"/>
    <w:rsid w:val="007E3756"/>
    <w:rsid w:val="007E3868"/>
    <w:rsid w:val="0080195F"/>
    <w:rsid w:val="00820C41"/>
    <w:rsid w:val="008219FA"/>
    <w:rsid w:val="00833E66"/>
    <w:rsid w:val="00845885"/>
    <w:rsid w:val="00850256"/>
    <w:rsid w:val="00850AD3"/>
    <w:rsid w:val="008539C4"/>
    <w:rsid w:val="0086007C"/>
    <w:rsid w:val="0086542B"/>
    <w:rsid w:val="00865EC9"/>
    <w:rsid w:val="008879FA"/>
    <w:rsid w:val="00895F68"/>
    <w:rsid w:val="008A59DF"/>
    <w:rsid w:val="008B528A"/>
    <w:rsid w:val="008B5ABC"/>
    <w:rsid w:val="008C0C00"/>
    <w:rsid w:val="008C2087"/>
    <w:rsid w:val="008D7E75"/>
    <w:rsid w:val="008E1CAA"/>
    <w:rsid w:val="008F7175"/>
    <w:rsid w:val="009054BD"/>
    <w:rsid w:val="00915E77"/>
    <w:rsid w:val="009352C1"/>
    <w:rsid w:val="0093686F"/>
    <w:rsid w:val="00942F6A"/>
    <w:rsid w:val="00942FD4"/>
    <w:rsid w:val="0094436B"/>
    <w:rsid w:val="00946D7D"/>
    <w:rsid w:val="00951997"/>
    <w:rsid w:val="00955F71"/>
    <w:rsid w:val="0096353B"/>
    <w:rsid w:val="00966886"/>
    <w:rsid w:val="00984E18"/>
    <w:rsid w:val="00984F82"/>
    <w:rsid w:val="00990352"/>
    <w:rsid w:val="00993054"/>
    <w:rsid w:val="009E0F0C"/>
    <w:rsid w:val="009F0EBF"/>
    <w:rsid w:val="009F5F12"/>
    <w:rsid w:val="00A01C46"/>
    <w:rsid w:val="00A03405"/>
    <w:rsid w:val="00A11296"/>
    <w:rsid w:val="00A14AA9"/>
    <w:rsid w:val="00A1528A"/>
    <w:rsid w:val="00A23C8B"/>
    <w:rsid w:val="00A23E89"/>
    <w:rsid w:val="00A25FD7"/>
    <w:rsid w:val="00A30952"/>
    <w:rsid w:val="00A33918"/>
    <w:rsid w:val="00A36602"/>
    <w:rsid w:val="00A53881"/>
    <w:rsid w:val="00A56765"/>
    <w:rsid w:val="00A62CF1"/>
    <w:rsid w:val="00A66F8A"/>
    <w:rsid w:val="00A6759F"/>
    <w:rsid w:val="00A7629F"/>
    <w:rsid w:val="00A810DF"/>
    <w:rsid w:val="00A82CBE"/>
    <w:rsid w:val="00A8478C"/>
    <w:rsid w:val="00A870A4"/>
    <w:rsid w:val="00A90554"/>
    <w:rsid w:val="00A94E02"/>
    <w:rsid w:val="00AA1487"/>
    <w:rsid w:val="00AA2350"/>
    <w:rsid w:val="00AB349E"/>
    <w:rsid w:val="00AB4DE3"/>
    <w:rsid w:val="00AD506A"/>
    <w:rsid w:val="00AF087D"/>
    <w:rsid w:val="00AF0CEE"/>
    <w:rsid w:val="00AF476E"/>
    <w:rsid w:val="00B046EC"/>
    <w:rsid w:val="00B066A2"/>
    <w:rsid w:val="00B30DEA"/>
    <w:rsid w:val="00B36870"/>
    <w:rsid w:val="00B667AD"/>
    <w:rsid w:val="00B84C38"/>
    <w:rsid w:val="00B86C00"/>
    <w:rsid w:val="00B87547"/>
    <w:rsid w:val="00B94282"/>
    <w:rsid w:val="00B947F6"/>
    <w:rsid w:val="00B950BE"/>
    <w:rsid w:val="00BA0807"/>
    <w:rsid w:val="00BA7C4C"/>
    <w:rsid w:val="00BF16AA"/>
    <w:rsid w:val="00BF7CD4"/>
    <w:rsid w:val="00C274F9"/>
    <w:rsid w:val="00C30834"/>
    <w:rsid w:val="00C30FCB"/>
    <w:rsid w:val="00C312F5"/>
    <w:rsid w:val="00C350AC"/>
    <w:rsid w:val="00C354B8"/>
    <w:rsid w:val="00C3756A"/>
    <w:rsid w:val="00C5119C"/>
    <w:rsid w:val="00C52517"/>
    <w:rsid w:val="00C57B9F"/>
    <w:rsid w:val="00C60394"/>
    <w:rsid w:val="00C60921"/>
    <w:rsid w:val="00C62936"/>
    <w:rsid w:val="00C64710"/>
    <w:rsid w:val="00C653F2"/>
    <w:rsid w:val="00C65C51"/>
    <w:rsid w:val="00C679E6"/>
    <w:rsid w:val="00C812FF"/>
    <w:rsid w:val="00C83166"/>
    <w:rsid w:val="00C908F9"/>
    <w:rsid w:val="00C95745"/>
    <w:rsid w:val="00CA0917"/>
    <w:rsid w:val="00CA1099"/>
    <w:rsid w:val="00CC3820"/>
    <w:rsid w:val="00CD5B91"/>
    <w:rsid w:val="00CE1B2E"/>
    <w:rsid w:val="00D02248"/>
    <w:rsid w:val="00D14793"/>
    <w:rsid w:val="00D417C2"/>
    <w:rsid w:val="00D530F2"/>
    <w:rsid w:val="00D60936"/>
    <w:rsid w:val="00D709EB"/>
    <w:rsid w:val="00D74714"/>
    <w:rsid w:val="00D82F3F"/>
    <w:rsid w:val="00D921C6"/>
    <w:rsid w:val="00D939BA"/>
    <w:rsid w:val="00D947CD"/>
    <w:rsid w:val="00D958C2"/>
    <w:rsid w:val="00DB53C3"/>
    <w:rsid w:val="00DD0E4A"/>
    <w:rsid w:val="00DD261D"/>
    <w:rsid w:val="00DF3D2E"/>
    <w:rsid w:val="00DF6EBE"/>
    <w:rsid w:val="00E04AB5"/>
    <w:rsid w:val="00E17EF3"/>
    <w:rsid w:val="00E21855"/>
    <w:rsid w:val="00E31F50"/>
    <w:rsid w:val="00E35BE1"/>
    <w:rsid w:val="00E5008E"/>
    <w:rsid w:val="00E50EEA"/>
    <w:rsid w:val="00E52F58"/>
    <w:rsid w:val="00E535E3"/>
    <w:rsid w:val="00E55BF6"/>
    <w:rsid w:val="00E60991"/>
    <w:rsid w:val="00E67042"/>
    <w:rsid w:val="00E67C2C"/>
    <w:rsid w:val="00E73592"/>
    <w:rsid w:val="00E764C2"/>
    <w:rsid w:val="00E835EF"/>
    <w:rsid w:val="00EC26AA"/>
    <w:rsid w:val="00EC324E"/>
    <w:rsid w:val="00ED2D71"/>
    <w:rsid w:val="00ED7A53"/>
    <w:rsid w:val="00EE319F"/>
    <w:rsid w:val="00EE4273"/>
    <w:rsid w:val="00EE71E5"/>
    <w:rsid w:val="00F02004"/>
    <w:rsid w:val="00F03C45"/>
    <w:rsid w:val="00F042CB"/>
    <w:rsid w:val="00F174C0"/>
    <w:rsid w:val="00F4251D"/>
    <w:rsid w:val="00F47E93"/>
    <w:rsid w:val="00F51302"/>
    <w:rsid w:val="00F60A20"/>
    <w:rsid w:val="00F66029"/>
    <w:rsid w:val="00F806D6"/>
    <w:rsid w:val="00F864A8"/>
    <w:rsid w:val="00FA2CE9"/>
    <w:rsid w:val="00FA4B95"/>
    <w:rsid w:val="00FA5D3D"/>
    <w:rsid w:val="00FB4E89"/>
    <w:rsid w:val="00FC0003"/>
    <w:rsid w:val="00FC0A95"/>
    <w:rsid w:val="00FC2D7D"/>
    <w:rsid w:val="00FC3D9C"/>
    <w:rsid w:val="00FD29CF"/>
    <w:rsid w:val="00FE248E"/>
    <w:rsid w:val="00FE6ECE"/>
    <w:rsid w:val="00FF0153"/>
    <w:rsid w:val="00FF1EDA"/>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A57E01"/>
  <w15:chartTrackingRefBased/>
  <w15:docId w15:val="{6CE46346-A87A-49B0-BEB4-B69A91EAA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EBF"/>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character" w:customStyle="1" w:styleId="EncabezadoCar">
    <w:name w:val="Encabezado Car"/>
    <w:link w:val="Encabezado"/>
    <w:rsid w:val="009F0EBF"/>
    <w:rPr>
      <w:sz w:val="24"/>
    </w:rP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9F0EBF"/>
    <w:pPr>
      <w:ind w:left="720"/>
      <w:contextualSpacing/>
    </w:pPr>
  </w:style>
  <w:style w:type="paragraph" w:styleId="NormalWeb">
    <w:name w:val="Normal (Web)"/>
    <w:basedOn w:val="Normal"/>
    <w:uiPriority w:val="99"/>
    <w:unhideWhenUsed/>
    <w:rsid w:val="00425C6C"/>
    <w:pPr>
      <w:spacing w:before="100" w:beforeAutospacing="1" w:after="100" w:afterAutospacing="1"/>
    </w:pPr>
    <w:rPr>
      <w:szCs w:val="24"/>
      <w:lang w:val="es-PR"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96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9" ma:contentTypeDescription="Create a new document." ma:contentTypeScope="" ma:versionID="53ef733c3f6431c3249de4770ed8615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5ee71d2b80df9e9779617c923c7ed84"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C469298D-5D6E-4C85-B1AF-00744D8E1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8B5917-C8B6-4975-8A93-E6451F8DB66D}">
  <ds:schemaRefs>
    <ds:schemaRef ds:uri="http://schemas.microsoft.com/sharepoint/v3/contenttype/forms"/>
  </ds:schemaRefs>
</ds:datastoreItem>
</file>

<file path=customXml/itemProps4.xml><?xml version="1.0" encoding="utf-8"?>
<ds:datastoreItem xmlns:ds="http://schemas.openxmlformats.org/officeDocument/2006/customXml" ds:itemID="{E3EB3E64-A8BE-4F7E-BBA0-4F2B6AC3C497}">
  <ds:schemaRefs>
    <ds:schemaRef ds:uri="http://schemas.microsoft.com/office/2006/metadata/properties"/>
    <ds:schemaRef ds:uri="http://schemas.microsoft.com/office/infopath/2007/PartnerControls"/>
    <ds:schemaRef ds:uri="92f57704-3039-4ebf-ac81-f8b12810bd0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1789</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4</cp:revision>
  <cp:lastPrinted>2025-03-17T14:44:00Z</cp:lastPrinted>
  <dcterms:created xsi:type="dcterms:W3CDTF">2026-06-22T13:00:00Z</dcterms:created>
  <dcterms:modified xsi:type="dcterms:W3CDTF">2026-06-22T22:50:00Z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