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88762E">
      <w:pPr>
        <w:jc w:val="center"/>
        <w:rPr>
          <w:rFonts w:ascii="Book Antiqua" w:eastAsia="Times New Roman" w:hAnsi="Book Antiqua"/>
          <w:sz w:val="28"/>
          <w:szCs w:val="28"/>
          <w:lang w:val="es-ES_tradnl"/>
        </w:rPr>
      </w:pPr>
    </w:p>
    <w:p w14:paraId="33D1B14F" w14:textId="3BEF4B47"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D757FC">
        <w:rPr>
          <w:rFonts w:ascii="Book Antiqua" w:eastAsia="Times New Roman" w:hAnsi="Book Antiqua"/>
          <w:lang w:val="es-ES_tradnl"/>
        </w:rPr>
        <w:t>3r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443372B4"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EB4C81">
        <w:rPr>
          <w:rFonts w:ascii="Book Antiqua" w:eastAsia="Times New Roman" w:hAnsi="Book Antiqua"/>
          <w:b/>
          <w:sz w:val="52"/>
          <w:szCs w:val="52"/>
          <w:lang w:val="es-ES_tradnl"/>
        </w:rPr>
        <w:t>733</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412F5F1B" w:rsidR="0088762E" w:rsidRPr="00683AD9" w:rsidRDefault="00EB4C81" w:rsidP="0088762E">
      <w:pPr>
        <w:jc w:val="center"/>
        <w:rPr>
          <w:rFonts w:ascii="Book Antiqua" w:eastAsia="Times New Roman" w:hAnsi="Book Antiqua"/>
          <w:lang w:val="es-ES_tradnl"/>
        </w:rPr>
      </w:pPr>
      <w:r>
        <w:rPr>
          <w:rFonts w:ascii="Book Antiqua" w:eastAsia="Times New Roman" w:hAnsi="Book Antiqua"/>
          <w:lang w:val="es-ES_tradnl"/>
        </w:rPr>
        <w:t>22</w:t>
      </w:r>
      <w:r w:rsidR="00A25887">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AF6632">
        <w:rPr>
          <w:rFonts w:ascii="Book Antiqua" w:eastAsia="Times New Roman" w:hAnsi="Book Antiqua"/>
          <w:lang w:val="es-ES_tradnl"/>
        </w:rPr>
        <w:t>JUNIO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9254BF">
        <w:rPr>
          <w:rFonts w:ascii="Book Antiqua" w:eastAsia="Times New Roman" w:hAnsi="Book Antiqua"/>
          <w:lang w:val="es-ES_tradnl"/>
        </w:rPr>
        <w:t>6</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0F668BEF" w14:textId="1610DD75" w:rsidR="000D046E" w:rsidRPr="00693B17" w:rsidRDefault="00AA3517" w:rsidP="00C64426">
      <w:pPr>
        <w:ind w:left="720" w:hanging="720"/>
        <w:jc w:val="both"/>
        <w:rPr>
          <w:rFonts w:ascii="Book Antiqua" w:hAnsi="Book Antiqua"/>
          <w:lang w:val="es-PR"/>
        </w:rPr>
      </w:pPr>
      <w:r w:rsidRPr="00B4739C">
        <w:rPr>
          <w:rFonts w:ascii="Book Antiqua" w:hAnsi="Book Antiqua"/>
          <w:lang w:val="es-ES_tradnl"/>
        </w:rPr>
        <w:t>Para</w:t>
      </w:r>
      <w:r w:rsidR="0001004D">
        <w:rPr>
          <w:rFonts w:ascii="Book Antiqua" w:hAnsi="Book Antiqua"/>
          <w:lang w:val="es-PR"/>
        </w:rPr>
        <w:t xml:space="preserve"> </w:t>
      </w:r>
      <w:r w:rsidR="00D757FC">
        <w:rPr>
          <w:rFonts w:ascii="Book Antiqua" w:hAnsi="Book Antiqua"/>
          <w:lang w:val="es-PR"/>
        </w:rPr>
        <w:t xml:space="preserve">ordenar </w:t>
      </w:r>
      <w:r w:rsidR="00D757FC" w:rsidRPr="00D757FC">
        <w:rPr>
          <w:rFonts w:ascii="Book Antiqua" w:hAnsi="Book Antiqua"/>
          <w:lang w:val="es-PR"/>
        </w:rPr>
        <w:t>a la Comisión de Gobierno de la Cámara de Representantes de Puerto Rico realizar una investigación exhaustiva sobre la viabilidad, conveniencia y necesidad de requerir a las entidades responsables de la generación, transmisión, distribución y administración del sistema eléctrico de Puerto Rico la preparación y divulgación anual de un informe público dirigido a los abonados, que detalle el estado de la infraestructura eléctrica, la confiabilidad del sistema, las interrupciones de servicio, los proyectos de reconstrucción y modernización, las inversiones realizadas, el uso de fondos federales, los indicadores de desempeño operacional y cualquier otra información relevante para promover la transparencia y la rendición de cuentas; y para otros fines relacionados</w:t>
      </w:r>
      <w:r w:rsidR="00D757FC">
        <w:rPr>
          <w:rFonts w:ascii="Book Antiqua" w:hAnsi="Book Antiqua"/>
          <w:lang w:val="es-PR"/>
        </w:rPr>
        <w:t>.</w:t>
      </w:r>
    </w:p>
    <w:p w14:paraId="34DB3813" w14:textId="77777777" w:rsidR="002F7EDC" w:rsidRPr="00683AD9" w:rsidRDefault="002F7EDC" w:rsidP="00690E28">
      <w:pPr>
        <w:jc w:val="both"/>
        <w:rPr>
          <w:rFonts w:ascii="Book Antiqua" w:hAnsi="Book Antiqua"/>
          <w:szCs w:val="24"/>
          <w:lang w:val="es-PR"/>
        </w:rPr>
      </w:pPr>
    </w:p>
    <w:p w14:paraId="26512F52" w14:textId="77777777" w:rsidR="00693B17" w:rsidRDefault="00693B17" w:rsidP="00A45A90">
      <w:pPr>
        <w:jc w:val="center"/>
        <w:rPr>
          <w:rFonts w:ascii="Book Antiqua" w:hAnsi="Book Antiqua"/>
          <w:szCs w:val="24"/>
          <w:lang w:val="es-ES_tradnl"/>
        </w:rPr>
      </w:pPr>
    </w:p>
    <w:p w14:paraId="5902FA1B" w14:textId="674D94C5"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4382A696" w14:textId="77777777" w:rsidR="0001004D" w:rsidRDefault="0001004D" w:rsidP="0001004D">
      <w:pPr>
        <w:ind w:firstLine="360"/>
        <w:jc w:val="center"/>
        <w:rPr>
          <w:rFonts w:ascii="Book Antiqua" w:hAnsi="Book Antiqua"/>
          <w:szCs w:val="24"/>
          <w:lang w:val="es-PR"/>
        </w:rPr>
      </w:pPr>
    </w:p>
    <w:p w14:paraId="7FCBD8DF" w14:textId="77777777" w:rsidR="00BC1C69" w:rsidRPr="00BC1C69" w:rsidRDefault="00BC1C69" w:rsidP="00C64426">
      <w:pPr>
        <w:ind w:firstLine="720"/>
        <w:jc w:val="both"/>
        <w:rPr>
          <w:rFonts w:ascii="Book Antiqua" w:hAnsi="Book Antiqua"/>
          <w:szCs w:val="24"/>
          <w:lang w:val="es-PR"/>
        </w:rPr>
      </w:pPr>
      <w:r w:rsidRPr="00BC1C69">
        <w:rPr>
          <w:rFonts w:ascii="Book Antiqua" w:hAnsi="Book Antiqua"/>
          <w:szCs w:val="24"/>
          <w:lang w:val="es-PR"/>
        </w:rPr>
        <w:t>La transparencia gubernamental y el acceso a información clara y confiable constituyen elementos esenciales para fortalecer la confianza pública en la prestación de servicios esenciales.</w:t>
      </w:r>
    </w:p>
    <w:p w14:paraId="4E9D8AEB" w14:textId="77777777" w:rsidR="00BC1C69" w:rsidRDefault="00BC1C69" w:rsidP="00C64426">
      <w:pPr>
        <w:ind w:firstLine="720"/>
        <w:jc w:val="both"/>
        <w:rPr>
          <w:rFonts w:ascii="Book Antiqua" w:hAnsi="Book Antiqua"/>
          <w:szCs w:val="24"/>
          <w:lang w:val="es-PR"/>
        </w:rPr>
      </w:pPr>
    </w:p>
    <w:p w14:paraId="4A4BEF34" w14:textId="6BC3B903" w:rsidR="00BC1C69" w:rsidRPr="00BC1C69" w:rsidRDefault="00BC1C69" w:rsidP="00C64426">
      <w:pPr>
        <w:ind w:firstLine="720"/>
        <w:jc w:val="both"/>
        <w:rPr>
          <w:rFonts w:ascii="Book Antiqua" w:hAnsi="Book Antiqua"/>
          <w:szCs w:val="24"/>
          <w:lang w:val="es-PR"/>
        </w:rPr>
      </w:pPr>
      <w:r w:rsidRPr="00BC1C69">
        <w:rPr>
          <w:rFonts w:ascii="Book Antiqua" w:hAnsi="Book Antiqua"/>
          <w:szCs w:val="24"/>
          <w:lang w:val="es-PR"/>
        </w:rPr>
        <w:t>Actualmente, la Autoridad de Acueductos y Alcantarillados emite anualmente un Informe sobre la Calidad del Agua Potable mediante el cual informa a sus abonados los resultados de pruebas de calidad, el cumplimiento con los estándares regulatorios aplicables, los niveles de contaminantes detectados y otros aspectos relacionados con la seguridad del agua que reciben los ciudadanos.</w:t>
      </w:r>
    </w:p>
    <w:p w14:paraId="7BDD16E1" w14:textId="77777777" w:rsidR="00BC1C69" w:rsidRDefault="00BC1C69" w:rsidP="00C64426">
      <w:pPr>
        <w:ind w:firstLine="720"/>
        <w:jc w:val="both"/>
        <w:rPr>
          <w:rFonts w:ascii="Book Antiqua" w:hAnsi="Book Antiqua"/>
          <w:szCs w:val="24"/>
          <w:lang w:val="es-PR"/>
        </w:rPr>
      </w:pPr>
    </w:p>
    <w:p w14:paraId="5E247209" w14:textId="3E3B168E" w:rsidR="00BC1C69" w:rsidRPr="00BC1C69" w:rsidRDefault="00BC1C69" w:rsidP="00C64426">
      <w:pPr>
        <w:ind w:firstLine="720"/>
        <w:jc w:val="both"/>
        <w:rPr>
          <w:rFonts w:ascii="Book Antiqua" w:hAnsi="Book Antiqua"/>
          <w:szCs w:val="24"/>
          <w:lang w:val="es-PR"/>
        </w:rPr>
      </w:pPr>
      <w:r w:rsidRPr="00BC1C69">
        <w:rPr>
          <w:rFonts w:ascii="Book Antiqua" w:hAnsi="Book Antiqua"/>
          <w:szCs w:val="24"/>
          <w:lang w:val="es-PR"/>
        </w:rPr>
        <w:lastRenderedPageBreak/>
        <w:t>Por otro lado, el sistema eléctrico de Puerto Rico continúa siendo uno de los asuntos de mayor interés público debido a los retos asociados con la confiabilidad del servicio, la modernización de la infraestructura, las interrupciones recurrentes, los costos energéticos y la utilización de fondos estatales y federales destinados a la reconstrucción del sistema.</w:t>
      </w:r>
    </w:p>
    <w:p w14:paraId="0EFA61DD" w14:textId="77777777" w:rsidR="00BC1C69" w:rsidRDefault="00BC1C69" w:rsidP="00C64426">
      <w:pPr>
        <w:ind w:firstLine="720"/>
        <w:jc w:val="both"/>
        <w:rPr>
          <w:rFonts w:ascii="Book Antiqua" w:hAnsi="Book Antiqua"/>
          <w:szCs w:val="24"/>
          <w:lang w:val="es-PR"/>
        </w:rPr>
      </w:pPr>
    </w:p>
    <w:p w14:paraId="37379C6F" w14:textId="1544E463" w:rsidR="00BC1C69" w:rsidRPr="00BC1C69" w:rsidRDefault="00BC1C69" w:rsidP="00C64426">
      <w:pPr>
        <w:ind w:firstLine="720"/>
        <w:jc w:val="both"/>
        <w:rPr>
          <w:rFonts w:ascii="Book Antiqua" w:hAnsi="Book Antiqua"/>
          <w:szCs w:val="24"/>
          <w:lang w:val="es-PR"/>
        </w:rPr>
      </w:pPr>
      <w:r w:rsidRPr="00BC1C69">
        <w:rPr>
          <w:rFonts w:ascii="Book Antiqua" w:hAnsi="Book Antiqua"/>
          <w:szCs w:val="24"/>
          <w:lang w:val="es-PR"/>
        </w:rPr>
        <w:t>A pesar de la importancia del servicio eléctrico para la vida diaria, el desarrollo económico y la seguridad pública, no existe actualmente un mecanismo uniforme mediante el cual todos los abonados reciban de forma periódica y accesible un resumen integrado sobre el estado del sistema eléctrico, el progreso de los proyectos de reconstrucción, las métricas de desempeño, la confiabilidad del servicio, las inversiones realizadas y los planes futuros.</w:t>
      </w:r>
    </w:p>
    <w:p w14:paraId="4CCAD2C5" w14:textId="77777777" w:rsidR="00BC1C69" w:rsidRDefault="00BC1C69" w:rsidP="00C64426">
      <w:pPr>
        <w:ind w:firstLine="720"/>
        <w:jc w:val="both"/>
        <w:rPr>
          <w:rFonts w:ascii="Book Antiqua" w:hAnsi="Book Antiqua"/>
          <w:szCs w:val="24"/>
          <w:lang w:val="es-PR"/>
        </w:rPr>
      </w:pPr>
    </w:p>
    <w:p w14:paraId="6B792E01" w14:textId="45EDBF25" w:rsidR="00BC1C69" w:rsidRPr="00BC1C69" w:rsidRDefault="00BC1C69" w:rsidP="00C64426">
      <w:pPr>
        <w:ind w:firstLine="720"/>
        <w:jc w:val="both"/>
        <w:rPr>
          <w:rFonts w:ascii="Book Antiqua" w:hAnsi="Book Antiqua"/>
          <w:szCs w:val="24"/>
          <w:lang w:val="es-PR"/>
        </w:rPr>
      </w:pPr>
      <w:r w:rsidRPr="00BC1C69">
        <w:rPr>
          <w:rFonts w:ascii="Book Antiqua" w:hAnsi="Book Antiqua"/>
          <w:szCs w:val="24"/>
          <w:lang w:val="es-PR"/>
        </w:rPr>
        <w:t>Ante esta realidad, resulta meritorio evaluar si Puerto Rico debe adoptar un modelo similar al utilizado para la divulgación de información sobre la calidad del agua potable, de manera que los consumidores puedan contar con información objetiva, uniforme y fácilmente accesible sobre el estado y desempeño del sistema eléctrico.</w:t>
      </w:r>
    </w:p>
    <w:p w14:paraId="62498DEB" w14:textId="77777777" w:rsidR="00BC1C69" w:rsidRDefault="00BC1C69" w:rsidP="00C64426">
      <w:pPr>
        <w:ind w:firstLine="720"/>
        <w:jc w:val="both"/>
        <w:rPr>
          <w:rFonts w:ascii="Book Antiqua" w:hAnsi="Book Antiqua"/>
          <w:szCs w:val="24"/>
          <w:lang w:val="es-PR"/>
        </w:rPr>
      </w:pPr>
    </w:p>
    <w:p w14:paraId="22E6DAD8" w14:textId="1DA1C685" w:rsidR="00BC1C69" w:rsidRPr="00BC1C69" w:rsidRDefault="00BC1C69" w:rsidP="00C64426">
      <w:pPr>
        <w:ind w:firstLine="720"/>
        <w:jc w:val="both"/>
        <w:rPr>
          <w:rFonts w:ascii="Book Antiqua" w:hAnsi="Book Antiqua"/>
          <w:szCs w:val="24"/>
          <w:lang w:val="es-PR"/>
        </w:rPr>
      </w:pPr>
      <w:r w:rsidRPr="00BC1C69">
        <w:rPr>
          <w:rFonts w:ascii="Book Antiqua" w:hAnsi="Book Antiqua"/>
          <w:szCs w:val="24"/>
          <w:lang w:val="es-PR"/>
        </w:rPr>
        <w:t>Por tanto, la Cámara de Representantes de Puerto Rico entiende necesario investigar la viabilidad operacional, técnica, económica y jurídica de establecer un mecanismo de divulgación anual dirigido a los abonados del servicio eléctrico.</w:t>
      </w:r>
    </w:p>
    <w:p w14:paraId="70019C6B" w14:textId="77777777" w:rsidR="00A64D5A" w:rsidRPr="00683AD9" w:rsidRDefault="00A64D5A" w:rsidP="00806357">
      <w:pPr>
        <w:pStyle w:val="Textoindependiente"/>
        <w:spacing w:before="0"/>
        <w:rPr>
          <w:rFonts w:ascii="Book Antiqua" w:hAnsi="Book Antiqua"/>
          <w:lang w:val="es-PR"/>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07F4D82E" w14:textId="47764495" w:rsidR="00751E98" w:rsidRPr="00751E98" w:rsidRDefault="00AA3517" w:rsidP="00751E98">
      <w:pPr>
        <w:spacing w:line="480" w:lineRule="auto"/>
        <w:ind w:firstLine="720"/>
        <w:jc w:val="both"/>
        <w:rPr>
          <w:rFonts w:ascii="Book Antiqua" w:hAnsi="Book Antiqua"/>
          <w:lang w:val="es-PR"/>
        </w:rPr>
      </w:pPr>
      <w:r w:rsidRPr="00683AD9">
        <w:rPr>
          <w:rFonts w:ascii="Book Antiqua" w:hAnsi="Book Antiqua"/>
          <w:lang w:val="es-PR"/>
        </w:rPr>
        <w:t>Sección 1.</w:t>
      </w:r>
      <w:r w:rsidR="005A107A">
        <w:rPr>
          <w:rFonts w:ascii="Book Antiqua" w:hAnsi="Book Antiqua"/>
          <w:lang w:val="es-PR"/>
        </w:rPr>
        <w:t>-</w:t>
      </w:r>
      <w:r w:rsidR="00C0029F" w:rsidRPr="00C0029F">
        <w:rPr>
          <w:rFonts w:ascii="Book Antiqua" w:hAnsi="Book Antiqua"/>
          <w:lang w:val="es-PR"/>
        </w:rPr>
        <w:t>Se ordena a la Comisión de Gobierno de la Cámara de Representantes de Puerto Rico realizar una investigación exhaustiva sobre la viabilidad y conveniencia de requerir la preparación y divulgación anual de un informe público dirigido a los abonados del servicio eléctrico en Puerto Rico, con el propósito de fortalecer la transparencia, la rendición de cuentas y el acceso de los ciudadanos a información relevante sobre el funcionamiento, desempeño y desarrollo del sistema eléctrico de</w:t>
      </w:r>
      <w:r w:rsidR="00C0029F">
        <w:rPr>
          <w:rFonts w:ascii="Book Antiqua" w:hAnsi="Book Antiqua"/>
          <w:lang w:val="es-PR"/>
        </w:rPr>
        <w:t xml:space="preserve"> la Isla</w:t>
      </w:r>
      <w:r w:rsidR="00751E98" w:rsidRPr="00751E98">
        <w:rPr>
          <w:rFonts w:ascii="Book Antiqua" w:hAnsi="Book Antiqua"/>
          <w:lang w:val="es-PR"/>
        </w:rPr>
        <w:t>.</w:t>
      </w:r>
    </w:p>
    <w:p w14:paraId="78F7E85E" w14:textId="5B15C558" w:rsidR="00C869D1" w:rsidRPr="00C869D1" w:rsidRDefault="00751E98" w:rsidP="00751E98">
      <w:pPr>
        <w:spacing w:line="480" w:lineRule="auto"/>
        <w:ind w:firstLine="720"/>
        <w:jc w:val="both"/>
        <w:rPr>
          <w:rFonts w:ascii="Book Antiqua" w:hAnsi="Book Antiqua"/>
          <w:lang w:val="es-PR"/>
        </w:rPr>
      </w:pPr>
      <w:r w:rsidRPr="00751E98">
        <w:rPr>
          <w:rFonts w:ascii="Book Antiqua" w:hAnsi="Book Antiqua"/>
          <w:lang w:val="es-PR"/>
        </w:rPr>
        <w:t>Como parte de la investigació</w:t>
      </w:r>
      <w:r w:rsidR="009D33A1">
        <w:rPr>
          <w:rFonts w:ascii="Book Antiqua" w:hAnsi="Book Antiqua"/>
          <w:lang w:val="es-PR"/>
        </w:rPr>
        <w:t>n</w:t>
      </w:r>
      <w:r w:rsidR="009D33A1" w:rsidRPr="009D33A1">
        <w:rPr>
          <w:rFonts w:ascii="Book Antiqua" w:hAnsi="Book Antiqua"/>
          <w:lang w:val="es-PR"/>
        </w:rPr>
        <w:t xml:space="preserve">, la Comisión deberá evaluar, entre otros asuntos, la entidad o entidades responsables de preparar y divulgar dicho informe; el contenido que razonablemente podría incluirse, tales como indicadores de confiabilidad del sistema, interrupciones de servicio, proyectos de reconstrucción, mejoras a la </w:t>
      </w:r>
      <w:r w:rsidR="009D33A1" w:rsidRPr="009D33A1">
        <w:rPr>
          <w:rFonts w:ascii="Book Antiqua" w:hAnsi="Book Antiqua"/>
          <w:lang w:val="es-PR"/>
        </w:rPr>
        <w:lastRenderedPageBreak/>
        <w:t>infraestructura eléctrica, inversiones realizadas, utilización de fondos federales, costos operacionales y métricas de desempeño; los costos asociados a su preparación y distribución; los mecanismos más efectivos para su divulgación mediante formatos impresos, electrónicos o híbridos; las experiencias comparadas en otras jurisdicciones de los Estados Unidos; y cualquier otro asunto relacionado con la transparencia y rendición de cuentas del sistema eléctrico de Puerto Rico</w:t>
      </w:r>
      <w:r>
        <w:rPr>
          <w:rFonts w:ascii="Book Antiqua" w:hAnsi="Book Antiqua"/>
          <w:lang w:val="es-PR"/>
        </w:rPr>
        <w:t>.</w:t>
      </w:r>
    </w:p>
    <w:p w14:paraId="23274A13" w14:textId="56C3445F" w:rsidR="00056EA9" w:rsidRDefault="00AA3517" w:rsidP="00063A68">
      <w:pPr>
        <w:spacing w:line="480" w:lineRule="auto"/>
        <w:ind w:firstLine="720"/>
        <w:jc w:val="both"/>
        <w:rPr>
          <w:rFonts w:ascii="Book Antiqua" w:hAnsi="Book Antiqua"/>
          <w:szCs w:val="25"/>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AF2192" w:rsidRPr="00AF2192">
        <w:rPr>
          <w:rFonts w:ascii="Book Antiqua" w:hAnsi="Book Antiqua"/>
          <w:szCs w:val="25"/>
          <w:lang w:val="es-ES_tradnl"/>
        </w:rPr>
        <w:t xml:space="preserve">La </w:t>
      </w:r>
      <w:r w:rsidR="0001004D">
        <w:rPr>
          <w:rFonts w:ascii="Book Antiqua" w:hAnsi="Book Antiqua"/>
          <w:szCs w:val="25"/>
          <w:lang w:val="es-ES_tradnl"/>
        </w:rPr>
        <w:t>Comisión</w:t>
      </w:r>
      <w:r w:rsidR="00AF2192" w:rsidRPr="00AF2192">
        <w:rPr>
          <w:rFonts w:ascii="Book Antiqua" w:hAnsi="Book Antiqua"/>
          <w:szCs w:val="25"/>
          <w:lang w:val="es-ES_tradnl"/>
        </w:rPr>
        <w:t xml:space="preserve"> tendrá facultad para indagar, requerir información y documentación sobre los asuntos anteriores, así como todas aquellas acciones que estimen convenientes, sin que ello se entienda como una limitación</w:t>
      </w:r>
      <w:r w:rsidR="00AF2192">
        <w:rPr>
          <w:rFonts w:ascii="Book Antiqua" w:hAnsi="Book Antiqua"/>
          <w:szCs w:val="25"/>
          <w:lang w:val="es-ES_tradnl"/>
        </w:rPr>
        <w:t>.</w:t>
      </w:r>
    </w:p>
    <w:p w14:paraId="0B45CA8C" w14:textId="02ADCECF" w:rsidR="00AF2192" w:rsidRPr="009020DD" w:rsidRDefault="00230E64" w:rsidP="00AF2192">
      <w:pPr>
        <w:spacing w:line="480" w:lineRule="auto"/>
        <w:ind w:firstLine="360"/>
        <w:jc w:val="both"/>
        <w:rPr>
          <w:rFonts w:ascii="Book Antiqua" w:hAnsi="Book Antiqua"/>
          <w:lang w:val="es-PR"/>
        </w:rPr>
      </w:pPr>
      <w:r w:rsidRPr="00683AD9">
        <w:rPr>
          <w:rFonts w:ascii="Book Antiqua" w:hAnsi="Book Antiqua"/>
          <w:lang w:val="es-PR"/>
        </w:rPr>
        <w:tab/>
      </w:r>
      <w:r w:rsidR="00AA3517" w:rsidRPr="00683AD9">
        <w:rPr>
          <w:rFonts w:ascii="Book Antiqua" w:hAnsi="Book Antiqua"/>
          <w:lang w:val="es-PR"/>
        </w:rPr>
        <w:t>Sección 3.-</w:t>
      </w:r>
      <w:r w:rsidR="006439DD" w:rsidRPr="006439DD">
        <w:rPr>
          <w:rFonts w:ascii="Book Antiqua" w:hAnsi="Book Antiqua"/>
          <w:lang w:val="es-ES_tradnl"/>
        </w:rPr>
        <w:t>La</w:t>
      </w:r>
      <w:r w:rsidR="0001004D">
        <w:rPr>
          <w:rFonts w:ascii="Book Antiqua" w:hAnsi="Book Antiqua"/>
          <w:lang w:val="es-ES_tradnl"/>
        </w:rPr>
        <w:t xml:space="preserve"> Comisión,</w:t>
      </w:r>
      <w:r w:rsidR="006439DD" w:rsidRPr="006439DD">
        <w:rPr>
          <w:rFonts w:ascii="Book Antiqua" w:hAnsi="Book Antiqua"/>
          <w:lang w:val="es-ES_tradnl"/>
        </w:rPr>
        <w:t xml:space="preserve">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esta Resolución</w:t>
      </w:r>
      <w:r w:rsidR="009020DD">
        <w:rPr>
          <w:rFonts w:ascii="Book Antiqua" w:hAnsi="Book Antiqua"/>
          <w:lang w:val="es-PR"/>
        </w:rPr>
        <w:t xml:space="preserve">. </w:t>
      </w:r>
    </w:p>
    <w:p w14:paraId="53416744" w14:textId="7B4A78C2" w:rsidR="00AF2192" w:rsidRPr="00AF2192" w:rsidRDefault="003358D8" w:rsidP="003358D8">
      <w:pPr>
        <w:spacing w:line="480" w:lineRule="auto"/>
        <w:ind w:firstLine="720"/>
        <w:jc w:val="both"/>
        <w:rPr>
          <w:rFonts w:ascii="Book Antiqua" w:hAnsi="Book Antiqua"/>
          <w:lang w:val="es-PR"/>
        </w:rPr>
      </w:pPr>
      <w:r>
        <w:rPr>
          <w:rFonts w:ascii="Book Antiqua" w:hAnsi="Book Antiqua"/>
          <w:lang w:val="es-PR"/>
        </w:rPr>
        <w:t>Sección 4.-</w:t>
      </w:r>
      <w:r w:rsidR="006439DD" w:rsidRPr="006439DD">
        <w:rPr>
          <w:rFonts w:ascii="Book Antiqua" w:hAnsi="Book Antiqua"/>
          <w:iCs/>
          <w:lang w:val="es-ES_tradnl"/>
        </w:rPr>
        <w:t>L</w:t>
      </w:r>
      <w:r w:rsidR="006439DD" w:rsidRPr="006439DD">
        <w:rPr>
          <w:rFonts w:ascii="Book Antiqua" w:hAnsi="Book Antiqua"/>
          <w:iCs/>
          <w:lang w:val="es-PR"/>
        </w:rPr>
        <w:t xml:space="preserve">a </w:t>
      </w:r>
      <w:r w:rsidR="0001004D">
        <w:rPr>
          <w:rFonts w:ascii="Book Antiqua" w:hAnsi="Book Antiqua"/>
          <w:iCs/>
          <w:lang w:val="es-PR"/>
        </w:rPr>
        <w:t>Comisión</w:t>
      </w:r>
      <w:r w:rsidR="006439DD" w:rsidRPr="006439DD">
        <w:rPr>
          <w:rFonts w:ascii="Book Antiqua" w:hAnsi="Book Antiqua"/>
          <w:iCs/>
          <w:lang w:val="es-PR"/>
        </w:rPr>
        <w:t xml:space="preserve"> rendirá </w:t>
      </w:r>
      <w:r w:rsidR="006439DD" w:rsidRPr="006439DD">
        <w:rPr>
          <w:rFonts w:ascii="Book Antiqua" w:hAnsi="Book Antiqua"/>
          <w:lang w:val="es-PR"/>
        </w:rPr>
        <w:t>a la Cámara de Representantes de Puerto Rico los informes parciales que estime necesarios o convenientes en los que incluya sus hallazgos, conclusiones y recomendaciones; asimismo, someterá un informe final, antes de que finalice la Vigésima Asamblea Legislativa</w:t>
      </w:r>
      <w:r w:rsidR="006439DD">
        <w:rPr>
          <w:rFonts w:ascii="Book Antiqua" w:hAnsi="Book Antiqua"/>
          <w:lang w:val="es-PR"/>
        </w:rPr>
        <w:t xml:space="preserve">. </w:t>
      </w:r>
      <w:r w:rsidR="006439DD">
        <w:rPr>
          <w:rFonts w:ascii="Book Antiqua" w:hAnsi="Book Antiqua"/>
          <w:lang w:val="es-ES_tradnl"/>
        </w:rPr>
        <w:t xml:space="preserve"> </w:t>
      </w:r>
    </w:p>
    <w:p w14:paraId="17B7FA41" w14:textId="21C5002E" w:rsidR="00AF2192" w:rsidRPr="007828D9" w:rsidRDefault="00AF2192" w:rsidP="007828D9">
      <w:pPr>
        <w:spacing w:line="480" w:lineRule="auto"/>
        <w:ind w:firstLine="720"/>
        <w:jc w:val="both"/>
        <w:rPr>
          <w:rFonts w:ascii="Book Antiqua" w:hAnsi="Book Antiqua"/>
          <w:lang w:val="es-PR"/>
        </w:rPr>
      </w:pPr>
      <w:r>
        <w:rPr>
          <w:rFonts w:ascii="Book Antiqua" w:hAnsi="Book Antiqua"/>
          <w:lang w:val="es-PR"/>
        </w:rPr>
        <w:t xml:space="preserve">Sección </w:t>
      </w:r>
      <w:r w:rsidR="003358D8">
        <w:rPr>
          <w:rFonts w:ascii="Book Antiqua" w:hAnsi="Book Antiqua"/>
          <w:lang w:val="es-PR"/>
        </w:rPr>
        <w:t>5</w:t>
      </w:r>
      <w:r>
        <w:rPr>
          <w:rFonts w:ascii="Book Antiqua" w:hAnsi="Book Antiqua"/>
          <w:lang w:val="es-PR"/>
        </w:rPr>
        <w:t>.-Esta</w:t>
      </w:r>
      <w:r w:rsidR="00AA3517" w:rsidRPr="00683AD9">
        <w:rPr>
          <w:rFonts w:ascii="Book Antiqua" w:hAnsi="Book Antiqua"/>
          <w:lang w:val="es-PR"/>
        </w:rPr>
        <w:t xml:space="preserve"> Resolución comenzará a regir inmediatamente después de su aprobación.</w:t>
      </w:r>
    </w:p>
    <w:sectPr w:rsidR="00AF2192" w:rsidRPr="007828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AFA70" w14:textId="77777777" w:rsidR="00534CA6" w:rsidRDefault="00534CA6">
      <w:r>
        <w:separator/>
      </w:r>
    </w:p>
  </w:endnote>
  <w:endnote w:type="continuationSeparator" w:id="0">
    <w:p w14:paraId="76E41AFC" w14:textId="77777777" w:rsidR="00534CA6" w:rsidRDefault="00534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67256" w14:textId="77777777" w:rsidR="00534CA6" w:rsidRDefault="00534CA6">
      <w:r>
        <w:separator/>
      </w:r>
    </w:p>
  </w:footnote>
  <w:footnote w:type="continuationSeparator" w:id="0">
    <w:p w14:paraId="410EEA52" w14:textId="77777777" w:rsidR="00534CA6" w:rsidRDefault="00534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683AD9">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004D"/>
    <w:rsid w:val="00037C51"/>
    <w:rsid w:val="00042558"/>
    <w:rsid w:val="00043042"/>
    <w:rsid w:val="00047FFA"/>
    <w:rsid w:val="0005103B"/>
    <w:rsid w:val="00056EA9"/>
    <w:rsid w:val="00062605"/>
    <w:rsid w:val="00063A68"/>
    <w:rsid w:val="00097F36"/>
    <w:rsid w:val="000A0AEF"/>
    <w:rsid w:val="000A179D"/>
    <w:rsid w:val="000A4370"/>
    <w:rsid w:val="000A7D79"/>
    <w:rsid w:val="000B36A4"/>
    <w:rsid w:val="000C0C88"/>
    <w:rsid w:val="000C715D"/>
    <w:rsid w:val="000D046E"/>
    <w:rsid w:val="000D1D7F"/>
    <w:rsid w:val="000F0008"/>
    <w:rsid w:val="000F1B08"/>
    <w:rsid w:val="001002EB"/>
    <w:rsid w:val="00101893"/>
    <w:rsid w:val="00102481"/>
    <w:rsid w:val="001113AD"/>
    <w:rsid w:val="00126547"/>
    <w:rsid w:val="00133944"/>
    <w:rsid w:val="001612BF"/>
    <w:rsid w:val="00163463"/>
    <w:rsid w:val="0016593D"/>
    <w:rsid w:val="001729D2"/>
    <w:rsid w:val="0018752B"/>
    <w:rsid w:val="001A4436"/>
    <w:rsid w:val="001B436F"/>
    <w:rsid w:val="001B63C4"/>
    <w:rsid w:val="001C242F"/>
    <w:rsid w:val="001C3D91"/>
    <w:rsid w:val="001D1E82"/>
    <w:rsid w:val="001F03AB"/>
    <w:rsid w:val="00205D86"/>
    <w:rsid w:val="00210337"/>
    <w:rsid w:val="002170AC"/>
    <w:rsid w:val="00217C71"/>
    <w:rsid w:val="002214C3"/>
    <w:rsid w:val="00230C2D"/>
    <w:rsid w:val="00230E64"/>
    <w:rsid w:val="00232EAB"/>
    <w:rsid w:val="00232EF4"/>
    <w:rsid w:val="00234F4A"/>
    <w:rsid w:val="00235584"/>
    <w:rsid w:val="00281186"/>
    <w:rsid w:val="002860D9"/>
    <w:rsid w:val="002A068D"/>
    <w:rsid w:val="002A0A8B"/>
    <w:rsid w:val="002B05CD"/>
    <w:rsid w:val="002B31BC"/>
    <w:rsid w:val="002C0919"/>
    <w:rsid w:val="002D105B"/>
    <w:rsid w:val="002D5462"/>
    <w:rsid w:val="002E69D6"/>
    <w:rsid w:val="002E716B"/>
    <w:rsid w:val="002F4BF2"/>
    <w:rsid w:val="002F7EDC"/>
    <w:rsid w:val="00311906"/>
    <w:rsid w:val="00311D1F"/>
    <w:rsid w:val="003278C1"/>
    <w:rsid w:val="00334DD9"/>
    <w:rsid w:val="003358D8"/>
    <w:rsid w:val="003511CF"/>
    <w:rsid w:val="00380AA3"/>
    <w:rsid w:val="00381571"/>
    <w:rsid w:val="003A015B"/>
    <w:rsid w:val="003A7175"/>
    <w:rsid w:val="003D4951"/>
    <w:rsid w:val="003E1EC7"/>
    <w:rsid w:val="00423BE7"/>
    <w:rsid w:val="004361F9"/>
    <w:rsid w:val="00437394"/>
    <w:rsid w:val="00456C45"/>
    <w:rsid w:val="0047433D"/>
    <w:rsid w:val="00482E64"/>
    <w:rsid w:val="00485100"/>
    <w:rsid w:val="004913F1"/>
    <w:rsid w:val="00491F27"/>
    <w:rsid w:val="00496678"/>
    <w:rsid w:val="004A130C"/>
    <w:rsid w:val="004D18F1"/>
    <w:rsid w:val="004E0658"/>
    <w:rsid w:val="004E791F"/>
    <w:rsid w:val="004F5726"/>
    <w:rsid w:val="004F648A"/>
    <w:rsid w:val="00532352"/>
    <w:rsid w:val="00534CA6"/>
    <w:rsid w:val="00535E26"/>
    <w:rsid w:val="005366BE"/>
    <w:rsid w:val="00537B4F"/>
    <w:rsid w:val="00541EE0"/>
    <w:rsid w:val="00567063"/>
    <w:rsid w:val="00587732"/>
    <w:rsid w:val="00591D25"/>
    <w:rsid w:val="00597FC1"/>
    <w:rsid w:val="005A107A"/>
    <w:rsid w:val="005A72F0"/>
    <w:rsid w:val="005C51E9"/>
    <w:rsid w:val="005C7667"/>
    <w:rsid w:val="005F019C"/>
    <w:rsid w:val="005F3C6B"/>
    <w:rsid w:val="00602FD6"/>
    <w:rsid w:val="006066C1"/>
    <w:rsid w:val="00621025"/>
    <w:rsid w:val="00623AB2"/>
    <w:rsid w:val="006439DD"/>
    <w:rsid w:val="00651966"/>
    <w:rsid w:val="00657EDF"/>
    <w:rsid w:val="00683AD9"/>
    <w:rsid w:val="00684FAE"/>
    <w:rsid w:val="00690E28"/>
    <w:rsid w:val="006920C0"/>
    <w:rsid w:val="00692A14"/>
    <w:rsid w:val="00692E43"/>
    <w:rsid w:val="00693B17"/>
    <w:rsid w:val="006B3598"/>
    <w:rsid w:val="006C0A89"/>
    <w:rsid w:val="006C5CEE"/>
    <w:rsid w:val="006F2CE8"/>
    <w:rsid w:val="006F3D82"/>
    <w:rsid w:val="007165B8"/>
    <w:rsid w:val="00733D3C"/>
    <w:rsid w:val="00751E98"/>
    <w:rsid w:val="007828D9"/>
    <w:rsid w:val="007A0D61"/>
    <w:rsid w:val="007A11F9"/>
    <w:rsid w:val="007B216F"/>
    <w:rsid w:val="007B2B9B"/>
    <w:rsid w:val="007C2DFD"/>
    <w:rsid w:val="007C6554"/>
    <w:rsid w:val="007E097E"/>
    <w:rsid w:val="007E71AF"/>
    <w:rsid w:val="007F5CF2"/>
    <w:rsid w:val="00806357"/>
    <w:rsid w:val="00807082"/>
    <w:rsid w:val="00826075"/>
    <w:rsid w:val="008607EE"/>
    <w:rsid w:val="00862DE1"/>
    <w:rsid w:val="00876248"/>
    <w:rsid w:val="0088649A"/>
    <w:rsid w:val="0088762E"/>
    <w:rsid w:val="008A00BE"/>
    <w:rsid w:val="008A4C2F"/>
    <w:rsid w:val="008B164C"/>
    <w:rsid w:val="008B605A"/>
    <w:rsid w:val="008C1DB8"/>
    <w:rsid w:val="008E61EF"/>
    <w:rsid w:val="009020DD"/>
    <w:rsid w:val="009254BF"/>
    <w:rsid w:val="00927A64"/>
    <w:rsid w:val="00933C38"/>
    <w:rsid w:val="00935281"/>
    <w:rsid w:val="0094696A"/>
    <w:rsid w:val="0096654A"/>
    <w:rsid w:val="00990D6C"/>
    <w:rsid w:val="009A7409"/>
    <w:rsid w:val="009C21E3"/>
    <w:rsid w:val="009D33A1"/>
    <w:rsid w:val="009D5745"/>
    <w:rsid w:val="009F6FD3"/>
    <w:rsid w:val="00A21AE1"/>
    <w:rsid w:val="00A25887"/>
    <w:rsid w:val="00A26544"/>
    <w:rsid w:val="00A3499E"/>
    <w:rsid w:val="00A45A90"/>
    <w:rsid w:val="00A5085C"/>
    <w:rsid w:val="00A55988"/>
    <w:rsid w:val="00A61033"/>
    <w:rsid w:val="00A64D5A"/>
    <w:rsid w:val="00A73272"/>
    <w:rsid w:val="00A87AD9"/>
    <w:rsid w:val="00A90D3D"/>
    <w:rsid w:val="00AA3517"/>
    <w:rsid w:val="00AB1CEB"/>
    <w:rsid w:val="00AC0CAE"/>
    <w:rsid w:val="00AC0E57"/>
    <w:rsid w:val="00AC5671"/>
    <w:rsid w:val="00AD3632"/>
    <w:rsid w:val="00AE5B07"/>
    <w:rsid w:val="00AF2192"/>
    <w:rsid w:val="00AF61B4"/>
    <w:rsid w:val="00AF6632"/>
    <w:rsid w:val="00B00365"/>
    <w:rsid w:val="00B066A2"/>
    <w:rsid w:val="00B22C31"/>
    <w:rsid w:val="00B30C30"/>
    <w:rsid w:val="00B46A26"/>
    <w:rsid w:val="00B4739C"/>
    <w:rsid w:val="00B5557A"/>
    <w:rsid w:val="00B56B2E"/>
    <w:rsid w:val="00B765BF"/>
    <w:rsid w:val="00B92670"/>
    <w:rsid w:val="00BA7E80"/>
    <w:rsid w:val="00BC1C69"/>
    <w:rsid w:val="00BD3CD8"/>
    <w:rsid w:val="00BD40B8"/>
    <w:rsid w:val="00BD5053"/>
    <w:rsid w:val="00BD61D3"/>
    <w:rsid w:val="00BF498B"/>
    <w:rsid w:val="00C0029F"/>
    <w:rsid w:val="00C01124"/>
    <w:rsid w:val="00C01A7C"/>
    <w:rsid w:val="00C01CB7"/>
    <w:rsid w:val="00C170EB"/>
    <w:rsid w:val="00C22372"/>
    <w:rsid w:val="00C64426"/>
    <w:rsid w:val="00C64738"/>
    <w:rsid w:val="00C76DFF"/>
    <w:rsid w:val="00C869D1"/>
    <w:rsid w:val="00C912E3"/>
    <w:rsid w:val="00C955EB"/>
    <w:rsid w:val="00CB13CF"/>
    <w:rsid w:val="00CC04CB"/>
    <w:rsid w:val="00CF571F"/>
    <w:rsid w:val="00D10377"/>
    <w:rsid w:val="00D30B02"/>
    <w:rsid w:val="00D3545E"/>
    <w:rsid w:val="00D45C75"/>
    <w:rsid w:val="00D47D2B"/>
    <w:rsid w:val="00D554F6"/>
    <w:rsid w:val="00D56D2F"/>
    <w:rsid w:val="00D638FB"/>
    <w:rsid w:val="00D7119D"/>
    <w:rsid w:val="00D757FC"/>
    <w:rsid w:val="00DB5F2E"/>
    <w:rsid w:val="00DB6547"/>
    <w:rsid w:val="00DF2A6A"/>
    <w:rsid w:val="00E02AD3"/>
    <w:rsid w:val="00E33662"/>
    <w:rsid w:val="00E33AE9"/>
    <w:rsid w:val="00E44EDB"/>
    <w:rsid w:val="00E54C8A"/>
    <w:rsid w:val="00E669F1"/>
    <w:rsid w:val="00E75E35"/>
    <w:rsid w:val="00E77E34"/>
    <w:rsid w:val="00E860D4"/>
    <w:rsid w:val="00EA7282"/>
    <w:rsid w:val="00EB4C81"/>
    <w:rsid w:val="00EC163D"/>
    <w:rsid w:val="00ED51B3"/>
    <w:rsid w:val="00ED64BC"/>
    <w:rsid w:val="00ED69AC"/>
    <w:rsid w:val="00EE3767"/>
    <w:rsid w:val="00EF71E3"/>
    <w:rsid w:val="00F00060"/>
    <w:rsid w:val="00F160A6"/>
    <w:rsid w:val="00F252DD"/>
    <w:rsid w:val="00F37309"/>
    <w:rsid w:val="00F40513"/>
    <w:rsid w:val="00F470E6"/>
    <w:rsid w:val="00F56A91"/>
    <w:rsid w:val="00F6459F"/>
    <w:rsid w:val="00F65FA0"/>
    <w:rsid w:val="00F80406"/>
    <w:rsid w:val="00F8490F"/>
    <w:rsid w:val="00F95DE0"/>
    <w:rsid w:val="00FA06BF"/>
    <w:rsid w:val="00FA13A3"/>
    <w:rsid w:val="00FA6713"/>
    <w:rsid w:val="00FD09D5"/>
    <w:rsid w:val="00FD345D"/>
    <w:rsid w:val="00FD4B5F"/>
    <w:rsid w:val="00FD4DBE"/>
    <w:rsid w:val="00FE6B17"/>
    <w:rsid w:val="00FF5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2</TotalTime>
  <Pages>3</Pages>
  <Words>815</Words>
  <Characters>4646</Characters>
  <Application>Microsoft Office Word</Application>
  <DocSecurity>0</DocSecurity>
  <Lines>38</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3</cp:revision>
  <cp:lastPrinted>2026-01-29T13:55:00Z</cp:lastPrinted>
  <dcterms:created xsi:type="dcterms:W3CDTF">2026-06-22T13:08:00Z</dcterms:created>
  <dcterms:modified xsi:type="dcterms:W3CDTF">2026-06-22T13:23:00Z</dcterms:modified>
</cp:coreProperties>
</file>