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0392" w14:textId="77777777" w:rsidR="00CD00DF" w:rsidRPr="00DB209E" w:rsidRDefault="002E6E00" w:rsidP="002E6E0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1137D8B3" w14:textId="77777777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26810ACB" w14:textId="77777777" w:rsidR="00CD00DF" w:rsidRPr="00DB209E" w:rsidRDefault="00580588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Asamblea</w:t>
      </w:r>
      <w:r w:rsidR="00CD00DF" w:rsidRPr="00DB209E">
        <w:rPr>
          <w:rFonts w:ascii="Book Antiqua" w:hAnsi="Book Antiqua"/>
          <w:lang w:val="es-ES_tradnl"/>
        </w:rPr>
        <w:tab/>
      </w:r>
      <w:r w:rsidR="00CD00DF">
        <w:rPr>
          <w:rFonts w:ascii="Book Antiqua" w:hAnsi="Book Antiqua"/>
          <w:lang w:val="es-ES_tradnl"/>
        </w:rPr>
        <w:t xml:space="preserve">                                                                                               </w:t>
      </w:r>
      <w:r w:rsidR="0022244E">
        <w:rPr>
          <w:rFonts w:ascii="Book Antiqua" w:hAnsi="Book Antiqua"/>
          <w:lang w:val="es-ES_tradnl"/>
        </w:rPr>
        <w:t>3</w:t>
      </w:r>
      <w:r w:rsidR="00CD00DF" w:rsidRPr="00580588">
        <w:rPr>
          <w:rFonts w:ascii="Book Antiqua" w:hAnsi="Book Antiqua"/>
          <w:vertAlign w:val="superscript"/>
          <w:lang w:val="es-ES_tradnl"/>
        </w:rPr>
        <w:t>ra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Sesión</w:t>
      </w:r>
    </w:p>
    <w:p w14:paraId="3F87D753" w14:textId="77777777" w:rsidR="00CD00DF" w:rsidRPr="00DB209E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595C733A" w14:textId="77777777" w:rsidR="00CD00DF" w:rsidRPr="00DB209E" w:rsidRDefault="00CD00DF" w:rsidP="00CD00DF">
      <w:pPr>
        <w:jc w:val="both"/>
        <w:rPr>
          <w:rFonts w:ascii="Book Antiqua" w:hAnsi="Book Antiqua"/>
          <w:lang w:val="es-ES_tradnl"/>
        </w:rPr>
      </w:pPr>
    </w:p>
    <w:p w14:paraId="7E5FE3E4" w14:textId="77777777" w:rsidR="00B411B6" w:rsidRDefault="00CD00DF" w:rsidP="00B411B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5E9A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7B9D3BDA" w14:textId="77777777" w:rsidR="00B411B6" w:rsidRDefault="00B411B6" w:rsidP="00B411B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</w:p>
    <w:p w14:paraId="5BDF2B16" w14:textId="43ED247A" w:rsidR="00CD00DF" w:rsidRPr="00B411B6" w:rsidRDefault="00CD00DF" w:rsidP="00B411B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5E9A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D37BD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CD22EA">
        <w:rPr>
          <w:rFonts w:ascii="Book Antiqua" w:hAnsi="Book Antiqua"/>
          <w:b/>
          <w:sz w:val="52"/>
          <w:szCs w:val="52"/>
          <w:lang w:val="es-ES_tradnl"/>
        </w:rPr>
        <w:t>1324</w:t>
      </w:r>
      <w:r w:rsidR="00D37BD6">
        <w:rPr>
          <w:rFonts w:ascii="Book Antiqua" w:hAnsi="Book Antiqua"/>
          <w:b/>
          <w:sz w:val="52"/>
          <w:szCs w:val="52"/>
          <w:lang w:val="es-ES_tradnl"/>
        </w:rPr>
        <w:t xml:space="preserve">  </w:t>
      </w:r>
    </w:p>
    <w:p w14:paraId="1B84CC2D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5099A460" w14:textId="298BB7EC" w:rsidR="00CD00DF" w:rsidRPr="00DB209E" w:rsidRDefault="00CD22EA" w:rsidP="00D37BD6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23</w:t>
      </w:r>
      <w:r w:rsidR="00776CC9">
        <w:rPr>
          <w:rFonts w:ascii="Book Antiqua" w:hAnsi="Book Antiqua"/>
          <w:lang w:val="es-ES_tradnl"/>
        </w:rPr>
        <w:t xml:space="preserve"> </w:t>
      </w:r>
      <w:r w:rsidR="00B411B6">
        <w:rPr>
          <w:rFonts w:ascii="Book Antiqua" w:hAnsi="Book Antiqua"/>
          <w:lang w:val="es-ES_tradnl"/>
        </w:rPr>
        <w:t>DE JUNIO DE</w:t>
      </w:r>
      <w:r w:rsidR="00CD00DF" w:rsidRPr="00DB209E">
        <w:rPr>
          <w:rFonts w:ascii="Book Antiqua" w:hAnsi="Book Antiqua"/>
          <w:lang w:val="es-ES_tradnl"/>
        </w:rPr>
        <w:t xml:space="preserve"> 20</w:t>
      </w:r>
      <w:r w:rsidR="0022244E">
        <w:rPr>
          <w:rFonts w:ascii="Book Antiqua" w:hAnsi="Book Antiqua"/>
          <w:lang w:val="es-ES_tradnl"/>
        </w:rPr>
        <w:t>26</w:t>
      </w:r>
    </w:p>
    <w:p w14:paraId="3143E266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14512FA2" w14:textId="67BEC7E7" w:rsidR="00CD00DF" w:rsidRPr="00DB209E" w:rsidRDefault="00CD00DF" w:rsidP="0082716F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Presentado 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22244E">
        <w:rPr>
          <w:rFonts w:ascii="Book Antiqua" w:hAnsi="Book Antiqua"/>
          <w:i/>
          <w:lang w:val="es-ES_tradnl"/>
        </w:rPr>
        <w:t>Sanabria Colón</w:t>
      </w:r>
    </w:p>
    <w:p w14:paraId="42C1B1FF" w14:textId="77777777" w:rsidR="00CE2C10" w:rsidRDefault="00CE2C10" w:rsidP="0082716F">
      <w:pPr>
        <w:jc w:val="center"/>
        <w:rPr>
          <w:rFonts w:ascii="Book Antiqua" w:hAnsi="Book Antiqua"/>
          <w:lang w:val="es-ES_tradnl"/>
        </w:rPr>
      </w:pPr>
    </w:p>
    <w:p w14:paraId="6CBE3706" w14:textId="3BCCCB4D" w:rsidR="00CD00DF" w:rsidRPr="00DB209E" w:rsidRDefault="00CD00DF" w:rsidP="0082716F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Referido a </w:t>
      </w:r>
      <w:r w:rsidR="004B6F53">
        <w:rPr>
          <w:rFonts w:ascii="Book Antiqua" w:hAnsi="Book Antiqua"/>
          <w:lang w:val="es-ES_tradnl"/>
        </w:rPr>
        <w:t>la Comisión de</w:t>
      </w:r>
      <w:r w:rsidR="00B411B6">
        <w:rPr>
          <w:rFonts w:ascii="Book Antiqua" w:hAnsi="Book Antiqua"/>
          <w:lang w:val="es-ES_tradnl"/>
        </w:rPr>
        <w:t xml:space="preserve"> </w:t>
      </w:r>
      <w:r w:rsidR="00397C24">
        <w:rPr>
          <w:rFonts w:ascii="Book Antiqua" w:hAnsi="Book Antiqua"/>
          <w:lang w:val="es-ES_tradnl"/>
        </w:rPr>
        <w:t>Seguridad Pública</w:t>
      </w:r>
    </w:p>
    <w:p w14:paraId="5851E02F" w14:textId="77777777" w:rsidR="00CD00DF" w:rsidRDefault="00CD00DF" w:rsidP="00CD00DF">
      <w:pPr>
        <w:jc w:val="both"/>
        <w:rPr>
          <w:rFonts w:ascii="Book Antiqua" w:hAnsi="Book Antiqua"/>
          <w:lang w:val="es-ES_tradnl"/>
        </w:rPr>
      </w:pPr>
    </w:p>
    <w:p w14:paraId="5812406B" w14:textId="77777777" w:rsidR="00CD00DF" w:rsidRPr="00DB209E" w:rsidRDefault="00CD00DF" w:rsidP="00CD00DF">
      <w:pPr>
        <w:jc w:val="center"/>
        <w:rPr>
          <w:rFonts w:ascii="Book Antiqua" w:hAnsi="Book Antiqua"/>
          <w:b/>
          <w:sz w:val="28"/>
          <w:lang w:val="es-ES_tradnl"/>
        </w:rPr>
      </w:pPr>
      <w:r w:rsidRPr="00DB209E">
        <w:rPr>
          <w:rFonts w:ascii="Book Antiqua" w:hAnsi="Book Antiqua"/>
          <w:b/>
          <w:sz w:val="28"/>
          <w:lang w:val="es-ES_tradnl"/>
        </w:rPr>
        <w:t>LEY</w:t>
      </w:r>
    </w:p>
    <w:p w14:paraId="4F3E1E70" w14:textId="77777777" w:rsidR="004E0AF2" w:rsidRPr="00D95C43" w:rsidRDefault="004E0AF2" w:rsidP="004E0AF2">
      <w:pPr>
        <w:jc w:val="both"/>
        <w:rPr>
          <w:rFonts w:ascii="Book Antiqua" w:hAnsi="Book Antiqua"/>
          <w:lang w:val="es-ES_tradnl"/>
        </w:rPr>
      </w:pPr>
    </w:p>
    <w:p w14:paraId="1D22992A" w14:textId="77777777" w:rsidR="00BE4C94" w:rsidRDefault="00F575F5" w:rsidP="00B411B6">
      <w:pPr>
        <w:ind w:left="720" w:hanging="720"/>
        <w:jc w:val="both"/>
        <w:rPr>
          <w:rFonts w:ascii="Book Antiqua" w:hAnsi="Book Antiqua"/>
          <w:lang w:val="es-ES_tradnl"/>
        </w:rPr>
      </w:pPr>
      <w:r w:rsidRPr="002E6E00">
        <w:rPr>
          <w:rFonts w:ascii="Book Antiqua" w:hAnsi="Book Antiqua"/>
          <w:lang w:val="es-ES_tradnl"/>
        </w:rPr>
        <w:t>Para</w:t>
      </w:r>
      <w:r w:rsidR="00E60B3A">
        <w:rPr>
          <w:rFonts w:ascii="Book Antiqua" w:hAnsi="Book Antiqua"/>
          <w:lang w:val="es-ES_tradnl"/>
        </w:rPr>
        <w:t xml:space="preserve"> </w:t>
      </w:r>
      <w:r w:rsidR="00BE4C94">
        <w:rPr>
          <w:rFonts w:ascii="Book Antiqua" w:hAnsi="Book Antiqua"/>
          <w:lang w:val="es-ES_tradnl"/>
        </w:rPr>
        <w:t xml:space="preserve">añadir un nuevo </w:t>
      </w:r>
      <w:r w:rsidR="00F95E9A">
        <w:rPr>
          <w:rFonts w:ascii="Book Antiqua" w:hAnsi="Book Antiqua"/>
          <w:lang w:val="es-ES_tradnl"/>
        </w:rPr>
        <w:t>Artículo</w:t>
      </w:r>
      <w:r w:rsidR="00252B2C">
        <w:rPr>
          <w:rFonts w:ascii="Book Antiqua" w:hAnsi="Book Antiqua"/>
          <w:lang w:val="es-ES_tradnl"/>
        </w:rPr>
        <w:t xml:space="preserve"> </w:t>
      </w:r>
      <w:r w:rsidR="00E03E5E">
        <w:rPr>
          <w:rFonts w:ascii="Book Antiqua" w:hAnsi="Book Antiqua"/>
          <w:lang w:val="es-ES_tradnl"/>
        </w:rPr>
        <w:t>6.</w:t>
      </w:r>
      <w:r w:rsidR="00E03E5E" w:rsidRPr="00F95E9A">
        <w:rPr>
          <w:rFonts w:ascii="Book Antiqua" w:hAnsi="Book Antiqua"/>
          <w:lang w:val="es-ES_tradnl"/>
        </w:rPr>
        <w:t xml:space="preserve">25 </w:t>
      </w:r>
      <w:r w:rsidR="00252B2C" w:rsidRPr="00F95E9A">
        <w:rPr>
          <w:rFonts w:ascii="Book Antiqua" w:hAnsi="Book Antiqua"/>
          <w:lang w:val="es-ES_tradnl"/>
        </w:rPr>
        <w:t>y re</w:t>
      </w:r>
      <w:r w:rsidR="00E03E5E" w:rsidRPr="00F95E9A">
        <w:rPr>
          <w:rFonts w:ascii="Book Antiqua" w:hAnsi="Book Antiqua"/>
          <w:lang w:val="es-ES_tradnl"/>
        </w:rPr>
        <w:t>enumerar</w:t>
      </w:r>
      <w:r w:rsidR="00210183" w:rsidRPr="00F95E9A">
        <w:rPr>
          <w:rFonts w:ascii="Book Antiqua" w:hAnsi="Book Antiqua"/>
          <w:lang w:val="es-ES_tradnl"/>
        </w:rPr>
        <w:t xml:space="preserve"> </w:t>
      </w:r>
      <w:r w:rsidR="00F95E9A" w:rsidRPr="00F95E9A">
        <w:rPr>
          <w:rFonts w:ascii="Book Antiqua" w:hAnsi="Book Antiqua"/>
          <w:lang w:val="es-ES_tradnl"/>
        </w:rPr>
        <w:t xml:space="preserve">los Artículos 6.25 y 6.26 como los Artículos 6.26 y 6.27 </w:t>
      </w:r>
      <w:r w:rsidR="00E03E5E" w:rsidRPr="00F95E9A">
        <w:rPr>
          <w:rFonts w:ascii="Book Antiqua" w:hAnsi="Book Antiqua"/>
          <w:lang w:val="es-ES_tradnl"/>
        </w:rPr>
        <w:t xml:space="preserve">del Capítulo VI </w:t>
      </w:r>
      <w:r w:rsidR="00BE4C94" w:rsidRPr="00F95E9A">
        <w:rPr>
          <w:rFonts w:ascii="Book Antiqua" w:hAnsi="Book Antiqua"/>
          <w:lang w:val="es-ES_tradnl"/>
        </w:rPr>
        <w:t xml:space="preserve">de </w:t>
      </w:r>
      <w:r w:rsidR="00BE4C94" w:rsidRPr="00F95E9A">
        <w:rPr>
          <w:rFonts w:ascii="Book Antiqua" w:hAnsi="Book Antiqua"/>
          <w:lang w:val="es-PR"/>
        </w:rPr>
        <w:t>la Ley Núm</w:t>
      </w:r>
      <w:r w:rsidR="00BE4C94" w:rsidRPr="00BE4C94">
        <w:rPr>
          <w:rFonts w:ascii="Book Antiqua" w:hAnsi="Book Antiqua"/>
          <w:lang w:val="es-PR"/>
        </w:rPr>
        <w:t xml:space="preserve">. </w:t>
      </w:r>
      <w:r w:rsidR="00E03E5E" w:rsidRPr="00E03E5E">
        <w:rPr>
          <w:rFonts w:ascii="Book Antiqua" w:hAnsi="Book Antiqua"/>
          <w:lang w:val="es-PR"/>
        </w:rPr>
        <w:t>168-2019, según enmendada</w:t>
      </w:r>
      <w:r w:rsidR="00E03E5E">
        <w:rPr>
          <w:rFonts w:ascii="Book Antiqua" w:hAnsi="Book Antiqua"/>
          <w:lang w:val="es-PR"/>
        </w:rPr>
        <w:t xml:space="preserve">, conocida como </w:t>
      </w:r>
      <w:r w:rsidR="00E03E5E" w:rsidRPr="00E03E5E">
        <w:rPr>
          <w:rFonts w:ascii="Book Antiqua" w:hAnsi="Book Antiqua"/>
          <w:lang w:val="es-PR"/>
        </w:rPr>
        <w:t>“Ley de Armas de Puerto Rico de 2020”</w:t>
      </w:r>
      <w:r w:rsidR="00EB4182">
        <w:rPr>
          <w:rFonts w:ascii="Book Antiqua" w:hAnsi="Book Antiqua"/>
          <w:lang w:val="es-PR"/>
        </w:rPr>
        <w:t xml:space="preserve"> y para otros fines relacionados. </w:t>
      </w:r>
    </w:p>
    <w:p w14:paraId="535A9801" w14:textId="77777777" w:rsidR="004E0AF2" w:rsidRPr="00D95C43" w:rsidRDefault="004E0AF2" w:rsidP="0070763D">
      <w:pPr>
        <w:ind w:left="720" w:hanging="600"/>
        <w:jc w:val="both"/>
        <w:rPr>
          <w:rFonts w:ascii="Book Antiqua" w:hAnsi="Book Antiqua"/>
          <w:lang w:val="es-ES_tradnl"/>
        </w:rPr>
      </w:pPr>
    </w:p>
    <w:p w14:paraId="55863D99" w14:textId="77777777" w:rsidR="00486CB1" w:rsidRDefault="00D34C21" w:rsidP="00DD6356">
      <w:pPr>
        <w:spacing w:after="240"/>
        <w:ind w:firstLine="36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19F5EB41" w14:textId="77777777" w:rsidR="00414CC4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 xml:space="preserve">La proliferación de armas de fuego ilegales y de municiones en Puerto Rico constituye una de las principales amenazas a la seguridad pública y al bienestar colectivo. El tráfico, posesión, distribución y uso ilegal de armas de fuego alimenta directamente la criminalidad violenta, fortalece organizaciones criminales y aumenta el riesgo de muertes, lesiones graves y delitos violentos en nuestras comunidades. De igual forma, el acceso indiscriminado a municiones de distintos calibres </w:t>
      </w:r>
      <w:r w:rsidR="003833E8">
        <w:rPr>
          <w:rFonts w:ascii="Book Antiqua" w:hAnsi="Book Antiqua"/>
          <w:lang w:val="es-PR"/>
        </w:rPr>
        <w:t>aumenta</w:t>
      </w:r>
      <w:r w:rsidRPr="00414CC4">
        <w:rPr>
          <w:rFonts w:ascii="Book Antiqua" w:hAnsi="Book Antiqua"/>
          <w:lang w:val="es-PR"/>
        </w:rPr>
        <w:t xml:space="preserve"> la capacidad letal de dichas armas y agrava el potencial destructivo de la actividad criminal.</w:t>
      </w:r>
    </w:p>
    <w:p w14:paraId="56143B6E" w14:textId="77777777" w:rsidR="00B411B6" w:rsidRPr="00414CC4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0A4ED9D5" w14:textId="77777777" w:rsidR="00414CC4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 xml:space="preserve">La “Ley de Armas de Puerto Rico de 2020”, Ley Núm. 168-2019, según enmendada, tipifica diversas conductas relacionadas con el tráfico ilegal de armas y municiones, la venta ilegal de municiones, la apropiación ilegal de armas, así como la facilitación de armas de fuego a menores de edad. Sin embargo, </w:t>
      </w:r>
      <w:r w:rsidR="003B1CB8">
        <w:rPr>
          <w:rFonts w:ascii="Book Antiqua" w:hAnsi="Book Antiqua"/>
          <w:lang w:val="es-PR"/>
        </w:rPr>
        <w:t xml:space="preserve">la imposición de la </w:t>
      </w:r>
      <w:r w:rsidRPr="00414CC4">
        <w:rPr>
          <w:rFonts w:ascii="Book Antiqua" w:hAnsi="Book Antiqua"/>
          <w:lang w:val="es-PR"/>
        </w:rPr>
        <w:t xml:space="preserve">pena </w:t>
      </w:r>
      <w:r w:rsidR="003B1CB8">
        <w:rPr>
          <w:rFonts w:ascii="Book Antiqua" w:hAnsi="Book Antiqua"/>
          <w:lang w:val="es-PR"/>
        </w:rPr>
        <w:t xml:space="preserve">debe tomar en consideración </w:t>
      </w:r>
      <w:r w:rsidRPr="00414CC4">
        <w:rPr>
          <w:rFonts w:ascii="Book Antiqua" w:hAnsi="Book Antiqua"/>
          <w:lang w:val="es-PR"/>
        </w:rPr>
        <w:t>la</w:t>
      </w:r>
      <w:r w:rsidR="003B1CB8">
        <w:rPr>
          <w:rFonts w:ascii="Book Antiqua" w:hAnsi="Book Antiqua"/>
          <w:lang w:val="es-PR"/>
        </w:rPr>
        <w:t>s</w:t>
      </w:r>
      <w:r w:rsidRPr="00414CC4">
        <w:rPr>
          <w:rFonts w:ascii="Book Antiqua" w:hAnsi="Book Antiqua"/>
          <w:lang w:val="es-PR"/>
        </w:rPr>
        <w:t xml:space="preserve"> cantidad</w:t>
      </w:r>
      <w:r w:rsidR="003B1CB8">
        <w:rPr>
          <w:rFonts w:ascii="Book Antiqua" w:hAnsi="Book Antiqua"/>
          <w:lang w:val="es-PR"/>
        </w:rPr>
        <w:t>es</w:t>
      </w:r>
      <w:r w:rsidRPr="00414CC4">
        <w:rPr>
          <w:rFonts w:ascii="Book Antiqua" w:hAnsi="Book Antiqua"/>
          <w:lang w:val="es-PR"/>
        </w:rPr>
        <w:t xml:space="preserve"> de armas de fuego </w:t>
      </w:r>
      <w:r w:rsidR="003B1CB8">
        <w:rPr>
          <w:rFonts w:ascii="Book Antiqua" w:hAnsi="Book Antiqua"/>
          <w:lang w:val="es-PR"/>
        </w:rPr>
        <w:t xml:space="preserve">y </w:t>
      </w:r>
      <w:r w:rsidRPr="00414CC4">
        <w:rPr>
          <w:rFonts w:ascii="Book Antiqua" w:hAnsi="Book Antiqua"/>
          <w:lang w:val="es-PR"/>
        </w:rPr>
        <w:t>en la variedad de calibres de municiones involucradas en</w:t>
      </w:r>
      <w:r w:rsidR="003B1CB8">
        <w:rPr>
          <w:rFonts w:ascii="Book Antiqua" w:hAnsi="Book Antiqua"/>
          <w:lang w:val="es-PR"/>
        </w:rPr>
        <w:t xml:space="preserve"> el delito. </w:t>
      </w:r>
    </w:p>
    <w:p w14:paraId="5CD0FC64" w14:textId="77777777" w:rsidR="00B411B6" w:rsidRPr="00414CC4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0E078338" w14:textId="77777777" w:rsidR="00414CC4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 xml:space="preserve">Ello provoca escenarios en los cuales una persona intervenida con múltiples armas de fuego y diversos tipos de municiones enfrenta consecuencias penales similares a aquellas </w:t>
      </w:r>
      <w:r w:rsidRPr="00414CC4">
        <w:rPr>
          <w:rFonts w:ascii="Book Antiqua" w:hAnsi="Book Antiqua"/>
          <w:lang w:val="es-PR"/>
        </w:rPr>
        <w:lastRenderedPageBreak/>
        <w:t>aplicables a un infractor intervenido con un solo arma o un solo tipo de calibre. Tal resultado no refleja adecuadamente el nivel de peligrosidad ni el riesgo adicional que representa la acumulación de múltiples armas de fuego o de distintos calibres de municiones capaces de ser utilizadas en diferentes plataformas y contextos criminales.</w:t>
      </w:r>
    </w:p>
    <w:p w14:paraId="696CD3C9" w14:textId="77777777" w:rsidR="00B411B6" w:rsidRPr="00414CC4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5141AFB8" w14:textId="77777777" w:rsidR="00414CC4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>La Asamblea Legislativa reconoce que cada arma de fuego ilegal representa un instrumento independiente de violencia potencial</w:t>
      </w:r>
      <w:r w:rsidR="003833E8">
        <w:rPr>
          <w:rFonts w:ascii="Book Antiqua" w:hAnsi="Book Antiqua"/>
          <w:lang w:val="es-PR"/>
        </w:rPr>
        <w:t xml:space="preserve"> para nuestras comunidades</w:t>
      </w:r>
      <w:r w:rsidRPr="00414CC4">
        <w:rPr>
          <w:rFonts w:ascii="Book Antiqua" w:hAnsi="Book Antiqua"/>
          <w:lang w:val="es-PR"/>
        </w:rPr>
        <w:t>. Asimismo, reconoce que cada tipo de calibre de munición ilegal posee capacidades balísticas y letales particulares que incrementan individualmente el riesgo para la seguridad pública. Por tal razón, resulta necesario establecer expresamente que, para fines de la imputación de cargos y la imposición de penas, cada arma de fuego constituya una infracción independiente y que cada tipo de calibre de munición involucrado constituya igualmente una violación separada, independientemente de la cantidad total de proyectiles ocupados de ese mismo calibre.</w:t>
      </w:r>
    </w:p>
    <w:p w14:paraId="5D9C3989" w14:textId="77777777" w:rsidR="00B411B6" w:rsidRPr="00414CC4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5FFEFE68" w14:textId="77777777" w:rsidR="003B1CB8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 xml:space="preserve">De igual manera, esta legislación persigue fortalecer las herramientas del </w:t>
      </w:r>
      <w:r w:rsidR="003833E8">
        <w:rPr>
          <w:rFonts w:ascii="Book Antiqua" w:hAnsi="Book Antiqua"/>
          <w:lang w:val="es-PR"/>
        </w:rPr>
        <w:t xml:space="preserve">Gobierno de Puerto Rico para </w:t>
      </w:r>
      <w:r w:rsidRPr="00414CC4">
        <w:rPr>
          <w:rFonts w:ascii="Book Antiqua" w:hAnsi="Book Antiqua"/>
          <w:lang w:val="es-PR"/>
        </w:rPr>
        <w:t xml:space="preserve">combatir el tráfico ilegal de armas, el uso de menores de edad en actividades relacionadas con armas de fuego y municiones, así como la apropiación ilegal de </w:t>
      </w:r>
      <w:r w:rsidR="003B1CB8">
        <w:rPr>
          <w:rFonts w:ascii="Book Antiqua" w:hAnsi="Book Antiqua"/>
          <w:lang w:val="es-PR"/>
        </w:rPr>
        <w:t>estas. Conforme lo dicta el Artículo 11 del Código Penal de Puerto Rico, l</w:t>
      </w:r>
      <w:r w:rsidRPr="003B1CB8">
        <w:rPr>
          <w:rFonts w:ascii="Book Antiqua" w:hAnsi="Book Antiqua"/>
          <w:lang w:val="es-PR"/>
        </w:rPr>
        <w:t>a presente medida procura</w:t>
      </w:r>
      <w:r w:rsidR="000F3C88">
        <w:rPr>
          <w:rFonts w:ascii="Book Antiqua" w:hAnsi="Book Antiqua"/>
          <w:lang w:val="es-PR"/>
        </w:rPr>
        <w:t xml:space="preserve"> e</w:t>
      </w:r>
      <w:r w:rsidR="003B1CB8" w:rsidRPr="003B1CB8">
        <w:rPr>
          <w:rFonts w:ascii="Book Antiqua" w:hAnsi="Book Antiqua"/>
          <w:lang w:val="es-PR"/>
        </w:rPr>
        <w:t>stablecer</w:t>
      </w:r>
      <w:r w:rsidR="003B1CB8">
        <w:rPr>
          <w:rFonts w:ascii="Book Antiqua" w:hAnsi="Book Antiqua"/>
          <w:lang w:val="es-PR"/>
        </w:rPr>
        <w:t xml:space="preserve"> penas </w:t>
      </w:r>
      <w:r w:rsidR="003B1CB8" w:rsidRPr="003B1CB8">
        <w:rPr>
          <w:rFonts w:ascii="Book Antiqua" w:hAnsi="Book Antiqua"/>
          <w:lang w:val="es-PR"/>
        </w:rPr>
        <w:t xml:space="preserve">de forma proporcional a la gravedad del hecho delictivo. </w:t>
      </w:r>
      <w:r w:rsidR="000F3C88">
        <w:rPr>
          <w:rFonts w:ascii="Book Antiqua" w:hAnsi="Book Antiqua"/>
          <w:lang w:val="es-PR"/>
        </w:rPr>
        <w:t xml:space="preserve">Es decir, este esquema de penas ofrece mayor </w:t>
      </w:r>
      <w:r w:rsidR="003B1CB8" w:rsidRPr="003B1CB8">
        <w:rPr>
          <w:rFonts w:ascii="Book Antiqua" w:hAnsi="Book Antiqua"/>
          <w:lang w:val="es-PR"/>
        </w:rPr>
        <w:t xml:space="preserve">protección </w:t>
      </w:r>
      <w:r w:rsidR="000F3C88">
        <w:rPr>
          <w:rFonts w:ascii="Book Antiqua" w:hAnsi="Book Antiqua"/>
          <w:lang w:val="es-PR"/>
        </w:rPr>
        <w:t xml:space="preserve">a </w:t>
      </w:r>
      <w:r w:rsidR="003B1CB8" w:rsidRPr="003B1CB8">
        <w:rPr>
          <w:rFonts w:ascii="Book Antiqua" w:hAnsi="Book Antiqua"/>
          <w:lang w:val="es-PR"/>
        </w:rPr>
        <w:t>la sociedad</w:t>
      </w:r>
      <w:r w:rsidR="000F3C88">
        <w:rPr>
          <w:rFonts w:ascii="Book Antiqua" w:hAnsi="Book Antiqua"/>
          <w:lang w:val="es-PR"/>
        </w:rPr>
        <w:t>, robustece el brazo protector de la</w:t>
      </w:r>
      <w:r w:rsidR="003B1CB8" w:rsidRPr="003B1CB8">
        <w:rPr>
          <w:rFonts w:ascii="Book Antiqua" w:hAnsi="Book Antiqua"/>
          <w:lang w:val="es-PR"/>
        </w:rPr>
        <w:t xml:space="preserve"> justicia </w:t>
      </w:r>
      <w:r w:rsidR="000F3C88">
        <w:rPr>
          <w:rFonts w:ascii="Book Antiqua" w:hAnsi="Book Antiqua"/>
          <w:lang w:val="es-PR"/>
        </w:rPr>
        <w:t xml:space="preserve">en favor de </w:t>
      </w:r>
      <w:r w:rsidR="003B1CB8" w:rsidRPr="003B1CB8">
        <w:rPr>
          <w:rFonts w:ascii="Book Antiqua" w:hAnsi="Book Antiqua"/>
          <w:lang w:val="es-PR"/>
        </w:rPr>
        <w:t>las víctimas de delito</w:t>
      </w:r>
      <w:r w:rsidR="000F3C88">
        <w:rPr>
          <w:rFonts w:ascii="Book Antiqua" w:hAnsi="Book Antiqua"/>
          <w:lang w:val="es-PR"/>
        </w:rPr>
        <w:t xml:space="preserve"> y</w:t>
      </w:r>
      <w:r w:rsidR="003B1CB8" w:rsidRPr="003B1CB8">
        <w:rPr>
          <w:rFonts w:ascii="Book Antiqua" w:hAnsi="Book Antiqua"/>
          <w:lang w:val="es-PR"/>
        </w:rPr>
        <w:t xml:space="preserve"> </w:t>
      </w:r>
      <w:r w:rsidR="000F3C88">
        <w:rPr>
          <w:rFonts w:ascii="Book Antiqua" w:hAnsi="Book Antiqua"/>
          <w:lang w:val="es-PR"/>
        </w:rPr>
        <w:t xml:space="preserve">ofrece un </w:t>
      </w:r>
      <w:r w:rsidR="003B1CB8" w:rsidRPr="003B1CB8">
        <w:rPr>
          <w:rFonts w:ascii="Book Antiqua" w:hAnsi="Book Antiqua"/>
          <w:lang w:val="es-PR"/>
        </w:rPr>
        <w:t>castigo justo al autor del delito en proporción a la gravedad del delito y a su responsab</w:t>
      </w:r>
      <w:r w:rsidR="000F3C88">
        <w:rPr>
          <w:rFonts w:ascii="Book Antiqua" w:hAnsi="Book Antiqua"/>
          <w:lang w:val="es-PR"/>
        </w:rPr>
        <w:t>i</w:t>
      </w:r>
      <w:r w:rsidR="003B1CB8" w:rsidRPr="003B1CB8">
        <w:rPr>
          <w:rFonts w:ascii="Book Antiqua" w:hAnsi="Book Antiqua"/>
          <w:lang w:val="es-PR"/>
        </w:rPr>
        <w:t>lidad.</w:t>
      </w:r>
    </w:p>
    <w:p w14:paraId="641DCFAF" w14:textId="77777777" w:rsidR="00B411B6" w:rsidRPr="003B1CB8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5472D072" w14:textId="77777777" w:rsidR="00414CC4" w:rsidRDefault="00414CC4" w:rsidP="00B411B6">
      <w:pPr>
        <w:ind w:firstLine="360"/>
        <w:jc w:val="both"/>
        <w:rPr>
          <w:rFonts w:ascii="Book Antiqua" w:hAnsi="Book Antiqua"/>
          <w:lang w:val="es-PR"/>
        </w:rPr>
      </w:pPr>
      <w:r w:rsidRPr="00414CC4">
        <w:rPr>
          <w:rFonts w:ascii="Book Antiqua" w:hAnsi="Book Antiqua"/>
          <w:lang w:val="es-PR"/>
        </w:rPr>
        <w:t xml:space="preserve">Con esta medida, la Asamblea Legislativa reafirma el interés </w:t>
      </w:r>
      <w:r w:rsidR="000F3C88">
        <w:rPr>
          <w:rFonts w:ascii="Book Antiqua" w:hAnsi="Book Antiqua"/>
          <w:lang w:val="es-PR"/>
        </w:rPr>
        <w:t xml:space="preserve">perenne </w:t>
      </w:r>
      <w:r w:rsidRPr="00414CC4">
        <w:rPr>
          <w:rFonts w:ascii="Book Antiqua" w:hAnsi="Book Antiqua"/>
          <w:lang w:val="es-PR"/>
        </w:rPr>
        <w:t xml:space="preserve">del Estado en proteger la vida, la </w:t>
      </w:r>
      <w:r w:rsidR="003149D2">
        <w:rPr>
          <w:rFonts w:ascii="Book Antiqua" w:hAnsi="Book Antiqua"/>
          <w:lang w:val="es-PR"/>
        </w:rPr>
        <w:t xml:space="preserve">libertad, la </w:t>
      </w:r>
      <w:r w:rsidRPr="00414CC4">
        <w:rPr>
          <w:rFonts w:ascii="Book Antiqua" w:hAnsi="Book Antiqua"/>
          <w:lang w:val="es-PR"/>
        </w:rPr>
        <w:t xml:space="preserve">seguridad y la paz pública del Pueblo de Puerto Rico, mediante un marco jurídico </w:t>
      </w:r>
      <w:r w:rsidR="000F3C88">
        <w:rPr>
          <w:rFonts w:ascii="Book Antiqua" w:hAnsi="Book Antiqua"/>
          <w:lang w:val="es-PR"/>
        </w:rPr>
        <w:t xml:space="preserve">más riguroso </w:t>
      </w:r>
      <w:r w:rsidRPr="00414CC4">
        <w:rPr>
          <w:rFonts w:ascii="Book Antiqua" w:hAnsi="Book Antiqua"/>
          <w:lang w:val="es-PR"/>
        </w:rPr>
        <w:t>para combatir la proliferación ilegal de armas y municiones.</w:t>
      </w:r>
    </w:p>
    <w:p w14:paraId="57DEAE31" w14:textId="77777777" w:rsidR="00B411B6" w:rsidRPr="00414CC4" w:rsidRDefault="00B411B6" w:rsidP="00B411B6">
      <w:pPr>
        <w:ind w:firstLine="360"/>
        <w:jc w:val="both"/>
        <w:rPr>
          <w:rFonts w:ascii="Book Antiqua" w:hAnsi="Book Antiqua"/>
          <w:lang w:val="es-PR"/>
        </w:rPr>
      </w:pPr>
    </w:p>
    <w:p w14:paraId="53B37822" w14:textId="77777777" w:rsidR="009E2241" w:rsidRPr="00CD00DF" w:rsidRDefault="007F6FF1" w:rsidP="00CD00DF">
      <w:pPr>
        <w:spacing w:line="480" w:lineRule="auto"/>
        <w:rPr>
          <w:rFonts w:ascii="Book Antiqua" w:hAnsi="Book Antiqua"/>
          <w:i/>
          <w:lang w:val="es-ES_tradnl"/>
        </w:rPr>
      </w:pPr>
      <w:r w:rsidRPr="00CD00DF">
        <w:rPr>
          <w:rFonts w:ascii="Book Antiqua" w:hAnsi="Book Antiqua"/>
          <w:i/>
          <w:lang w:val="es-ES_tradnl"/>
        </w:rPr>
        <w:t>DECRÉ</w:t>
      </w:r>
      <w:r w:rsidR="009E2241" w:rsidRPr="00CD00DF">
        <w:rPr>
          <w:rFonts w:ascii="Book Antiqua" w:hAnsi="Book Antiqua"/>
          <w:i/>
          <w:lang w:val="es-ES_tradnl"/>
        </w:rPr>
        <w:t>TASE POR LA ASAMBLEA LEGISLATIVA DE PUERTO RICO:</w:t>
      </w:r>
    </w:p>
    <w:p w14:paraId="27149E93" w14:textId="77777777" w:rsidR="009E2241" w:rsidRPr="00CD00D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 w:rsidSect="000E3B84">
          <w:headerReference w:type="default" r:id="rId10"/>
          <w:headerReference w:type="firs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D14284B" w14:textId="183988E6" w:rsidR="00252B2C" w:rsidRDefault="00252B2C" w:rsidP="00252B2C">
      <w:pPr>
        <w:pStyle w:val="Sangradetextonormal"/>
        <w:spacing w:line="480" w:lineRule="auto"/>
        <w:rPr>
          <w:rFonts w:ascii="Book Antiqua" w:hAnsi="Book Antiqua"/>
          <w:lang w:val="es-PR"/>
        </w:rPr>
      </w:pPr>
      <w:r w:rsidRPr="00252B2C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1</w:t>
      </w:r>
      <w:r w:rsidRPr="00252B2C">
        <w:rPr>
          <w:rFonts w:ascii="Book Antiqua" w:hAnsi="Book Antiqua"/>
          <w:lang w:val="es-PR"/>
        </w:rPr>
        <w:t xml:space="preserve">.- Se </w:t>
      </w:r>
      <w:r w:rsidR="00F95E9A">
        <w:rPr>
          <w:rFonts w:ascii="Book Antiqua" w:hAnsi="Book Antiqua"/>
          <w:lang w:val="es-PR"/>
        </w:rPr>
        <w:t xml:space="preserve">añade un nuevo </w:t>
      </w:r>
      <w:r w:rsidRPr="00252B2C">
        <w:rPr>
          <w:rFonts w:ascii="Book Antiqua" w:hAnsi="Book Antiqua"/>
          <w:lang w:val="es-PR"/>
        </w:rPr>
        <w:t xml:space="preserve">Artículo </w:t>
      </w:r>
      <w:r w:rsidR="00E03E5E">
        <w:rPr>
          <w:rFonts w:ascii="Book Antiqua" w:hAnsi="Book Antiqua"/>
          <w:lang w:val="es-PR"/>
        </w:rPr>
        <w:t xml:space="preserve">6.25 </w:t>
      </w:r>
      <w:r w:rsidR="00E03E5E" w:rsidRPr="00252B2C">
        <w:rPr>
          <w:rFonts w:ascii="Book Antiqua" w:hAnsi="Book Antiqua"/>
          <w:lang w:val="es-PR"/>
        </w:rPr>
        <w:t>de</w:t>
      </w:r>
      <w:r w:rsidRPr="00252B2C">
        <w:rPr>
          <w:rFonts w:ascii="Book Antiqua" w:hAnsi="Book Antiqua"/>
          <w:lang w:val="es-PR"/>
        </w:rPr>
        <w:t xml:space="preserve"> la Ley Núm. 1</w:t>
      </w:r>
      <w:r w:rsidR="00E03E5E">
        <w:rPr>
          <w:rFonts w:ascii="Book Antiqua" w:hAnsi="Book Antiqua"/>
          <w:lang w:val="es-PR"/>
        </w:rPr>
        <w:t>68</w:t>
      </w:r>
      <w:r w:rsidRPr="00252B2C">
        <w:rPr>
          <w:rFonts w:ascii="Book Antiqua" w:hAnsi="Book Antiqua"/>
          <w:lang w:val="es-PR"/>
        </w:rPr>
        <w:t>-201</w:t>
      </w:r>
      <w:r w:rsidR="00E03E5E">
        <w:rPr>
          <w:rFonts w:ascii="Book Antiqua" w:hAnsi="Book Antiqua"/>
          <w:lang w:val="es-PR"/>
        </w:rPr>
        <w:t>9</w:t>
      </w:r>
      <w:r w:rsidRPr="00252B2C">
        <w:rPr>
          <w:rFonts w:ascii="Book Antiqua" w:hAnsi="Book Antiqua"/>
          <w:lang w:val="es-PR"/>
        </w:rPr>
        <w:t xml:space="preserve">, según enmendada, para que se lea como sigue: </w:t>
      </w:r>
    </w:p>
    <w:p w14:paraId="695ABC9B" w14:textId="77777777" w:rsidR="00414CC4" w:rsidRPr="000F3C88" w:rsidRDefault="005907FC" w:rsidP="007924C3">
      <w:pPr>
        <w:pStyle w:val="Sangradetextonormal"/>
        <w:spacing w:line="480" w:lineRule="auto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PR"/>
        </w:rPr>
        <w:t>“</w:t>
      </w:r>
      <w:r w:rsidRPr="003D78BF">
        <w:rPr>
          <w:rFonts w:ascii="Book Antiqua" w:hAnsi="Book Antiqua"/>
          <w:i/>
          <w:iCs/>
          <w:lang w:val="es-PR"/>
        </w:rPr>
        <w:t xml:space="preserve">Artículo </w:t>
      </w:r>
      <w:r w:rsidR="00E03E5E" w:rsidRPr="003D78BF">
        <w:rPr>
          <w:rFonts w:ascii="Book Antiqua" w:hAnsi="Book Antiqua"/>
          <w:i/>
          <w:iCs/>
          <w:lang w:val="es-PR"/>
        </w:rPr>
        <w:t>6.25</w:t>
      </w:r>
      <w:r w:rsidR="00414CC4" w:rsidRPr="003D78BF">
        <w:rPr>
          <w:rFonts w:ascii="Book Antiqua" w:hAnsi="Book Antiqua"/>
          <w:i/>
          <w:iCs/>
          <w:lang w:val="es-PR"/>
        </w:rPr>
        <w:t>. — Penalidad Individualizada por Cada Arma de Fuego y por Cada Tipo de Calibre de Munición</w:t>
      </w:r>
      <w:r w:rsidR="007924C3" w:rsidRPr="003D78BF">
        <w:rPr>
          <w:rFonts w:ascii="Book Antiqua" w:hAnsi="Book Antiqua"/>
          <w:i/>
          <w:iCs/>
          <w:lang w:val="es-PR"/>
        </w:rPr>
        <w:t>.</w:t>
      </w:r>
    </w:p>
    <w:p w14:paraId="23BE1297" w14:textId="178EB84C" w:rsidR="00EA21AE" w:rsidRDefault="003D78BF" w:rsidP="003D78BF">
      <w:pPr>
        <w:pStyle w:val="Sangradetextonormal"/>
        <w:spacing w:line="480" w:lineRule="auto"/>
        <w:rPr>
          <w:rFonts w:ascii="Book Antiqua" w:hAnsi="Book Antiqua"/>
          <w:i/>
          <w:iCs/>
          <w:lang w:val="es-PR"/>
        </w:rPr>
      </w:pPr>
      <w:r w:rsidRPr="003D78BF">
        <w:rPr>
          <w:rFonts w:ascii="Book Antiqua" w:hAnsi="Book Antiqua"/>
          <w:i/>
          <w:iCs/>
          <w:lang w:val="es-PR"/>
        </w:rPr>
        <w:t xml:space="preserve">Toda </w:t>
      </w:r>
      <w:r w:rsidR="004F20B5">
        <w:rPr>
          <w:rFonts w:ascii="Book Antiqua" w:hAnsi="Book Antiqua"/>
          <w:i/>
          <w:iCs/>
          <w:lang w:val="es-PR"/>
        </w:rPr>
        <w:t>pena impuesta por la comisión de los</w:t>
      </w:r>
      <w:r w:rsidR="00865B9C">
        <w:rPr>
          <w:rFonts w:ascii="Book Antiqua" w:hAnsi="Book Antiqua"/>
          <w:i/>
          <w:iCs/>
          <w:lang w:val="es-PR"/>
        </w:rPr>
        <w:t xml:space="preserve"> delitos </w:t>
      </w:r>
      <w:r w:rsidR="004F20B5">
        <w:rPr>
          <w:rFonts w:ascii="Book Antiqua" w:hAnsi="Book Antiqua"/>
          <w:i/>
          <w:iCs/>
          <w:lang w:val="es-PR"/>
        </w:rPr>
        <w:t xml:space="preserve">tipificados </w:t>
      </w:r>
      <w:r w:rsidRPr="003D78BF">
        <w:rPr>
          <w:rFonts w:ascii="Book Antiqua" w:hAnsi="Book Antiqua"/>
          <w:i/>
          <w:iCs/>
          <w:lang w:val="es-PR"/>
        </w:rPr>
        <w:t xml:space="preserve">en los Artículos 6.02, 6.03, 6.04, 6.05, 6.08, 6.09, 6.10, 6.11, 6.12, 6.16, 6.17, 6.21, 6.22, 6.23 o 6.24 de esta Ley, </w:t>
      </w:r>
      <w:r w:rsidR="00902A3B">
        <w:rPr>
          <w:rFonts w:ascii="Book Antiqua" w:hAnsi="Book Antiqua"/>
          <w:i/>
          <w:iCs/>
          <w:lang w:val="es-PR"/>
        </w:rPr>
        <w:t>se impondrá de</w:t>
      </w:r>
      <w:r w:rsidRPr="003D78BF">
        <w:rPr>
          <w:rFonts w:ascii="Book Antiqua" w:hAnsi="Book Antiqua"/>
          <w:i/>
          <w:iCs/>
          <w:lang w:val="es-PR"/>
        </w:rPr>
        <w:t xml:space="preserve"> forma </w:t>
      </w:r>
      <w:r w:rsidR="002A7521">
        <w:rPr>
          <w:rFonts w:ascii="Book Antiqua" w:hAnsi="Book Antiqua"/>
          <w:i/>
          <w:iCs/>
          <w:lang w:val="es-PR"/>
        </w:rPr>
        <w:lastRenderedPageBreak/>
        <w:t xml:space="preserve">consecutiva, </w:t>
      </w:r>
      <w:r w:rsidRPr="003D78BF">
        <w:rPr>
          <w:rFonts w:ascii="Book Antiqua" w:hAnsi="Book Antiqua"/>
          <w:i/>
          <w:iCs/>
          <w:lang w:val="es-PR"/>
        </w:rPr>
        <w:t>individual y separada por cada arma de fuego y por cada tipo de calibre de munición objeto de la infracción.</w:t>
      </w:r>
      <w:r w:rsidR="009F6AB9">
        <w:rPr>
          <w:rFonts w:ascii="Book Antiqua" w:hAnsi="Book Antiqua"/>
          <w:i/>
          <w:iCs/>
          <w:lang w:val="es-PR"/>
        </w:rPr>
        <w:t xml:space="preserve"> </w:t>
      </w:r>
    </w:p>
    <w:p w14:paraId="52A7DA76" w14:textId="77777777" w:rsidR="0034584D" w:rsidRDefault="00EA21AE" w:rsidP="0034584D">
      <w:pPr>
        <w:pStyle w:val="Sangradetextonormal"/>
        <w:spacing w:line="480" w:lineRule="auto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t xml:space="preserve">Se impondrá una pena </w:t>
      </w:r>
      <w:r w:rsidR="00FB07A6">
        <w:rPr>
          <w:rFonts w:ascii="Book Antiqua" w:hAnsi="Book Antiqua"/>
          <w:i/>
          <w:iCs/>
          <w:lang w:val="es-PR"/>
        </w:rPr>
        <w:t xml:space="preserve">consecutiva, </w:t>
      </w:r>
      <w:r w:rsidRPr="00EA21AE">
        <w:rPr>
          <w:rFonts w:ascii="Book Antiqua" w:hAnsi="Book Antiqua"/>
          <w:i/>
          <w:iCs/>
          <w:lang w:val="es-PR"/>
        </w:rPr>
        <w:t xml:space="preserve">individual y separada </w:t>
      </w:r>
      <w:r>
        <w:rPr>
          <w:rFonts w:ascii="Book Antiqua" w:hAnsi="Book Antiqua"/>
          <w:i/>
          <w:iCs/>
          <w:lang w:val="es-PR"/>
        </w:rPr>
        <w:t xml:space="preserve">por cada </w:t>
      </w:r>
      <w:r w:rsidR="003D78BF" w:rsidRPr="003D78BF">
        <w:rPr>
          <w:rFonts w:ascii="Book Antiqua" w:hAnsi="Book Antiqua"/>
          <w:i/>
          <w:iCs/>
          <w:lang w:val="es-PR"/>
        </w:rPr>
        <w:t>arma de fuego poseída, facilitada, entregada, transportada, traficada, vendida, cedida, almacenada, utilizada, apropiada, distribuida ilegalmente o cualquier otro tipo de acto tipificado como delito en los artículos precitados de esta Ley</w:t>
      </w:r>
      <w:r>
        <w:rPr>
          <w:rFonts w:ascii="Book Antiqua" w:hAnsi="Book Antiqua"/>
          <w:i/>
          <w:iCs/>
          <w:lang w:val="es-PR"/>
        </w:rPr>
        <w:t xml:space="preserve">. </w:t>
      </w:r>
    </w:p>
    <w:p w14:paraId="176C5D96" w14:textId="27D933E0" w:rsidR="003D78BF" w:rsidRPr="003D78BF" w:rsidRDefault="00EA21AE" w:rsidP="0034584D">
      <w:pPr>
        <w:pStyle w:val="Sangradetextonormal"/>
        <w:spacing w:line="480" w:lineRule="auto"/>
        <w:rPr>
          <w:rFonts w:ascii="Book Antiqua" w:hAnsi="Book Antiqua"/>
          <w:i/>
          <w:iCs/>
          <w:lang w:val="es-PR"/>
        </w:rPr>
      </w:pPr>
      <w:r w:rsidRPr="00EA21AE">
        <w:rPr>
          <w:rFonts w:ascii="Book Antiqua" w:hAnsi="Book Antiqua"/>
          <w:i/>
          <w:iCs/>
          <w:lang w:val="es-PR"/>
        </w:rPr>
        <w:t>Se impondrá</w:t>
      </w:r>
      <w:r w:rsidR="003D42DC">
        <w:rPr>
          <w:rFonts w:ascii="Book Antiqua" w:hAnsi="Book Antiqua"/>
          <w:i/>
          <w:iCs/>
          <w:lang w:val="es-PR"/>
        </w:rPr>
        <w:t>,</w:t>
      </w:r>
      <w:r w:rsidRPr="00EA21AE">
        <w:rPr>
          <w:rFonts w:ascii="Book Antiqua" w:hAnsi="Book Antiqua"/>
          <w:i/>
          <w:iCs/>
          <w:lang w:val="es-PR"/>
        </w:rPr>
        <w:t xml:space="preserve"> </w:t>
      </w:r>
      <w:r w:rsidR="003D42DC" w:rsidRPr="003D78BF">
        <w:rPr>
          <w:rFonts w:ascii="Book Antiqua" w:hAnsi="Book Antiqua"/>
          <w:i/>
          <w:iCs/>
          <w:lang w:val="es-PR"/>
        </w:rPr>
        <w:t>por cada tipo de calibre distinto, aunque todas las municiones hayan sido ocupadas simultáneamente en un mismo acto, transacción, incidente o evento criminal</w:t>
      </w:r>
      <w:r w:rsidR="003D42DC">
        <w:rPr>
          <w:rFonts w:ascii="Book Antiqua" w:hAnsi="Book Antiqua"/>
          <w:i/>
          <w:iCs/>
          <w:lang w:val="es-PR"/>
        </w:rPr>
        <w:t>,</w:t>
      </w:r>
      <w:r w:rsidR="003D42DC" w:rsidRPr="00EA21AE">
        <w:rPr>
          <w:rFonts w:ascii="Book Antiqua" w:hAnsi="Book Antiqua"/>
          <w:i/>
          <w:iCs/>
          <w:lang w:val="es-PR"/>
        </w:rPr>
        <w:t xml:space="preserve"> </w:t>
      </w:r>
      <w:r w:rsidRPr="00EA21AE">
        <w:rPr>
          <w:rFonts w:ascii="Book Antiqua" w:hAnsi="Book Antiqua"/>
          <w:i/>
          <w:iCs/>
          <w:lang w:val="es-PR"/>
        </w:rPr>
        <w:t xml:space="preserve">una pena </w:t>
      </w:r>
      <w:r w:rsidR="002A7521">
        <w:rPr>
          <w:rFonts w:ascii="Book Antiqua" w:hAnsi="Book Antiqua"/>
          <w:i/>
          <w:iCs/>
          <w:lang w:val="es-PR"/>
        </w:rPr>
        <w:t xml:space="preserve">consecutiva, </w:t>
      </w:r>
      <w:r w:rsidRPr="00EA21AE">
        <w:rPr>
          <w:rFonts w:ascii="Book Antiqua" w:hAnsi="Book Antiqua"/>
          <w:i/>
          <w:iCs/>
          <w:lang w:val="es-PR"/>
        </w:rPr>
        <w:t xml:space="preserve">individual y separada por cada </w:t>
      </w:r>
      <w:r w:rsidR="003D78BF" w:rsidRPr="003D78BF">
        <w:rPr>
          <w:rFonts w:ascii="Book Antiqua" w:hAnsi="Book Antiqua"/>
          <w:i/>
          <w:iCs/>
          <w:lang w:val="es-PR"/>
        </w:rPr>
        <w:t>tipo de calibre de munición poseído, vendido, transportado, distribuido, adquirido, facilitado, cedido, apropiado</w:t>
      </w:r>
      <w:r w:rsidR="003D78BF">
        <w:rPr>
          <w:rFonts w:ascii="Book Antiqua" w:hAnsi="Book Antiqua"/>
          <w:i/>
          <w:iCs/>
          <w:lang w:val="es-PR"/>
        </w:rPr>
        <w:t xml:space="preserve">, </w:t>
      </w:r>
      <w:r w:rsidR="003D78BF" w:rsidRPr="003D78BF">
        <w:rPr>
          <w:rFonts w:ascii="Book Antiqua" w:hAnsi="Book Antiqua"/>
          <w:i/>
          <w:iCs/>
          <w:lang w:val="es-PR"/>
        </w:rPr>
        <w:t>almacenado ilegalmente o cualquier otro tipo de acto tipificado como delito en los artículos precitados de esta Ley</w:t>
      </w:r>
      <w:r>
        <w:rPr>
          <w:rFonts w:ascii="Book Antiqua" w:hAnsi="Book Antiqua"/>
          <w:i/>
          <w:iCs/>
          <w:lang w:val="es-PR"/>
        </w:rPr>
        <w:t xml:space="preserve">. </w:t>
      </w:r>
      <w:r w:rsidR="003D78BF" w:rsidRPr="003D78BF">
        <w:rPr>
          <w:rFonts w:ascii="Book Antiqua" w:hAnsi="Book Antiqua"/>
          <w:i/>
          <w:iCs/>
          <w:lang w:val="es-PR"/>
        </w:rPr>
        <w:t>En estos casos, la pena correspondiente se deberá imponer de manera consecutiva por cada arma de fuego individual y por cada tipo de calibre de munición involucrado.</w:t>
      </w:r>
    </w:p>
    <w:p w14:paraId="334F0E1F" w14:textId="424423C3" w:rsidR="003D78BF" w:rsidRPr="003D78BF" w:rsidRDefault="003D78BF" w:rsidP="003D78BF">
      <w:pPr>
        <w:pStyle w:val="Sangradetextonormal"/>
        <w:spacing w:line="480" w:lineRule="auto"/>
        <w:rPr>
          <w:rFonts w:ascii="Book Antiqua" w:hAnsi="Book Antiqua"/>
          <w:i/>
          <w:iCs/>
          <w:lang w:val="es-PR"/>
        </w:rPr>
      </w:pPr>
      <w:r w:rsidRPr="003D78BF">
        <w:rPr>
          <w:rFonts w:ascii="Book Antiqua" w:hAnsi="Book Antiqua"/>
          <w:i/>
          <w:iCs/>
          <w:lang w:val="es-PR"/>
        </w:rPr>
        <w:t>Nada de lo dispuesto en este Artículo se interpretará como limitación a la facultad del Ministerio Público de presentar cargos adicionales bajo cualquier otra disposición de esta Ley o del Código Penal de Puerto Rico.</w:t>
      </w:r>
      <w:r w:rsidR="00C714B2">
        <w:rPr>
          <w:rFonts w:ascii="Book Antiqua" w:hAnsi="Book Antiqua"/>
          <w:i/>
          <w:iCs/>
          <w:lang w:val="es-PR"/>
        </w:rPr>
        <w:t>”</w:t>
      </w:r>
    </w:p>
    <w:p w14:paraId="7ADD91CD" w14:textId="77777777" w:rsidR="00F95E9A" w:rsidRDefault="005F0F82" w:rsidP="005F0F82">
      <w:pPr>
        <w:pStyle w:val="Sangradetextonormal"/>
        <w:spacing w:line="480" w:lineRule="auto"/>
        <w:rPr>
          <w:rFonts w:ascii="Book Antiqua" w:hAnsi="Book Antiqua"/>
          <w:lang w:val="es-PR"/>
        </w:rPr>
      </w:pPr>
      <w:r w:rsidRPr="005F0F82">
        <w:rPr>
          <w:rFonts w:ascii="Book Antiqua" w:hAnsi="Book Antiqua"/>
          <w:lang w:val="es-PR"/>
        </w:rPr>
        <w:t xml:space="preserve">Sección </w:t>
      </w:r>
      <w:r w:rsidR="00F95E9A">
        <w:rPr>
          <w:rFonts w:ascii="Book Antiqua" w:hAnsi="Book Antiqua"/>
          <w:lang w:val="es-PR"/>
        </w:rPr>
        <w:t>2</w:t>
      </w:r>
      <w:r w:rsidRPr="005F0F82">
        <w:rPr>
          <w:rFonts w:ascii="Book Antiqua" w:hAnsi="Book Antiqua"/>
          <w:lang w:val="es-PR"/>
        </w:rPr>
        <w:t xml:space="preserve"> – </w:t>
      </w:r>
      <w:r w:rsidR="00F95E9A">
        <w:rPr>
          <w:rFonts w:ascii="Book Antiqua" w:hAnsi="Book Antiqua"/>
          <w:lang w:val="es-PR"/>
        </w:rPr>
        <w:t>Se reenumeran los actuales Artículos 6.25 y 6.26 como los Artículos 6.26 y 6.27</w:t>
      </w:r>
      <w:r w:rsidR="003D78BF">
        <w:rPr>
          <w:rFonts w:ascii="Book Antiqua" w:hAnsi="Book Antiqua"/>
          <w:lang w:val="es-PR"/>
        </w:rPr>
        <w:t>, respectivamente,</w:t>
      </w:r>
      <w:r w:rsidR="00F95E9A">
        <w:rPr>
          <w:rFonts w:ascii="Book Antiqua" w:hAnsi="Book Antiqua"/>
          <w:lang w:val="es-PR"/>
        </w:rPr>
        <w:t xml:space="preserve"> de la Ley Núm. 168-2019. </w:t>
      </w:r>
    </w:p>
    <w:p w14:paraId="212F5DCF" w14:textId="77777777" w:rsidR="005F0F82" w:rsidRPr="005F0F82" w:rsidRDefault="00F95E9A" w:rsidP="005F0F82">
      <w:pPr>
        <w:pStyle w:val="Sangradetextonormal"/>
        <w:spacing w:line="48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 xml:space="preserve">Sección 3 </w:t>
      </w:r>
      <w:r w:rsidRPr="00F95E9A">
        <w:rPr>
          <w:rFonts w:ascii="Book Antiqua" w:hAnsi="Book Antiqua"/>
          <w:lang w:val="es-PR"/>
        </w:rPr>
        <w:t>–</w:t>
      </w:r>
      <w:r>
        <w:rPr>
          <w:rFonts w:ascii="Book Antiqua" w:hAnsi="Book Antiqua"/>
          <w:lang w:val="es-PR"/>
        </w:rPr>
        <w:t xml:space="preserve"> </w:t>
      </w:r>
      <w:r w:rsidR="005F0F82" w:rsidRPr="005F0F82">
        <w:rPr>
          <w:rFonts w:ascii="Book Antiqua" w:hAnsi="Book Antiqua"/>
          <w:lang w:val="es-PR"/>
        </w:rPr>
        <w:t>Separabilidad</w:t>
      </w:r>
      <w:r w:rsidR="005F0F82">
        <w:rPr>
          <w:rFonts w:ascii="Book Antiqua" w:hAnsi="Book Antiqua"/>
          <w:lang w:val="es-PR"/>
        </w:rPr>
        <w:t>.</w:t>
      </w:r>
    </w:p>
    <w:p w14:paraId="312E9D40" w14:textId="77777777" w:rsidR="005F0F82" w:rsidRDefault="005F0F82" w:rsidP="00517A9D">
      <w:pPr>
        <w:pStyle w:val="Sangradetextonormal"/>
        <w:spacing w:line="480" w:lineRule="auto"/>
        <w:ind w:left="360" w:firstLine="0"/>
        <w:rPr>
          <w:rFonts w:ascii="Book Antiqua" w:hAnsi="Book Antiqua"/>
          <w:lang w:val="es-PR"/>
        </w:rPr>
      </w:pPr>
      <w:r w:rsidRPr="005F0F82">
        <w:rPr>
          <w:rFonts w:ascii="Book Antiqua" w:hAnsi="Book Antiqua"/>
          <w:lang w:val="es-PR"/>
        </w:rPr>
        <w:t xml:space="preserve">Si cualquier artículo, párrafo, cláusula, inciso, </w:t>
      </w:r>
      <w:proofErr w:type="spellStart"/>
      <w:r w:rsidRPr="005F0F82">
        <w:rPr>
          <w:rFonts w:ascii="Book Antiqua" w:hAnsi="Book Antiqua"/>
          <w:lang w:val="es-PR"/>
        </w:rPr>
        <w:t>subinciso</w:t>
      </w:r>
      <w:proofErr w:type="spellEnd"/>
      <w:r w:rsidRPr="005F0F82">
        <w:rPr>
          <w:rFonts w:ascii="Book Antiqua" w:hAnsi="Book Antiqua"/>
          <w:lang w:val="es-PR"/>
        </w:rPr>
        <w:t xml:space="preserve">, acápite, oración, frase o palabra de esta Ley fuere anulada o declarada inconstitucional, la resolución, dictamen o sentencia emitida a tales efectos no afectará, perjudicará ni invalidará el remanente de </w:t>
      </w:r>
      <w:r w:rsidRPr="005F0F82">
        <w:rPr>
          <w:rFonts w:ascii="Book Antiqua" w:hAnsi="Book Antiqua"/>
          <w:lang w:val="es-PR"/>
        </w:rPr>
        <w:lastRenderedPageBreak/>
        <w:t>esta Ley. El efecto de dicha resolución, dictamen o sentencia quedará limitado al artículo, párrafo, cláusula, inciso, sub inciso, acápite, oración, frase o palabra de esta Ley que hubiere sido anulada o declarada inconstitucional.</w:t>
      </w:r>
    </w:p>
    <w:p w14:paraId="64536BED" w14:textId="77777777" w:rsidR="005F0F82" w:rsidRDefault="005F0F82" w:rsidP="005F0F82">
      <w:pPr>
        <w:pStyle w:val="Sangradetextonormal"/>
        <w:spacing w:line="480" w:lineRule="auto"/>
        <w:ind w:left="360"/>
        <w:rPr>
          <w:rFonts w:ascii="Book Antiqua" w:hAnsi="Book Antiqua"/>
          <w:lang w:val="es-PR"/>
        </w:rPr>
      </w:pPr>
      <w:r w:rsidRPr="005F0F82">
        <w:rPr>
          <w:rFonts w:ascii="Book Antiqua" w:hAnsi="Book Antiqua"/>
          <w:lang w:val="es-PR"/>
        </w:rPr>
        <w:t xml:space="preserve">Sección </w:t>
      </w:r>
      <w:r w:rsidR="00F95E9A">
        <w:rPr>
          <w:rFonts w:ascii="Book Antiqua" w:hAnsi="Book Antiqua"/>
          <w:lang w:val="es-PR"/>
        </w:rPr>
        <w:t>4</w:t>
      </w:r>
      <w:r w:rsidRPr="005F0F82">
        <w:rPr>
          <w:rFonts w:ascii="Book Antiqua" w:hAnsi="Book Antiqua"/>
          <w:lang w:val="es-PR"/>
        </w:rPr>
        <w:t xml:space="preserve"> – </w:t>
      </w:r>
      <w:r w:rsidR="00CF2F27">
        <w:rPr>
          <w:rFonts w:ascii="Book Antiqua" w:hAnsi="Book Antiqua"/>
          <w:lang w:val="es-PR"/>
        </w:rPr>
        <w:t>Cláusula de vigencia.</w:t>
      </w:r>
    </w:p>
    <w:p w14:paraId="6F604E78" w14:textId="77777777" w:rsidR="007924C3" w:rsidRPr="005F0F82" w:rsidRDefault="007924C3" w:rsidP="005F0F82">
      <w:pPr>
        <w:pStyle w:val="Sangradetextonormal"/>
        <w:spacing w:line="480" w:lineRule="auto"/>
        <w:ind w:left="36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Esta </w:t>
      </w:r>
      <w:r w:rsidR="003B1CB8">
        <w:rPr>
          <w:rFonts w:ascii="Book Antiqua" w:hAnsi="Book Antiqua"/>
          <w:lang w:val="es-PR"/>
        </w:rPr>
        <w:t>l</w:t>
      </w:r>
      <w:r>
        <w:rPr>
          <w:rFonts w:ascii="Book Antiqua" w:hAnsi="Book Antiqua"/>
          <w:lang w:val="es-PR"/>
        </w:rPr>
        <w:t>ey comenzará inmediatamente</w:t>
      </w:r>
      <w:r w:rsidR="003B1CB8">
        <w:rPr>
          <w:rFonts w:ascii="Book Antiqua" w:hAnsi="Book Antiqua"/>
          <w:lang w:val="es-PR"/>
        </w:rPr>
        <w:t xml:space="preserve"> después de ser </w:t>
      </w:r>
      <w:r>
        <w:rPr>
          <w:rFonts w:ascii="Book Antiqua" w:hAnsi="Book Antiqua"/>
          <w:lang w:val="es-PR"/>
        </w:rPr>
        <w:t xml:space="preserve">aprobada. </w:t>
      </w:r>
    </w:p>
    <w:sectPr w:rsidR="007924C3" w:rsidRPr="005F0F82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1A5C8" w14:textId="77777777" w:rsidR="000F2074" w:rsidRDefault="000F2074">
      <w:r>
        <w:separator/>
      </w:r>
    </w:p>
  </w:endnote>
  <w:endnote w:type="continuationSeparator" w:id="0">
    <w:p w14:paraId="206C3DCD" w14:textId="77777777" w:rsidR="000F2074" w:rsidRDefault="000F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276AB" w14:textId="77777777" w:rsidR="000F2074" w:rsidRDefault="000F2074">
      <w:r>
        <w:separator/>
      </w:r>
    </w:p>
  </w:footnote>
  <w:footnote w:type="continuationSeparator" w:id="0">
    <w:p w14:paraId="35178723" w14:textId="77777777" w:rsidR="000F2074" w:rsidRDefault="000F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374B5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1A814648" w14:textId="77777777" w:rsidR="001D5452" w:rsidRDefault="001D54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65B96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BE12AD"/>
    <w:multiLevelType w:val="hybridMultilevel"/>
    <w:tmpl w:val="9E5835C4"/>
    <w:lvl w:ilvl="0" w:tplc="2722C0B6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D93B6E"/>
    <w:multiLevelType w:val="hybridMultilevel"/>
    <w:tmpl w:val="2E4EB8BA"/>
    <w:lvl w:ilvl="0" w:tplc="4FD86C96">
      <w:start w:val="1"/>
      <w:numFmt w:val="upperLetter"/>
      <w:lvlText w:val="(%1)"/>
      <w:lvlJc w:val="left"/>
      <w:pPr>
        <w:ind w:left="111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21820790">
    <w:abstractNumId w:val="0"/>
  </w:num>
  <w:num w:numId="2" w16cid:durableId="20472537">
    <w:abstractNumId w:val="1"/>
  </w:num>
  <w:num w:numId="3" w16cid:durableId="2099054464">
    <w:abstractNumId w:val="6"/>
  </w:num>
  <w:num w:numId="4" w16cid:durableId="1818451250">
    <w:abstractNumId w:val="8"/>
  </w:num>
  <w:num w:numId="5" w16cid:durableId="415245966">
    <w:abstractNumId w:val="3"/>
  </w:num>
  <w:num w:numId="6" w16cid:durableId="1378044458">
    <w:abstractNumId w:val="5"/>
  </w:num>
  <w:num w:numId="7" w16cid:durableId="1856263111">
    <w:abstractNumId w:val="7"/>
  </w:num>
  <w:num w:numId="8" w16cid:durableId="1177577922">
    <w:abstractNumId w:val="4"/>
  </w:num>
  <w:num w:numId="9" w16cid:durableId="64644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4326B"/>
    <w:rsid w:val="000837AE"/>
    <w:rsid w:val="00085729"/>
    <w:rsid w:val="0008580E"/>
    <w:rsid w:val="000B02E8"/>
    <w:rsid w:val="000B4A83"/>
    <w:rsid w:val="000D4EA4"/>
    <w:rsid w:val="000E3B84"/>
    <w:rsid w:val="000F0F2F"/>
    <w:rsid w:val="000F2074"/>
    <w:rsid w:val="000F3C88"/>
    <w:rsid w:val="000F6D0C"/>
    <w:rsid w:val="00117687"/>
    <w:rsid w:val="00117CF1"/>
    <w:rsid w:val="001341B3"/>
    <w:rsid w:val="0013770C"/>
    <w:rsid w:val="0016010C"/>
    <w:rsid w:val="00162236"/>
    <w:rsid w:val="00172E90"/>
    <w:rsid w:val="00187C1A"/>
    <w:rsid w:val="00192A08"/>
    <w:rsid w:val="001C4611"/>
    <w:rsid w:val="001C5D78"/>
    <w:rsid w:val="001D5452"/>
    <w:rsid w:val="001E28A4"/>
    <w:rsid w:val="001E3EF2"/>
    <w:rsid w:val="001E663E"/>
    <w:rsid w:val="001E67FD"/>
    <w:rsid w:val="001F5565"/>
    <w:rsid w:val="00204F35"/>
    <w:rsid w:val="00210183"/>
    <w:rsid w:val="00213027"/>
    <w:rsid w:val="00217155"/>
    <w:rsid w:val="0022244E"/>
    <w:rsid w:val="00222686"/>
    <w:rsid w:val="002372D6"/>
    <w:rsid w:val="00252B2C"/>
    <w:rsid w:val="002755A4"/>
    <w:rsid w:val="00285EFE"/>
    <w:rsid w:val="002901E8"/>
    <w:rsid w:val="002907D4"/>
    <w:rsid w:val="002967D1"/>
    <w:rsid w:val="002A7521"/>
    <w:rsid w:val="002C0760"/>
    <w:rsid w:val="002D1892"/>
    <w:rsid w:val="002E54D6"/>
    <w:rsid w:val="002E6E00"/>
    <w:rsid w:val="002F1D3B"/>
    <w:rsid w:val="003149D2"/>
    <w:rsid w:val="00332A69"/>
    <w:rsid w:val="00333668"/>
    <w:rsid w:val="0033527B"/>
    <w:rsid w:val="00341A79"/>
    <w:rsid w:val="0034584D"/>
    <w:rsid w:val="00365CFA"/>
    <w:rsid w:val="003724FD"/>
    <w:rsid w:val="00374A16"/>
    <w:rsid w:val="00377579"/>
    <w:rsid w:val="0038034F"/>
    <w:rsid w:val="003833E8"/>
    <w:rsid w:val="003920F4"/>
    <w:rsid w:val="003962AD"/>
    <w:rsid w:val="00397C24"/>
    <w:rsid w:val="003A4CD5"/>
    <w:rsid w:val="003B1B37"/>
    <w:rsid w:val="003B1CB8"/>
    <w:rsid w:val="003C4C64"/>
    <w:rsid w:val="003D42DC"/>
    <w:rsid w:val="003D78BF"/>
    <w:rsid w:val="003D7A6C"/>
    <w:rsid w:val="003E154A"/>
    <w:rsid w:val="003E2B61"/>
    <w:rsid w:val="003F1E33"/>
    <w:rsid w:val="003F771C"/>
    <w:rsid w:val="0040571D"/>
    <w:rsid w:val="00414CC4"/>
    <w:rsid w:val="00426CA6"/>
    <w:rsid w:val="004440CB"/>
    <w:rsid w:val="00450C11"/>
    <w:rsid w:val="00473422"/>
    <w:rsid w:val="00473CD3"/>
    <w:rsid w:val="00476BF4"/>
    <w:rsid w:val="00486CB1"/>
    <w:rsid w:val="004A2D5E"/>
    <w:rsid w:val="004B141C"/>
    <w:rsid w:val="004B6F53"/>
    <w:rsid w:val="004D3836"/>
    <w:rsid w:val="004E0AF2"/>
    <w:rsid w:val="004F0848"/>
    <w:rsid w:val="004F20B5"/>
    <w:rsid w:val="004F5E4C"/>
    <w:rsid w:val="004F6513"/>
    <w:rsid w:val="00510943"/>
    <w:rsid w:val="00517A9D"/>
    <w:rsid w:val="00531E0D"/>
    <w:rsid w:val="00542612"/>
    <w:rsid w:val="00543CB2"/>
    <w:rsid w:val="00547117"/>
    <w:rsid w:val="005653DE"/>
    <w:rsid w:val="00566169"/>
    <w:rsid w:val="00580588"/>
    <w:rsid w:val="005907FC"/>
    <w:rsid w:val="005A0445"/>
    <w:rsid w:val="005C52BF"/>
    <w:rsid w:val="005D39F9"/>
    <w:rsid w:val="005D6020"/>
    <w:rsid w:val="005F0F82"/>
    <w:rsid w:val="00613FF6"/>
    <w:rsid w:val="00630017"/>
    <w:rsid w:val="00672C3F"/>
    <w:rsid w:val="00674CA8"/>
    <w:rsid w:val="0068219D"/>
    <w:rsid w:val="0069334D"/>
    <w:rsid w:val="006A1EF0"/>
    <w:rsid w:val="006C617E"/>
    <w:rsid w:val="006E6C2B"/>
    <w:rsid w:val="0070763D"/>
    <w:rsid w:val="00711758"/>
    <w:rsid w:val="00712401"/>
    <w:rsid w:val="0071373D"/>
    <w:rsid w:val="00721932"/>
    <w:rsid w:val="007221A0"/>
    <w:rsid w:val="007257A2"/>
    <w:rsid w:val="00735DBC"/>
    <w:rsid w:val="007373D5"/>
    <w:rsid w:val="0074707F"/>
    <w:rsid w:val="0075415D"/>
    <w:rsid w:val="00754D36"/>
    <w:rsid w:val="007731C9"/>
    <w:rsid w:val="00776CC9"/>
    <w:rsid w:val="0077733D"/>
    <w:rsid w:val="007924C3"/>
    <w:rsid w:val="007A2CBA"/>
    <w:rsid w:val="007A3943"/>
    <w:rsid w:val="007D6CF1"/>
    <w:rsid w:val="007E035F"/>
    <w:rsid w:val="007F0DAF"/>
    <w:rsid w:val="007F6FF1"/>
    <w:rsid w:val="00802CFF"/>
    <w:rsid w:val="008049CA"/>
    <w:rsid w:val="008243BA"/>
    <w:rsid w:val="0082716F"/>
    <w:rsid w:val="008317E3"/>
    <w:rsid w:val="00835286"/>
    <w:rsid w:val="00835E09"/>
    <w:rsid w:val="008565C3"/>
    <w:rsid w:val="00860610"/>
    <w:rsid w:val="00865B9C"/>
    <w:rsid w:val="00867FC5"/>
    <w:rsid w:val="0087199D"/>
    <w:rsid w:val="00871E85"/>
    <w:rsid w:val="00873734"/>
    <w:rsid w:val="00874DFC"/>
    <w:rsid w:val="008B6928"/>
    <w:rsid w:val="008D29EF"/>
    <w:rsid w:val="008E605C"/>
    <w:rsid w:val="00901C46"/>
    <w:rsid w:val="00902A3B"/>
    <w:rsid w:val="0090426C"/>
    <w:rsid w:val="00905F1F"/>
    <w:rsid w:val="00924355"/>
    <w:rsid w:val="00942F53"/>
    <w:rsid w:val="009565D6"/>
    <w:rsid w:val="00965FF1"/>
    <w:rsid w:val="00970CD6"/>
    <w:rsid w:val="00981494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6AB9"/>
    <w:rsid w:val="009F6DDD"/>
    <w:rsid w:val="00A16669"/>
    <w:rsid w:val="00A3000E"/>
    <w:rsid w:val="00A53316"/>
    <w:rsid w:val="00A57DDF"/>
    <w:rsid w:val="00A72A3D"/>
    <w:rsid w:val="00A75D60"/>
    <w:rsid w:val="00A87231"/>
    <w:rsid w:val="00A9070D"/>
    <w:rsid w:val="00AA1212"/>
    <w:rsid w:val="00AC1C2F"/>
    <w:rsid w:val="00AC2DA6"/>
    <w:rsid w:val="00AC6F85"/>
    <w:rsid w:val="00AD272A"/>
    <w:rsid w:val="00B411B6"/>
    <w:rsid w:val="00B4145D"/>
    <w:rsid w:val="00B53295"/>
    <w:rsid w:val="00B609DB"/>
    <w:rsid w:val="00B83364"/>
    <w:rsid w:val="00B8583C"/>
    <w:rsid w:val="00B97B80"/>
    <w:rsid w:val="00BB226A"/>
    <w:rsid w:val="00BB25AD"/>
    <w:rsid w:val="00BC26D6"/>
    <w:rsid w:val="00BC2FCC"/>
    <w:rsid w:val="00BC3856"/>
    <w:rsid w:val="00BC5847"/>
    <w:rsid w:val="00BC5D7F"/>
    <w:rsid w:val="00BC6657"/>
    <w:rsid w:val="00BD0EE1"/>
    <w:rsid w:val="00BD43BA"/>
    <w:rsid w:val="00BE4C94"/>
    <w:rsid w:val="00C24246"/>
    <w:rsid w:val="00C34CF5"/>
    <w:rsid w:val="00C40E44"/>
    <w:rsid w:val="00C420D7"/>
    <w:rsid w:val="00C55921"/>
    <w:rsid w:val="00C5691F"/>
    <w:rsid w:val="00C714B2"/>
    <w:rsid w:val="00C80B49"/>
    <w:rsid w:val="00CA6677"/>
    <w:rsid w:val="00CB18A7"/>
    <w:rsid w:val="00CB22F2"/>
    <w:rsid w:val="00CD00DF"/>
    <w:rsid w:val="00CD22EA"/>
    <w:rsid w:val="00CD6E16"/>
    <w:rsid w:val="00CE2C10"/>
    <w:rsid w:val="00CE3DBD"/>
    <w:rsid w:val="00CE6BB0"/>
    <w:rsid w:val="00CF2F27"/>
    <w:rsid w:val="00CF50DF"/>
    <w:rsid w:val="00D0034A"/>
    <w:rsid w:val="00D10D23"/>
    <w:rsid w:val="00D2416A"/>
    <w:rsid w:val="00D2738A"/>
    <w:rsid w:val="00D27BF1"/>
    <w:rsid w:val="00D34C21"/>
    <w:rsid w:val="00D37BD6"/>
    <w:rsid w:val="00D412B1"/>
    <w:rsid w:val="00D47681"/>
    <w:rsid w:val="00D53AD4"/>
    <w:rsid w:val="00D57544"/>
    <w:rsid w:val="00D613DC"/>
    <w:rsid w:val="00D71038"/>
    <w:rsid w:val="00D812B9"/>
    <w:rsid w:val="00D83769"/>
    <w:rsid w:val="00D95C43"/>
    <w:rsid w:val="00DB36D3"/>
    <w:rsid w:val="00DB63C4"/>
    <w:rsid w:val="00DC2DF7"/>
    <w:rsid w:val="00DD61CD"/>
    <w:rsid w:val="00DD6356"/>
    <w:rsid w:val="00DE3C91"/>
    <w:rsid w:val="00E03084"/>
    <w:rsid w:val="00E03E5E"/>
    <w:rsid w:val="00E33F8E"/>
    <w:rsid w:val="00E5125A"/>
    <w:rsid w:val="00E60B3A"/>
    <w:rsid w:val="00E805DA"/>
    <w:rsid w:val="00E93E14"/>
    <w:rsid w:val="00EA21AE"/>
    <w:rsid w:val="00EB4182"/>
    <w:rsid w:val="00EB436E"/>
    <w:rsid w:val="00EC4274"/>
    <w:rsid w:val="00EF32B5"/>
    <w:rsid w:val="00EF44A5"/>
    <w:rsid w:val="00F11759"/>
    <w:rsid w:val="00F3646E"/>
    <w:rsid w:val="00F43B04"/>
    <w:rsid w:val="00F46137"/>
    <w:rsid w:val="00F54A62"/>
    <w:rsid w:val="00F55C58"/>
    <w:rsid w:val="00F56911"/>
    <w:rsid w:val="00F575F5"/>
    <w:rsid w:val="00F64335"/>
    <w:rsid w:val="00F666FA"/>
    <w:rsid w:val="00F7155E"/>
    <w:rsid w:val="00F818CA"/>
    <w:rsid w:val="00F90A97"/>
    <w:rsid w:val="00F947A1"/>
    <w:rsid w:val="00F95E9A"/>
    <w:rsid w:val="00FA35F7"/>
    <w:rsid w:val="00FB07A6"/>
    <w:rsid w:val="00FC47E7"/>
    <w:rsid w:val="00FC5E9B"/>
    <w:rsid w:val="00FD2AF8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219012"/>
  <w14:defaultImageDpi w14:val="300"/>
  <w15:chartTrackingRefBased/>
  <w15:docId w15:val="{C9538503-DB06-46CF-8D42-E2581CDBC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71E85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ind w:firstLine="360"/>
      <w:jc w:val="both"/>
    </w:pPr>
    <w:rPr>
      <w:rFonts w:ascii="CG Times" w:eastAsia="Times New Roman" w:hAnsi="CG Times"/>
      <w:spacing w:val="-3"/>
      <w:lang w:val="es-ES_tradnl"/>
    </w:rPr>
  </w:style>
  <w:style w:type="character" w:customStyle="1" w:styleId="SangradetextonormalCar">
    <w:name w:val="Sangría de texto normal Car"/>
    <w:link w:val="Sangradetextonormal"/>
    <w:rsid w:val="00871E85"/>
    <w:rPr>
      <w:rFonts w:ascii="CG Times" w:eastAsia="Times New Roman" w:hAnsi="CG Times"/>
      <w:spacing w:val="-3"/>
      <w:sz w:val="24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5691F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d605a0f9484783316ff37c8fc2f328b3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62a178bb05462e09072e3712257aae63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DB2447B9-EF51-45E1-9DEE-FC5755D342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B09E2-D6DC-4FA8-9ABB-360ABECD5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5A0162-7E7E-4E9A-9804-81EE1E8E7336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4</cp:revision>
  <cp:lastPrinted>2026-06-23T17:38:00Z</cp:lastPrinted>
  <dcterms:created xsi:type="dcterms:W3CDTF">2026-06-23T18:59:00Z</dcterms:created>
  <dcterms:modified xsi:type="dcterms:W3CDTF">2026-06-23T22:39:00Z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