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8CC3C" w14:textId="77777777" w:rsidR="0077730B" w:rsidRPr="0077730B" w:rsidRDefault="0077730B" w:rsidP="0077730B">
      <w:pPr>
        <w:suppressLineNumbers/>
        <w:spacing w:after="0" w:line="240" w:lineRule="auto"/>
        <w:rPr>
          <w:rFonts w:eastAsia="Times New Roman" w:cs="Times New Roman"/>
          <w:kern w:val="0"/>
          <w:sz w:val="28"/>
          <w:szCs w:val="28"/>
          <w:lang w:val="es-ES_tradnl"/>
          <w14:ligatures w14:val="none"/>
        </w:rPr>
      </w:pPr>
    </w:p>
    <w:p w14:paraId="286FE447" w14:textId="77777777" w:rsidR="0077730B" w:rsidRPr="0077730B" w:rsidRDefault="0077730B" w:rsidP="0077730B">
      <w:pPr>
        <w:suppressLineNumbers/>
        <w:spacing w:after="0" w:line="240" w:lineRule="auto"/>
        <w:jc w:val="center"/>
        <w:rPr>
          <w:rFonts w:eastAsia="Times New Roman" w:cs="Times New Roman"/>
          <w:kern w:val="0"/>
          <w:sz w:val="28"/>
          <w:szCs w:val="28"/>
          <w:lang w:val="es-ES_tradnl"/>
          <w14:ligatures w14:val="none"/>
        </w:rPr>
      </w:pPr>
      <w:r w:rsidRPr="0077730B">
        <w:rPr>
          <w:rFonts w:eastAsia="Times New Roman" w:cs="Times New Roman"/>
          <w:kern w:val="0"/>
          <w:sz w:val="28"/>
          <w:szCs w:val="28"/>
          <w:lang w:val="es-ES_tradnl"/>
          <w14:ligatures w14:val="none"/>
        </w:rPr>
        <w:t>GOBIERNO DE PUERTO RICO</w:t>
      </w:r>
    </w:p>
    <w:p w14:paraId="67954065" w14:textId="77777777" w:rsidR="0077730B" w:rsidRPr="0077730B" w:rsidRDefault="0077730B" w:rsidP="0077730B">
      <w:pPr>
        <w:suppressLineNumbers/>
        <w:spacing w:after="0" w:line="240" w:lineRule="auto"/>
        <w:rPr>
          <w:rFonts w:eastAsia="Times New Roman" w:cs="Times New Roman"/>
          <w:kern w:val="0"/>
          <w:sz w:val="20"/>
          <w:szCs w:val="20"/>
          <w:lang w:val="es-ES_tradnl"/>
          <w14:ligatures w14:val="none"/>
        </w:rPr>
      </w:pPr>
    </w:p>
    <w:p w14:paraId="63D46344" w14:textId="2165B777" w:rsidR="0077730B" w:rsidRPr="0077730B" w:rsidRDefault="0077730B" w:rsidP="0077730B">
      <w:pPr>
        <w:suppressLineNumbers/>
        <w:spacing w:after="0" w:line="240" w:lineRule="auto"/>
        <w:rPr>
          <w:rFonts w:eastAsia="Times New Roman" w:cs="Times New Roman"/>
          <w:kern w:val="0"/>
          <w:lang w:val="es-PR"/>
          <w14:ligatures w14:val="none"/>
        </w:rPr>
      </w:pPr>
      <w:r w:rsidRPr="0077730B">
        <w:rPr>
          <w:rFonts w:eastAsia="Times New Roman" w:cs="Times New Roman"/>
          <w:kern w:val="0"/>
          <w:lang w:val="es-PR"/>
          <w14:ligatures w14:val="none"/>
        </w:rPr>
        <w:t>20ma.</w:t>
      </w:r>
      <w:r w:rsidRPr="0077730B">
        <w:rPr>
          <w:rFonts w:eastAsia="Times New Roman" w:cs="Times New Roman"/>
          <w:kern w:val="0"/>
          <w:lang w:val="es-PR"/>
          <w14:ligatures w14:val="none"/>
        </w:rPr>
        <w:tab/>
        <w:t>Asamblea</w:t>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t xml:space="preserve">           3ra. Sesión</w:t>
      </w:r>
    </w:p>
    <w:p w14:paraId="65F11C37" w14:textId="563C0953" w:rsidR="0077730B" w:rsidRPr="0077730B" w:rsidRDefault="0077730B" w:rsidP="0077730B">
      <w:pPr>
        <w:suppressLineNumbers/>
        <w:spacing w:after="0" w:line="240" w:lineRule="auto"/>
        <w:rPr>
          <w:rFonts w:eastAsia="Times New Roman" w:cs="Times New Roman"/>
          <w:kern w:val="0"/>
          <w:lang w:val="es-PR"/>
          <w14:ligatures w14:val="none"/>
        </w:rPr>
      </w:pPr>
      <w:r w:rsidRPr="0077730B">
        <w:rPr>
          <w:rFonts w:eastAsia="Times New Roman" w:cs="Times New Roman"/>
          <w:kern w:val="0"/>
          <w:lang w:val="es-PR"/>
          <w14:ligatures w14:val="none"/>
        </w:rPr>
        <w:tab/>
        <w:t>Legislativa</w:t>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t xml:space="preserve">      Ordinaria</w:t>
      </w:r>
    </w:p>
    <w:p w14:paraId="6DD45520" w14:textId="77777777" w:rsidR="0077730B" w:rsidRPr="0077730B" w:rsidRDefault="0077730B" w:rsidP="0077730B">
      <w:pPr>
        <w:suppressLineNumbers/>
        <w:spacing w:after="0" w:line="240" w:lineRule="auto"/>
        <w:rPr>
          <w:rFonts w:eastAsia="Times New Roman" w:cs="Times New Roman"/>
          <w:kern w:val="0"/>
          <w:lang w:val="es-PR"/>
          <w14:ligatures w14:val="none"/>
        </w:rPr>
      </w:pPr>
    </w:p>
    <w:p w14:paraId="05D2A317" w14:textId="77777777" w:rsidR="0077730B" w:rsidRPr="0077730B" w:rsidRDefault="0077730B" w:rsidP="0077730B">
      <w:pPr>
        <w:suppressLineNumbers/>
        <w:spacing w:after="0" w:line="240" w:lineRule="auto"/>
        <w:jc w:val="center"/>
        <w:rPr>
          <w:rFonts w:eastAsia="Times New Roman" w:cs="Times New Roman"/>
          <w:b/>
          <w:kern w:val="0"/>
          <w:sz w:val="36"/>
          <w:lang w:val="es-ES_tradnl"/>
          <w14:ligatures w14:val="none"/>
        </w:rPr>
      </w:pPr>
      <w:r w:rsidRPr="0077730B">
        <w:rPr>
          <w:rFonts w:eastAsia="Times New Roman" w:cs="Times New Roman"/>
          <w:b/>
          <w:kern w:val="0"/>
          <w:sz w:val="36"/>
          <w:lang w:val="es-ES_tradnl"/>
          <w14:ligatures w14:val="none"/>
        </w:rPr>
        <w:t>C</w:t>
      </w:r>
      <w:r w:rsidRPr="0077730B">
        <w:rPr>
          <w:rFonts w:eastAsia="Times New Roman" w:cs="Times New Roman"/>
          <w:b/>
          <w:kern w:val="0"/>
          <w:sz w:val="36"/>
          <w:lang w:val="es-PR"/>
          <w14:ligatures w14:val="none"/>
        </w:rPr>
        <w:t>Á</w:t>
      </w:r>
      <w:r w:rsidRPr="0077730B">
        <w:rPr>
          <w:rFonts w:eastAsia="Times New Roman" w:cs="Times New Roman"/>
          <w:b/>
          <w:kern w:val="0"/>
          <w:sz w:val="36"/>
          <w:lang w:val="es-ES_tradnl"/>
          <w14:ligatures w14:val="none"/>
        </w:rPr>
        <w:t>MARA DE REPRESENTANTES</w:t>
      </w:r>
    </w:p>
    <w:p w14:paraId="7CC76392" w14:textId="77777777" w:rsidR="0077730B" w:rsidRPr="0077730B" w:rsidRDefault="0077730B" w:rsidP="0077730B">
      <w:pPr>
        <w:suppressLineNumbers/>
        <w:spacing w:after="0" w:line="240" w:lineRule="auto"/>
        <w:jc w:val="center"/>
        <w:rPr>
          <w:rFonts w:eastAsia="Times New Roman" w:cs="Times New Roman"/>
          <w:kern w:val="0"/>
          <w:lang w:val="es-ES_tradnl"/>
          <w14:ligatures w14:val="none"/>
        </w:rPr>
      </w:pPr>
    </w:p>
    <w:p w14:paraId="0843DD6A" w14:textId="5A7CE2F3" w:rsidR="0077730B" w:rsidRPr="0077730B" w:rsidRDefault="0077730B" w:rsidP="0077730B">
      <w:pPr>
        <w:suppressLineNumbers/>
        <w:spacing w:after="0" w:line="240" w:lineRule="auto"/>
        <w:jc w:val="center"/>
        <w:rPr>
          <w:rFonts w:eastAsia="Times New Roman" w:cs="Times New Roman"/>
          <w:b/>
          <w:kern w:val="0"/>
          <w:sz w:val="52"/>
          <w:lang w:val="es-ES_tradnl"/>
          <w14:ligatures w14:val="none"/>
        </w:rPr>
      </w:pPr>
      <w:r w:rsidRPr="0077730B">
        <w:rPr>
          <w:rFonts w:eastAsia="Times New Roman" w:cs="Times New Roman"/>
          <w:b/>
          <w:kern w:val="0"/>
          <w:sz w:val="52"/>
          <w:lang w:val="es-ES_tradnl"/>
          <w14:ligatures w14:val="none"/>
        </w:rPr>
        <w:t xml:space="preserve">P. de la C. </w:t>
      </w:r>
      <w:r w:rsidR="008676BE">
        <w:rPr>
          <w:rFonts w:eastAsia="Times New Roman" w:cs="Times New Roman"/>
          <w:b/>
          <w:kern w:val="0"/>
          <w:sz w:val="52"/>
          <w:lang w:val="es-ES_tradnl"/>
          <w14:ligatures w14:val="none"/>
        </w:rPr>
        <w:t>1325</w:t>
      </w:r>
    </w:p>
    <w:p w14:paraId="2E91EB46" w14:textId="77777777" w:rsidR="0077730B" w:rsidRPr="0077730B" w:rsidRDefault="0077730B" w:rsidP="0077730B">
      <w:pPr>
        <w:suppressLineNumbers/>
        <w:spacing w:after="0" w:line="240" w:lineRule="auto"/>
        <w:jc w:val="center"/>
        <w:rPr>
          <w:rFonts w:eastAsia="Times New Roman" w:cs="Times New Roman"/>
          <w:kern w:val="0"/>
          <w:lang w:val="es-ES_tradnl"/>
          <w14:ligatures w14:val="none"/>
        </w:rPr>
      </w:pPr>
    </w:p>
    <w:p w14:paraId="2EFBA603" w14:textId="6EEFC836" w:rsidR="0077730B" w:rsidRPr="0077730B" w:rsidRDefault="0077730B" w:rsidP="0077730B">
      <w:pPr>
        <w:suppressLineNumbers/>
        <w:spacing w:after="0" w:line="240" w:lineRule="auto"/>
        <w:jc w:val="center"/>
        <w:rPr>
          <w:rFonts w:eastAsia="Times New Roman" w:cs="Times New Roman"/>
          <w:kern w:val="0"/>
          <w:lang w:val="es-ES_tradnl"/>
          <w14:ligatures w14:val="none"/>
        </w:rPr>
      </w:pPr>
      <w:r>
        <w:rPr>
          <w:rFonts w:eastAsia="Times New Roman" w:cs="Times New Roman"/>
          <w:kern w:val="0"/>
          <w:lang w:val="es-ES_tradnl"/>
          <w14:ligatures w14:val="none"/>
        </w:rPr>
        <w:t>23</w:t>
      </w:r>
      <w:r w:rsidRPr="0077730B">
        <w:rPr>
          <w:rFonts w:eastAsia="Times New Roman" w:cs="Times New Roman"/>
          <w:kern w:val="0"/>
          <w:lang w:val="es-ES_tradnl"/>
          <w14:ligatures w14:val="none"/>
        </w:rPr>
        <w:t xml:space="preserve"> DE </w:t>
      </w:r>
      <w:r>
        <w:rPr>
          <w:rFonts w:eastAsia="Times New Roman" w:cs="Times New Roman"/>
          <w:kern w:val="0"/>
          <w:lang w:val="es-ES_tradnl"/>
          <w14:ligatures w14:val="none"/>
        </w:rPr>
        <w:t>JUNIO</w:t>
      </w:r>
      <w:r w:rsidRPr="0077730B">
        <w:rPr>
          <w:rFonts w:eastAsia="Times New Roman" w:cs="Times New Roman"/>
          <w:kern w:val="0"/>
          <w:lang w:val="es-ES_tradnl"/>
          <w14:ligatures w14:val="none"/>
        </w:rPr>
        <w:t xml:space="preserve"> DE 2026</w:t>
      </w:r>
    </w:p>
    <w:p w14:paraId="071C82CE" w14:textId="77777777" w:rsidR="0077730B" w:rsidRPr="0077730B" w:rsidRDefault="0077730B" w:rsidP="0077730B">
      <w:pPr>
        <w:suppressLineNumbers/>
        <w:spacing w:after="0" w:line="240" w:lineRule="auto"/>
        <w:jc w:val="center"/>
        <w:rPr>
          <w:rFonts w:eastAsia="Times New Roman" w:cs="Times New Roman"/>
          <w:kern w:val="0"/>
          <w:lang w:val="es-ES_tradnl"/>
          <w14:ligatures w14:val="none"/>
        </w:rPr>
      </w:pPr>
    </w:p>
    <w:p w14:paraId="6BD2D7C6" w14:textId="38CBB97B" w:rsidR="0077730B" w:rsidRPr="0077730B" w:rsidRDefault="0077730B" w:rsidP="0077730B">
      <w:pPr>
        <w:suppressLineNumbers/>
        <w:spacing w:after="0" w:line="240" w:lineRule="auto"/>
        <w:jc w:val="center"/>
        <w:rPr>
          <w:rFonts w:eastAsia="Times New Roman" w:cs="Times New Roman"/>
          <w:i/>
          <w:kern w:val="0"/>
          <w:lang w:val="es-ES_tradnl"/>
          <w14:ligatures w14:val="none"/>
        </w:rPr>
      </w:pPr>
      <w:r w:rsidRPr="0077730B">
        <w:rPr>
          <w:rFonts w:eastAsia="Times New Roman" w:cs="Times New Roman"/>
          <w:kern w:val="0"/>
          <w:lang w:val="es-ES_tradnl"/>
          <w14:ligatures w14:val="none"/>
        </w:rPr>
        <w:t>Presentado por los representantes</w:t>
      </w:r>
      <w:r w:rsidRPr="0077730B">
        <w:rPr>
          <w:rFonts w:eastAsia="Times New Roman" w:cs="Times New Roman"/>
          <w:i/>
          <w:kern w:val="0"/>
          <w:lang w:val="es-ES_tradnl"/>
          <w14:ligatures w14:val="none"/>
        </w:rPr>
        <w:t xml:space="preserve"> </w:t>
      </w:r>
      <w:r>
        <w:rPr>
          <w:rFonts w:eastAsia="Times New Roman" w:cs="Times New Roman"/>
          <w:i/>
          <w:kern w:val="0"/>
          <w:lang w:val="es-ES_tradnl"/>
          <w14:ligatures w14:val="none"/>
        </w:rPr>
        <w:t xml:space="preserve">Méndez Núñez </w:t>
      </w:r>
      <w:r w:rsidRPr="005F354E">
        <w:rPr>
          <w:rFonts w:eastAsia="Times New Roman" w:cs="Times New Roman"/>
          <w:iCs/>
          <w:kern w:val="0"/>
          <w:lang w:val="es-ES_tradnl"/>
          <w14:ligatures w14:val="none"/>
        </w:rPr>
        <w:t>y</w:t>
      </w:r>
      <w:r w:rsidRPr="0077730B">
        <w:rPr>
          <w:rFonts w:eastAsia="Times New Roman" w:cs="Times New Roman"/>
          <w:i/>
          <w:kern w:val="0"/>
          <w:lang w:val="es-ES_tradnl"/>
          <w14:ligatures w14:val="none"/>
        </w:rPr>
        <w:t xml:space="preserve"> Torres Cruz</w:t>
      </w:r>
    </w:p>
    <w:p w14:paraId="12ACB6F3" w14:textId="77777777" w:rsidR="0077730B" w:rsidRPr="0077730B" w:rsidRDefault="0077730B" w:rsidP="0077730B">
      <w:pPr>
        <w:suppressLineNumbers/>
        <w:spacing w:after="0" w:line="240" w:lineRule="auto"/>
        <w:jc w:val="center"/>
        <w:rPr>
          <w:rFonts w:eastAsia="Times New Roman" w:cs="Times New Roman"/>
          <w:kern w:val="0"/>
          <w:lang w:val="es-ES_tradnl"/>
          <w14:ligatures w14:val="none"/>
        </w:rPr>
      </w:pPr>
    </w:p>
    <w:p w14:paraId="06F35109" w14:textId="030DC327" w:rsidR="0077730B" w:rsidRPr="0077730B" w:rsidRDefault="0077730B" w:rsidP="0077730B">
      <w:pPr>
        <w:suppressLineNumbers/>
        <w:spacing w:after="0" w:line="240" w:lineRule="auto"/>
        <w:jc w:val="center"/>
        <w:rPr>
          <w:rFonts w:eastAsia="Times New Roman" w:cs="Times New Roman"/>
          <w:kern w:val="0"/>
          <w:lang w:val="es-ES_tradnl"/>
          <w14:ligatures w14:val="none"/>
        </w:rPr>
      </w:pPr>
      <w:r w:rsidRPr="0077730B">
        <w:rPr>
          <w:rFonts w:eastAsia="Times New Roman" w:cs="Times New Roman"/>
          <w:kern w:val="0"/>
          <w:lang w:val="es-ES_tradnl"/>
          <w14:ligatures w14:val="none"/>
        </w:rPr>
        <w:t xml:space="preserve">Referido a </w:t>
      </w:r>
      <w:r w:rsidR="005F354E">
        <w:rPr>
          <w:rFonts w:eastAsia="Times New Roman" w:cs="Times New Roman"/>
          <w:kern w:val="0"/>
          <w:lang w:val="es-ES_tradnl"/>
          <w14:ligatures w14:val="none"/>
        </w:rPr>
        <w:t>la Comisión de Seguridad Pública</w:t>
      </w:r>
    </w:p>
    <w:p w14:paraId="3F78880F" w14:textId="77777777" w:rsidR="0077730B" w:rsidRPr="0077730B" w:rsidRDefault="0077730B" w:rsidP="0077730B">
      <w:pPr>
        <w:suppressLineNumbers/>
        <w:spacing w:after="0" w:line="240" w:lineRule="auto"/>
        <w:jc w:val="center"/>
        <w:rPr>
          <w:rFonts w:eastAsia="Times New Roman" w:cs="Times New Roman"/>
          <w:kern w:val="0"/>
          <w:lang w:val="es-ES_tradnl"/>
          <w14:ligatures w14:val="none"/>
        </w:rPr>
      </w:pPr>
    </w:p>
    <w:p w14:paraId="0E086D5C" w14:textId="77777777" w:rsidR="0077730B" w:rsidRPr="0077730B" w:rsidRDefault="0077730B" w:rsidP="0077730B">
      <w:pPr>
        <w:suppressLineNumbers/>
        <w:spacing w:after="0" w:line="240" w:lineRule="auto"/>
        <w:jc w:val="center"/>
        <w:rPr>
          <w:rFonts w:eastAsia="Times New Roman" w:cs="Times New Roman"/>
          <w:b/>
          <w:bCs/>
          <w:kern w:val="0"/>
          <w:sz w:val="28"/>
          <w:szCs w:val="28"/>
          <w:lang w:val="es-ES_tradnl"/>
          <w14:ligatures w14:val="none"/>
        </w:rPr>
      </w:pPr>
      <w:r w:rsidRPr="0077730B">
        <w:rPr>
          <w:rFonts w:eastAsia="Times New Roman" w:cs="Times New Roman"/>
          <w:b/>
          <w:bCs/>
          <w:kern w:val="0"/>
          <w:sz w:val="28"/>
          <w:szCs w:val="28"/>
          <w:lang w:val="es-ES_tradnl"/>
          <w14:ligatures w14:val="none"/>
        </w:rPr>
        <w:t>LEY</w:t>
      </w:r>
    </w:p>
    <w:p w14:paraId="745827F4" w14:textId="77777777" w:rsidR="0077730B" w:rsidRPr="0077730B" w:rsidRDefault="0077730B" w:rsidP="0077730B">
      <w:pPr>
        <w:suppressLineNumbers/>
        <w:spacing w:after="0" w:line="240" w:lineRule="auto"/>
        <w:jc w:val="center"/>
        <w:rPr>
          <w:rFonts w:eastAsia="Times New Roman" w:cs="Times New Roman"/>
          <w:b/>
          <w:bCs/>
          <w:kern w:val="0"/>
          <w:sz w:val="28"/>
          <w:szCs w:val="28"/>
          <w:lang w:val="es-ES_tradnl"/>
          <w14:ligatures w14:val="none"/>
        </w:rPr>
      </w:pPr>
    </w:p>
    <w:p w14:paraId="7501AB0E" w14:textId="77777777" w:rsidR="0077730B" w:rsidRPr="0077730B" w:rsidRDefault="0077730B" w:rsidP="0077730B">
      <w:pPr>
        <w:suppressLineNumbers/>
        <w:spacing w:after="0" w:line="240" w:lineRule="auto"/>
        <w:ind w:left="720" w:hanging="720"/>
        <w:jc w:val="both"/>
        <w:rPr>
          <w:rFonts w:eastAsia="Aptos" w:cs="Times New Roman"/>
          <w:lang w:val="es-ES"/>
        </w:rPr>
      </w:pPr>
      <w:r w:rsidRPr="0077730B">
        <w:rPr>
          <w:rFonts w:eastAsia="Aptos" w:cs="Times New Roman"/>
          <w:lang w:val="es-ES"/>
        </w:rPr>
        <w:t xml:space="preserve">  Para enmendar el </w:t>
      </w:r>
      <w:proofErr w:type="spellStart"/>
      <w:r w:rsidRPr="0077730B">
        <w:rPr>
          <w:rFonts w:eastAsia="Aptos" w:cs="Times New Roman"/>
          <w:lang w:val="es-ES"/>
        </w:rPr>
        <w:t>subinciso</w:t>
      </w:r>
      <w:proofErr w:type="spellEnd"/>
      <w:r w:rsidRPr="0077730B">
        <w:rPr>
          <w:rFonts w:eastAsia="Aptos" w:cs="Times New Roman"/>
          <w:lang w:val="es-ES"/>
        </w:rPr>
        <w:t xml:space="preserve"> 3 del inciso (b) de la Sección 3 de la Sección 92 de Ley 40-2020, según enmendada, conocida “Ley del Fideicomiso para el Retiro de la Policía”, a los fines   de disponer que no se descontará o ajustará la compensación individual que se remite anualmente a los Miembros Elegibles Retirados de la Policía de Puerto Rico proveniente de la distribución de este Fideicomiso por razón de los ingresos o pagos recibidos por concepto del Seguro Social, en conformidad con el marco legal vigente federal; así como para otros fines relacionados.</w:t>
      </w:r>
    </w:p>
    <w:p w14:paraId="5C0C3C2F" w14:textId="77777777" w:rsidR="0077730B" w:rsidRPr="0077730B" w:rsidRDefault="0077730B" w:rsidP="0077730B">
      <w:pPr>
        <w:suppressLineNumbers/>
        <w:spacing w:after="0" w:line="240" w:lineRule="auto"/>
        <w:rPr>
          <w:rFonts w:eastAsia="Aptos" w:cs="Times New Roman"/>
          <w:b/>
          <w:bCs/>
          <w:lang w:val="es-ES"/>
        </w:rPr>
      </w:pPr>
    </w:p>
    <w:p w14:paraId="5C6DB9E7" w14:textId="77777777" w:rsidR="0077730B" w:rsidRPr="0077730B" w:rsidRDefault="0077730B" w:rsidP="0077730B">
      <w:pPr>
        <w:suppressLineNumbers/>
        <w:spacing w:after="0" w:line="240" w:lineRule="auto"/>
        <w:jc w:val="center"/>
        <w:rPr>
          <w:rFonts w:eastAsia="Aptos" w:cs="Times New Roman"/>
          <w:lang w:val="es-ES"/>
        </w:rPr>
      </w:pPr>
      <w:r w:rsidRPr="0077730B">
        <w:rPr>
          <w:rFonts w:eastAsia="Aptos" w:cs="Times New Roman"/>
          <w:lang w:val="es-ES"/>
        </w:rPr>
        <w:t>EXPOSICIÓN DE MOTIVOS</w:t>
      </w:r>
    </w:p>
    <w:p w14:paraId="7881C328" w14:textId="77777777" w:rsidR="0077730B" w:rsidRPr="0077730B" w:rsidRDefault="0077730B" w:rsidP="0077730B">
      <w:pPr>
        <w:suppressLineNumbers/>
        <w:spacing w:after="0" w:line="240" w:lineRule="auto"/>
        <w:jc w:val="center"/>
        <w:rPr>
          <w:rFonts w:eastAsia="Aptos" w:cs="Times New Roman"/>
          <w:lang w:val="es-ES"/>
        </w:rPr>
      </w:pPr>
    </w:p>
    <w:p w14:paraId="2528D97B" w14:textId="2F6BDB13" w:rsidR="0077730B" w:rsidRPr="0077730B" w:rsidRDefault="0077730B" w:rsidP="0077730B">
      <w:pPr>
        <w:suppressLineNumbers/>
        <w:spacing w:after="0" w:line="240" w:lineRule="auto"/>
        <w:ind w:firstLine="720"/>
        <w:jc w:val="both"/>
        <w:rPr>
          <w:rFonts w:eastAsia="Aptos" w:cs="Times New Roman"/>
          <w:lang w:val="es-ES"/>
        </w:rPr>
      </w:pPr>
      <w:r w:rsidRPr="0077730B">
        <w:rPr>
          <w:rFonts w:eastAsia="Aptos" w:cs="Times New Roman"/>
          <w:lang w:val="es-ES_tradnl"/>
        </w:rPr>
        <w:t xml:space="preserve">Al aprobarse </w:t>
      </w:r>
      <w:r w:rsidRPr="0077730B">
        <w:rPr>
          <w:rFonts w:eastAsia="Aptos" w:cs="Times New Roman"/>
          <w:lang w:val="es-ES"/>
        </w:rPr>
        <w:t xml:space="preserve">la Ley 40-2020, según enmendada, conocida “Ley del Fideicomiso para el Retiro de la Policía”, se instituyó un instrumento legal específico, mediante un fideicomiso privado con fines no pecuniarios, a los fines de mejorar la compensación que reciben los miembros de la Policía de Puerto Rico a su retiro, con el correspondiente pago de los beneficios acumulados. Para garantizar los recursos adecuados, el fideicomiso se nutre, principalmente, de los recaudos provenientes de las máquinas de juegos de azar, conforme a la Ley 11-1993, según enmendada, conocida como “Ley de Máquinas de Juegos de Azar”. </w:t>
      </w:r>
    </w:p>
    <w:p w14:paraId="2B2C1894" w14:textId="77777777" w:rsidR="0077730B" w:rsidRPr="0077730B" w:rsidRDefault="0077730B" w:rsidP="0077730B">
      <w:pPr>
        <w:suppressLineNumbers/>
        <w:spacing w:after="0" w:line="240" w:lineRule="auto"/>
        <w:ind w:firstLine="720"/>
        <w:jc w:val="both"/>
        <w:rPr>
          <w:rFonts w:eastAsia="Aptos" w:cs="Times New Roman"/>
          <w:lang w:val="es-ES"/>
        </w:rPr>
      </w:pPr>
    </w:p>
    <w:p w14:paraId="55B7B7E3" w14:textId="77777777" w:rsidR="0077730B" w:rsidRPr="0077730B" w:rsidRDefault="0077730B" w:rsidP="0077730B">
      <w:pPr>
        <w:suppressLineNumbers/>
        <w:spacing w:after="0" w:line="240" w:lineRule="auto"/>
        <w:ind w:firstLine="720"/>
        <w:jc w:val="both"/>
        <w:rPr>
          <w:rFonts w:eastAsia="Aptos" w:cs="Times New Roman"/>
          <w:lang w:val="es-ES"/>
        </w:rPr>
      </w:pPr>
      <w:r w:rsidRPr="0077730B">
        <w:rPr>
          <w:rFonts w:eastAsia="Aptos" w:cs="Times New Roman"/>
          <w:lang w:val="es-ES"/>
        </w:rPr>
        <w:t xml:space="preserve">Por otra parte, dicha Ley 40-2020, </w:t>
      </w:r>
      <w:r w:rsidRPr="0077730B">
        <w:rPr>
          <w:rFonts w:eastAsia="Aptos" w:cs="Times New Roman"/>
          <w:i/>
          <w:iCs/>
          <w:lang w:val="es-ES"/>
        </w:rPr>
        <w:t xml:space="preserve">supra, </w:t>
      </w:r>
      <w:r w:rsidRPr="0077730B">
        <w:rPr>
          <w:rFonts w:eastAsia="Aptos" w:cs="Times New Roman"/>
          <w:lang w:val="es-ES"/>
        </w:rPr>
        <w:t xml:space="preserve">ordenó a la Autoridad de Asesoría Financiera y Agencia Fiscal de Puerto Rico (AAFAF), actuando como fideicomitente, otorgar la Escritura Constituyente del fideicomiso. Además, dispuso que los activos del Fideicomiso en un ochenta por ciento (80%) se distribuyan anualmente a cada miembro </w:t>
      </w:r>
      <w:r w:rsidRPr="0077730B">
        <w:rPr>
          <w:rFonts w:eastAsia="Aptos" w:cs="Times New Roman"/>
          <w:lang w:val="es-ES"/>
        </w:rPr>
        <w:lastRenderedPageBreak/>
        <w:t xml:space="preserve">elegible retirado de la Policía de Puerto Rico de forma que se aproxime, en lo máximo posible, a un cincuenta por ciento (50%) de la compensación promedio recibida por dicho miembro por concepto del seguro social federal, beneficios de otros fondos estatales de retiro bajo la Ley 447-1951, según enmendada, la Ley 305-1999, la Ley 3-2013 o de las cuentas de la Ley 106-2017, según enmendada. Adicional, delega en la Junta de Retiro del Gobierno, bajo dicha Ley 106-2017, </w:t>
      </w:r>
      <w:r w:rsidRPr="0077730B">
        <w:rPr>
          <w:rFonts w:eastAsia="Aptos" w:cs="Times New Roman"/>
          <w:i/>
          <w:iCs/>
          <w:lang w:val="es-ES"/>
        </w:rPr>
        <w:t xml:space="preserve">ante, </w:t>
      </w:r>
      <w:r w:rsidRPr="0077730B">
        <w:rPr>
          <w:rFonts w:eastAsia="Aptos" w:cs="Times New Roman"/>
          <w:lang w:val="es-ES"/>
        </w:rPr>
        <w:t xml:space="preserve">el establecer la distribución anual de estos beneficios, con recomendaciones de la Junta de Retiro de la Policía que se crea en la Sección 5 de dicha Ley 40-2020, antes citada.  </w:t>
      </w:r>
    </w:p>
    <w:p w14:paraId="04165C4E" w14:textId="77777777" w:rsidR="0077730B" w:rsidRPr="0077730B" w:rsidRDefault="0077730B" w:rsidP="0077730B">
      <w:pPr>
        <w:suppressLineNumbers/>
        <w:spacing w:after="0" w:line="240" w:lineRule="auto"/>
        <w:ind w:firstLine="720"/>
        <w:jc w:val="both"/>
        <w:rPr>
          <w:rFonts w:eastAsia="Aptos" w:cs="Times New Roman"/>
          <w:lang w:val="es-ES"/>
        </w:rPr>
      </w:pPr>
    </w:p>
    <w:p w14:paraId="68DFD1D5" w14:textId="77777777" w:rsidR="0077730B" w:rsidRPr="0077730B" w:rsidRDefault="0077730B" w:rsidP="0077730B">
      <w:pPr>
        <w:suppressLineNumbers/>
        <w:spacing w:after="0" w:line="240" w:lineRule="auto"/>
        <w:ind w:firstLine="720"/>
        <w:jc w:val="both"/>
        <w:rPr>
          <w:rFonts w:eastAsia="Aptos" w:cs="Times New Roman"/>
          <w:lang w:val="es-ES_tradnl"/>
        </w:rPr>
      </w:pPr>
      <w:r w:rsidRPr="0077730B">
        <w:rPr>
          <w:rFonts w:eastAsia="Aptos" w:cs="Times New Roman"/>
          <w:lang w:val="es-ES"/>
        </w:rPr>
        <w:t xml:space="preserve"> Es importante apuntar</w:t>
      </w:r>
      <w:r w:rsidRPr="0077730B">
        <w:rPr>
          <w:rFonts w:eastAsia="Aptos" w:cs="Times New Roman"/>
          <w:lang w:val="es-ES_tradnl"/>
        </w:rPr>
        <w:t xml:space="preserve">, que la fórmula para determinar la distribución de los beneficios anuales a los miembros elegibles retirados de la Policía, dispuesta en el </w:t>
      </w:r>
      <w:proofErr w:type="spellStart"/>
      <w:r w:rsidRPr="0077730B">
        <w:rPr>
          <w:rFonts w:eastAsia="Aptos" w:cs="Times New Roman"/>
          <w:lang w:val="es-ES_tradnl"/>
        </w:rPr>
        <w:t>subinciso</w:t>
      </w:r>
      <w:proofErr w:type="spellEnd"/>
      <w:r w:rsidRPr="0077730B">
        <w:rPr>
          <w:rFonts w:eastAsia="Aptos" w:cs="Times New Roman"/>
          <w:lang w:val="es-ES_tradnl"/>
        </w:rPr>
        <w:t xml:space="preserve"> 3 del inciso (b) de la Sección 3 de la Ley 40-2023, </w:t>
      </w:r>
      <w:r w:rsidRPr="0077730B">
        <w:rPr>
          <w:rFonts w:eastAsia="Aptos" w:cs="Times New Roman"/>
          <w:i/>
          <w:iCs/>
          <w:lang w:val="es-ES_tradnl"/>
        </w:rPr>
        <w:t>supra,</w:t>
      </w:r>
      <w:r w:rsidRPr="0077730B">
        <w:rPr>
          <w:rFonts w:eastAsia="Aptos" w:cs="Times New Roman"/>
          <w:lang w:val="es-ES_tradnl"/>
        </w:rPr>
        <w:t xml:space="preserve"> aunque contempla los pagos o ingresos recibidos del seguro social federal entre las fuentes para determinar el cincuenta por ciento (50%) de la compensación promedio a cada participante, no garantiza que de dicha cantidad no se realicen descuentos o ajustes por los pagos recibidos por dicho concepto. Es decir, que la compensación anual que reciba el participante sufra de una merma a base de los ingresos del seguro social federal. Beneficios para los cuales el recipiente cualificó, aportó y percibe conforme a otro sistema federal como retribución en una etapa de necesidad real para asegurar los ingresos suficientes a un retiro digno y una mejor calidad de vida.</w:t>
      </w:r>
    </w:p>
    <w:p w14:paraId="6D81CCBD" w14:textId="77777777" w:rsidR="0077730B" w:rsidRPr="0077730B" w:rsidRDefault="0077730B" w:rsidP="0077730B">
      <w:pPr>
        <w:suppressLineNumbers/>
        <w:spacing w:after="0" w:line="240" w:lineRule="auto"/>
        <w:ind w:firstLine="720"/>
        <w:jc w:val="both"/>
        <w:rPr>
          <w:rFonts w:eastAsia="Aptos" w:cs="Times New Roman"/>
          <w:lang w:val="es-ES_tradnl"/>
        </w:rPr>
      </w:pPr>
    </w:p>
    <w:p w14:paraId="2798723C" w14:textId="77777777" w:rsidR="0077730B" w:rsidRPr="0077730B" w:rsidRDefault="0077730B" w:rsidP="0077730B">
      <w:pPr>
        <w:suppressLineNumbers/>
        <w:spacing w:after="0" w:line="240" w:lineRule="auto"/>
        <w:ind w:firstLine="720"/>
        <w:jc w:val="both"/>
        <w:rPr>
          <w:rFonts w:eastAsia="Aptos" w:cs="Times New Roman"/>
          <w:lang w:val="es-ES"/>
        </w:rPr>
      </w:pPr>
      <w:r w:rsidRPr="0077730B">
        <w:rPr>
          <w:rFonts w:eastAsia="Aptos" w:cs="Times New Roman"/>
          <w:lang w:val="es-ES_tradnl"/>
        </w:rPr>
        <w:t xml:space="preserve">Específicamente, con la aprobación del “Social Security </w:t>
      </w:r>
      <w:proofErr w:type="spellStart"/>
      <w:r w:rsidRPr="0077730B">
        <w:rPr>
          <w:rFonts w:eastAsia="Aptos" w:cs="Times New Roman"/>
          <w:lang w:val="es-ES_tradnl"/>
        </w:rPr>
        <w:t>Fairness</w:t>
      </w:r>
      <w:proofErr w:type="spellEnd"/>
      <w:r w:rsidRPr="0077730B">
        <w:rPr>
          <w:rFonts w:eastAsia="Aptos" w:cs="Times New Roman"/>
          <w:lang w:val="es-ES_tradnl"/>
        </w:rPr>
        <w:t xml:space="preserve"> </w:t>
      </w:r>
      <w:proofErr w:type="spellStart"/>
      <w:r w:rsidRPr="0077730B">
        <w:rPr>
          <w:rFonts w:eastAsia="Aptos" w:cs="Times New Roman"/>
          <w:lang w:val="es-ES_tradnl"/>
        </w:rPr>
        <w:t>Act</w:t>
      </w:r>
      <w:proofErr w:type="spellEnd"/>
      <w:r w:rsidRPr="0077730B">
        <w:rPr>
          <w:rFonts w:eastAsia="Aptos" w:cs="Times New Roman"/>
          <w:lang w:val="es-ES_tradnl"/>
        </w:rPr>
        <w:t xml:space="preserve"> </w:t>
      </w:r>
      <w:proofErr w:type="spellStart"/>
      <w:r w:rsidRPr="0077730B">
        <w:rPr>
          <w:rFonts w:eastAsia="Aptos" w:cs="Times New Roman"/>
          <w:lang w:val="es-ES_tradnl"/>
        </w:rPr>
        <w:t>of</w:t>
      </w:r>
      <w:proofErr w:type="spellEnd"/>
      <w:r w:rsidRPr="0077730B">
        <w:rPr>
          <w:rFonts w:eastAsia="Aptos" w:cs="Times New Roman"/>
          <w:lang w:val="es-ES_tradnl"/>
        </w:rPr>
        <w:t xml:space="preserve"> 2023”, firmada el 5 de enero 2025, se reconoció como injusto el reducir beneficios del seguro social a empleados públicos que también recibían beneficios de pensión por trabajos no cubiertos por este sistema. Así, se derogaron tanto el “</w:t>
      </w:r>
      <w:proofErr w:type="spellStart"/>
      <w:r w:rsidRPr="0077730B">
        <w:rPr>
          <w:rFonts w:eastAsia="Aptos" w:cs="Times New Roman"/>
          <w:lang w:val="es-ES_tradnl"/>
        </w:rPr>
        <w:t>Goverment</w:t>
      </w:r>
      <w:proofErr w:type="spellEnd"/>
      <w:r w:rsidRPr="0077730B">
        <w:rPr>
          <w:rFonts w:eastAsia="Aptos" w:cs="Times New Roman"/>
          <w:lang w:val="es-ES_tradnl"/>
        </w:rPr>
        <w:t xml:space="preserve"> </w:t>
      </w:r>
      <w:proofErr w:type="spellStart"/>
      <w:r w:rsidRPr="0077730B">
        <w:rPr>
          <w:rFonts w:eastAsia="Aptos" w:cs="Times New Roman"/>
          <w:lang w:val="es-ES_tradnl"/>
        </w:rPr>
        <w:t>Pension</w:t>
      </w:r>
      <w:proofErr w:type="spellEnd"/>
      <w:r w:rsidRPr="0077730B">
        <w:rPr>
          <w:rFonts w:eastAsia="Aptos" w:cs="Times New Roman"/>
          <w:lang w:val="es-ES_tradnl"/>
        </w:rPr>
        <w:t xml:space="preserve"> Offset (GPO) y el “</w:t>
      </w:r>
      <w:proofErr w:type="spellStart"/>
      <w:r w:rsidRPr="0077730B">
        <w:rPr>
          <w:rFonts w:eastAsia="Aptos" w:cs="Times New Roman"/>
          <w:lang w:val="es-ES_tradnl"/>
        </w:rPr>
        <w:t>Windfall</w:t>
      </w:r>
      <w:proofErr w:type="spellEnd"/>
      <w:r w:rsidRPr="0077730B">
        <w:rPr>
          <w:rFonts w:eastAsia="Aptos" w:cs="Times New Roman"/>
          <w:lang w:val="es-ES_tradnl"/>
        </w:rPr>
        <w:t xml:space="preserve"> </w:t>
      </w:r>
      <w:proofErr w:type="spellStart"/>
      <w:r w:rsidRPr="0077730B">
        <w:rPr>
          <w:rFonts w:eastAsia="Aptos" w:cs="Times New Roman"/>
          <w:lang w:val="es-ES_tradnl"/>
        </w:rPr>
        <w:t>Elimination</w:t>
      </w:r>
      <w:proofErr w:type="spellEnd"/>
      <w:r w:rsidRPr="0077730B">
        <w:rPr>
          <w:rFonts w:eastAsia="Aptos" w:cs="Times New Roman"/>
          <w:lang w:val="es-ES_tradnl"/>
        </w:rPr>
        <w:t xml:space="preserve"> </w:t>
      </w:r>
      <w:proofErr w:type="spellStart"/>
      <w:r w:rsidRPr="0077730B">
        <w:rPr>
          <w:rFonts w:eastAsia="Aptos" w:cs="Times New Roman"/>
          <w:lang w:val="es-ES_tradnl"/>
        </w:rPr>
        <w:t>Provision</w:t>
      </w:r>
      <w:proofErr w:type="spellEnd"/>
      <w:r w:rsidRPr="0077730B">
        <w:rPr>
          <w:rFonts w:eastAsia="Aptos" w:cs="Times New Roman"/>
          <w:lang w:val="es-ES_tradnl"/>
        </w:rPr>
        <w:t xml:space="preserve"> (WEP) que permitían tal inequidad. Esto, como medida de carácter reparador para sobre 2.8 millones de trabajadores, entre estos: maestros, bomberos, policías y aquellos cubiertos por otros sistemas de seguridad social del extranjero.</w:t>
      </w:r>
      <w:r w:rsidRPr="0077730B">
        <w:rPr>
          <w:rFonts w:eastAsia="Aptos" w:cs="Times New Roman"/>
          <w:lang w:val="es-ES"/>
        </w:rPr>
        <w:t xml:space="preserve"> Por lo cual, entendemos imprescindible incorporar este </w:t>
      </w:r>
      <w:r w:rsidRPr="0077730B">
        <w:rPr>
          <w:rFonts w:eastAsia="Aptos" w:cs="Times New Roman"/>
          <w:lang w:val="es-ES_tradnl"/>
        </w:rPr>
        <w:t xml:space="preserve">cambio de política pública federal a favor del pensionado público puertorriqueño, en esta ocasión a los retirados de la Policía, bajo la Ley 40-2020, </w:t>
      </w:r>
      <w:r w:rsidRPr="0077730B">
        <w:rPr>
          <w:rFonts w:eastAsia="Aptos" w:cs="Times New Roman"/>
          <w:i/>
          <w:iCs/>
          <w:lang w:val="es-ES_tradnl"/>
        </w:rPr>
        <w:t>ante,</w:t>
      </w:r>
      <w:r w:rsidRPr="0077730B">
        <w:rPr>
          <w:rFonts w:eastAsia="Aptos" w:cs="Times New Roman"/>
          <w:lang w:val="es-ES_tradnl"/>
        </w:rPr>
        <w:t xml:space="preserve"> que les permitirá el recibir beneficios bajo marcos de ley diferentes, sin ser penalizados en sus esfuerzos y el menoscabo de las aportaciones que han realizado por años de servicio y compromiso. </w:t>
      </w:r>
    </w:p>
    <w:p w14:paraId="1E634024" w14:textId="77777777" w:rsidR="0077730B" w:rsidRPr="0077730B" w:rsidRDefault="0077730B" w:rsidP="0077730B">
      <w:pPr>
        <w:suppressLineNumbers/>
        <w:spacing w:after="0" w:line="240" w:lineRule="auto"/>
        <w:ind w:firstLine="720"/>
        <w:jc w:val="both"/>
        <w:rPr>
          <w:rFonts w:eastAsia="Aptos" w:cs="Times New Roman"/>
          <w:lang w:val="es-ES"/>
        </w:rPr>
      </w:pPr>
    </w:p>
    <w:p w14:paraId="60A05E79" w14:textId="77777777" w:rsidR="0077730B" w:rsidRPr="0077730B" w:rsidRDefault="0077730B" w:rsidP="0077730B">
      <w:pPr>
        <w:suppressLineNumbers/>
        <w:spacing w:after="0" w:line="240" w:lineRule="auto"/>
        <w:ind w:firstLine="720"/>
        <w:jc w:val="both"/>
        <w:rPr>
          <w:rFonts w:eastAsia="Aptos" w:cs="Times New Roman"/>
          <w:lang w:val="es-ES"/>
        </w:rPr>
      </w:pPr>
      <w:r w:rsidRPr="0077730B">
        <w:rPr>
          <w:rFonts w:eastAsia="Aptos" w:cs="Times New Roman"/>
          <w:lang w:val="es-ES_tradnl"/>
        </w:rPr>
        <w:t xml:space="preserve">A tenor con lo expuesto, esta Asamblea Legislativa entiende necesario y justo se enmiende la </w:t>
      </w:r>
      <w:r w:rsidRPr="0077730B">
        <w:rPr>
          <w:rFonts w:eastAsia="Aptos" w:cs="Times New Roman"/>
          <w:lang w:val="es-ES"/>
        </w:rPr>
        <w:t>“Ley del Fideicomiso para el Retiro de la Policía”, a los fines de disponer expresamente que no descontará o ajustará la compensación individual que se remite anualmente a los Miembros Elegibles Retirados de la Policía de Puerto Rico proveniente de la distribución de este Fideicomiso por razón de los ingresos o pagos por concepto del Seguro Social Federal</w:t>
      </w:r>
      <w:r w:rsidRPr="0077730B">
        <w:rPr>
          <w:rFonts w:eastAsia="Aptos" w:cs="Times New Roman"/>
          <w:lang w:val="es-ES_tradnl"/>
        </w:rPr>
        <w:t xml:space="preserve"> que estos reciban, </w:t>
      </w:r>
      <w:r w:rsidRPr="0077730B">
        <w:rPr>
          <w:rFonts w:eastAsia="Aptos" w:cs="Times New Roman"/>
          <w:lang w:val="es-ES"/>
        </w:rPr>
        <w:t>en conformidad con el marco legal vigente federal</w:t>
      </w:r>
      <w:r w:rsidRPr="0077730B">
        <w:rPr>
          <w:rFonts w:eastAsia="Aptos" w:cs="Times New Roman"/>
          <w:lang w:val="es-ES_tradnl"/>
        </w:rPr>
        <w:t xml:space="preserve">. Máxime, cuando hemos reconocido que los beneficios que reciben los miembros de la Policía de Puerto Rico a su retiro no solo constituyen la correspondiente restitución a las aportaciones realizadas, sino un reconocimiento más que legítimo a su sacrificada </w:t>
      </w:r>
      <w:r w:rsidRPr="0077730B">
        <w:rPr>
          <w:rFonts w:eastAsia="Aptos" w:cs="Times New Roman"/>
          <w:lang w:val="es-ES_tradnl"/>
        </w:rPr>
        <w:lastRenderedPageBreak/>
        <w:t xml:space="preserve">labor para mantener el orden, la paz, seguridad, la protección de vida y bienes como realizan a diario en todas las comunidades de Puerto Rico. Reafirmando, que la seguridad pública es pilar y fundamento de nuestra sociedad. </w:t>
      </w:r>
    </w:p>
    <w:p w14:paraId="0355270C" w14:textId="77777777" w:rsidR="0077730B" w:rsidRPr="0077730B" w:rsidRDefault="0077730B" w:rsidP="0077730B">
      <w:pPr>
        <w:suppressLineNumbers/>
        <w:spacing w:after="0" w:line="240" w:lineRule="auto"/>
        <w:ind w:firstLine="720"/>
        <w:jc w:val="both"/>
        <w:rPr>
          <w:rFonts w:eastAsia="Aptos" w:cs="Times New Roman"/>
          <w:lang w:val="es-ES"/>
        </w:rPr>
      </w:pPr>
    </w:p>
    <w:p w14:paraId="74C797BA" w14:textId="77777777" w:rsidR="0077730B" w:rsidRPr="0077730B" w:rsidRDefault="0077730B" w:rsidP="0077730B">
      <w:pPr>
        <w:suppressLineNumbers/>
        <w:spacing w:after="0" w:line="480" w:lineRule="auto"/>
        <w:rPr>
          <w:rFonts w:eastAsia="Aptos" w:cs="Times New Roman"/>
          <w:b/>
          <w:bCs/>
          <w:i/>
          <w:lang w:val="es-ES"/>
        </w:rPr>
      </w:pPr>
      <w:r w:rsidRPr="0077730B">
        <w:rPr>
          <w:rFonts w:eastAsia="Aptos" w:cs="Times New Roman"/>
          <w:i/>
          <w:lang w:val="es-ES"/>
        </w:rPr>
        <w:t>DECRÉTASE POR LA ASAMBLEA LEGISLATIVA DE PUERTO RICO:</w:t>
      </w:r>
    </w:p>
    <w:p w14:paraId="2814A665" w14:textId="28682FF8" w:rsidR="0077730B" w:rsidRPr="0077730B" w:rsidRDefault="0077730B" w:rsidP="0077730B">
      <w:pPr>
        <w:spacing w:after="0" w:line="480" w:lineRule="auto"/>
        <w:ind w:firstLine="720"/>
        <w:jc w:val="both"/>
        <w:rPr>
          <w:rFonts w:eastAsia="Aptos" w:cs="Times New Roman"/>
          <w:iCs/>
          <w:lang w:val="es-ES"/>
        </w:rPr>
      </w:pPr>
      <w:r>
        <w:rPr>
          <w:rFonts w:eastAsia="Aptos" w:cs="Times New Roman"/>
          <w:iCs/>
          <w:lang w:val="es-PR"/>
        </w:rPr>
        <w:t>Artículo</w:t>
      </w:r>
      <w:r w:rsidRPr="0077730B">
        <w:rPr>
          <w:rFonts w:eastAsia="Aptos" w:cs="Times New Roman"/>
          <w:iCs/>
          <w:lang w:val="es-PR"/>
        </w:rPr>
        <w:t xml:space="preserve"> 1.- Se enmienda </w:t>
      </w:r>
      <w:r w:rsidRPr="0077730B">
        <w:rPr>
          <w:rFonts w:eastAsia="Aptos" w:cs="Times New Roman"/>
          <w:iCs/>
          <w:lang w:val="es-ES"/>
        </w:rPr>
        <w:t xml:space="preserve">el </w:t>
      </w:r>
      <w:proofErr w:type="spellStart"/>
      <w:r w:rsidRPr="0077730B">
        <w:rPr>
          <w:rFonts w:eastAsia="Aptos" w:cs="Times New Roman"/>
          <w:iCs/>
          <w:lang w:val="es-ES"/>
        </w:rPr>
        <w:t>subinciso</w:t>
      </w:r>
      <w:proofErr w:type="spellEnd"/>
      <w:r w:rsidRPr="0077730B">
        <w:rPr>
          <w:rFonts w:eastAsia="Aptos" w:cs="Times New Roman"/>
          <w:iCs/>
          <w:lang w:val="es-ES"/>
        </w:rPr>
        <w:t xml:space="preserve"> 3, del inciso (b) de la Sección 3 de la Sección 92 de la Ley 40-2020, según enmendada, conocida “Ley del Fideicomiso para el Retiro de la Policía”, para que se lea como sigue:</w:t>
      </w:r>
    </w:p>
    <w:p w14:paraId="3B4049C8" w14:textId="77777777" w:rsidR="0077730B" w:rsidRPr="0077730B" w:rsidRDefault="0077730B" w:rsidP="0077730B">
      <w:pPr>
        <w:spacing w:after="0" w:line="480" w:lineRule="auto"/>
        <w:ind w:firstLine="720"/>
        <w:jc w:val="both"/>
        <w:rPr>
          <w:rFonts w:eastAsia="Aptos" w:cs="Times New Roman"/>
          <w:iCs/>
          <w:lang w:val="es-ES"/>
        </w:rPr>
      </w:pPr>
      <w:r w:rsidRPr="0077730B">
        <w:rPr>
          <w:rFonts w:eastAsia="Aptos" w:cs="Times New Roman"/>
          <w:iCs/>
          <w:lang w:val="es-ES"/>
        </w:rPr>
        <w:t>“Sección 92. – Se crea la “Ley del Fideicomiso para el Retiro de la Policía”</w:t>
      </w:r>
    </w:p>
    <w:p w14:paraId="2C5B565F" w14:textId="77777777" w:rsidR="0077730B" w:rsidRPr="0077730B" w:rsidRDefault="0077730B" w:rsidP="0077730B">
      <w:pPr>
        <w:spacing w:after="0" w:line="480" w:lineRule="auto"/>
        <w:ind w:firstLine="720"/>
        <w:jc w:val="both"/>
        <w:rPr>
          <w:rFonts w:eastAsia="Aptos" w:cs="Times New Roman"/>
          <w:iCs/>
          <w:lang w:val="es-ES"/>
        </w:rPr>
      </w:pPr>
      <w:r w:rsidRPr="0077730B">
        <w:rPr>
          <w:rFonts w:eastAsia="Aptos" w:cs="Times New Roman"/>
          <w:iCs/>
          <w:lang w:val="es-ES"/>
        </w:rPr>
        <w:tab/>
        <w:t>Sección 1. …</w:t>
      </w:r>
    </w:p>
    <w:p w14:paraId="470D56C0" w14:textId="77777777" w:rsidR="0077730B" w:rsidRPr="0077730B" w:rsidRDefault="0077730B" w:rsidP="0077730B">
      <w:pPr>
        <w:spacing w:after="0" w:line="480" w:lineRule="auto"/>
        <w:ind w:firstLine="720"/>
        <w:jc w:val="both"/>
        <w:rPr>
          <w:rFonts w:eastAsia="Aptos" w:cs="Times New Roman"/>
          <w:iCs/>
          <w:lang w:val="es-ES"/>
        </w:rPr>
      </w:pPr>
      <w:r w:rsidRPr="0077730B">
        <w:rPr>
          <w:rFonts w:eastAsia="Aptos" w:cs="Times New Roman"/>
          <w:iCs/>
          <w:lang w:val="es-ES"/>
        </w:rPr>
        <w:tab/>
        <w:t>Sección 2. …</w:t>
      </w:r>
    </w:p>
    <w:p w14:paraId="65C5CE3A" w14:textId="77777777" w:rsidR="0077730B" w:rsidRPr="0077730B" w:rsidRDefault="0077730B" w:rsidP="0077730B">
      <w:pPr>
        <w:spacing w:after="0" w:line="480" w:lineRule="auto"/>
        <w:ind w:left="720" w:firstLine="720"/>
        <w:jc w:val="both"/>
        <w:rPr>
          <w:rFonts w:eastAsia="Aptos" w:cs="Times New Roman"/>
          <w:iCs/>
          <w:lang w:val="es-ES"/>
        </w:rPr>
      </w:pPr>
      <w:r w:rsidRPr="0077730B">
        <w:rPr>
          <w:rFonts w:eastAsia="Aptos" w:cs="Times New Roman"/>
          <w:iCs/>
          <w:lang w:val="es-ES"/>
        </w:rPr>
        <w:t>Sección 3. — Creación del Fideicomiso.</w:t>
      </w:r>
    </w:p>
    <w:p w14:paraId="654842BB" w14:textId="77777777" w:rsidR="005108FF" w:rsidRDefault="0077730B" w:rsidP="005108FF">
      <w:pPr>
        <w:numPr>
          <w:ilvl w:val="0"/>
          <w:numId w:val="1"/>
        </w:numPr>
        <w:spacing w:after="0" w:line="480" w:lineRule="auto"/>
        <w:jc w:val="both"/>
        <w:rPr>
          <w:rFonts w:eastAsia="Aptos" w:cs="Times New Roman"/>
          <w:iCs/>
          <w:lang w:val="es-ES"/>
        </w:rPr>
      </w:pPr>
      <w:r w:rsidRPr="0077730B">
        <w:rPr>
          <w:rFonts w:eastAsia="Aptos" w:cs="Times New Roman"/>
          <w:iCs/>
          <w:lang w:val="es-ES"/>
        </w:rPr>
        <w:t>Se ordena a la AAFAF, actuando como fideicomitente, dentro de los sesenta (60) días luego de la vigencia de esta Ley, a otorgar la Escritura Constituyente mediante la cual se establecerá el Fideicomiso, un fideicomiso privado con fines no pecuniarios, cuyo corpus estará comprendido por los fondos transferidos a éste de las máquinas de azar en conformidad con la Ley Núm. 11 de 22 de agosto de 1933, según enmendada, mejor conocida como la “Ley de Máquinas de Juegos de Azar”; como cualesquier otros bienes que en el futuro adquiera o aquellos que le sean donados. La Junta fungirá como fiduciario del Fideicomiso</w:t>
      </w:r>
      <w:r w:rsidR="005108FF">
        <w:rPr>
          <w:rFonts w:eastAsia="Aptos" w:cs="Times New Roman"/>
          <w:iCs/>
          <w:lang w:val="es-ES"/>
        </w:rPr>
        <w:t>.</w:t>
      </w:r>
    </w:p>
    <w:p w14:paraId="4B0E37D9" w14:textId="09BE5179" w:rsidR="0077730B" w:rsidRPr="005108FF" w:rsidRDefault="0077730B" w:rsidP="005108FF">
      <w:pPr>
        <w:numPr>
          <w:ilvl w:val="0"/>
          <w:numId w:val="1"/>
        </w:numPr>
        <w:spacing w:after="0" w:line="480" w:lineRule="auto"/>
        <w:jc w:val="both"/>
        <w:rPr>
          <w:rFonts w:eastAsia="Aptos" w:cs="Times New Roman"/>
          <w:iCs/>
          <w:lang w:val="es-ES"/>
        </w:rPr>
      </w:pPr>
      <w:r w:rsidRPr="005108FF">
        <w:rPr>
          <w:rFonts w:eastAsia="Aptos" w:cs="Times New Roman"/>
          <w:iCs/>
          <w:lang w:val="es-ES"/>
        </w:rPr>
        <w:lastRenderedPageBreak/>
        <w:t>Los activos del Fideicomiso se distribuirán a los Miembros Elegibles, a base de la determinación anual que realice la Junta de Retiro del Gobierno de Puerto Rico de la siguiente forma:</w:t>
      </w:r>
    </w:p>
    <w:p w14:paraId="7B814DFB" w14:textId="77777777" w:rsidR="0077730B" w:rsidRPr="0077730B" w:rsidRDefault="0077730B" w:rsidP="0077730B">
      <w:pPr>
        <w:numPr>
          <w:ilvl w:val="0"/>
          <w:numId w:val="2"/>
        </w:numPr>
        <w:spacing w:after="0" w:line="480" w:lineRule="auto"/>
        <w:contextualSpacing/>
        <w:jc w:val="both"/>
        <w:rPr>
          <w:rFonts w:eastAsia="Aptos" w:cs="Times New Roman"/>
          <w:iCs/>
          <w:lang w:val="es-ES"/>
        </w:rPr>
      </w:pPr>
      <w:r w:rsidRPr="0077730B">
        <w:rPr>
          <w:rFonts w:eastAsia="Aptos" w:cs="Times New Roman"/>
          <w:iCs/>
          <w:lang w:val="es-ES"/>
        </w:rPr>
        <w:t>…</w:t>
      </w:r>
    </w:p>
    <w:p w14:paraId="2A998155" w14:textId="77777777" w:rsidR="0077730B" w:rsidRPr="0077730B" w:rsidRDefault="0077730B" w:rsidP="0077730B">
      <w:pPr>
        <w:numPr>
          <w:ilvl w:val="0"/>
          <w:numId w:val="2"/>
        </w:numPr>
        <w:spacing w:after="0" w:line="480" w:lineRule="auto"/>
        <w:contextualSpacing/>
        <w:jc w:val="both"/>
        <w:rPr>
          <w:rFonts w:eastAsia="Aptos" w:cs="Times New Roman"/>
          <w:iCs/>
          <w:lang w:val="es-ES"/>
        </w:rPr>
      </w:pPr>
      <w:r w:rsidRPr="0077730B">
        <w:rPr>
          <w:rFonts w:eastAsia="Aptos" w:cs="Times New Roman"/>
          <w:iCs/>
          <w:lang w:val="es-ES"/>
        </w:rPr>
        <w:t>…</w:t>
      </w:r>
    </w:p>
    <w:p w14:paraId="440B3C12" w14:textId="3535D8B7" w:rsidR="0077730B" w:rsidRPr="0077730B" w:rsidRDefault="0077730B" w:rsidP="0077730B">
      <w:pPr>
        <w:numPr>
          <w:ilvl w:val="0"/>
          <w:numId w:val="2"/>
        </w:numPr>
        <w:spacing w:after="0" w:line="480" w:lineRule="auto"/>
        <w:contextualSpacing/>
        <w:jc w:val="both"/>
        <w:rPr>
          <w:rFonts w:eastAsia="Aptos" w:cs="Times New Roman"/>
          <w:iCs/>
          <w:lang w:val="es-ES"/>
        </w:rPr>
      </w:pPr>
      <w:r w:rsidRPr="0077730B">
        <w:rPr>
          <w:rFonts w:eastAsia="Aptos" w:cs="Times New Roman"/>
          <w:iCs/>
          <w:lang w:val="es-ES"/>
        </w:rPr>
        <w:t xml:space="preserve">La cantidad total asignada a ser distribuida se dividirá entre todos los Miembros Elegibles retirados, de forma que se aproxime, en lo máximo posible, al cincuenta por ciento de la Compensación Promedio, tomando en cuenta los ingresos y/o pagos por concepto de retiro que cada Miembro Elegible tenga derecho a recibir por concepto de </w:t>
      </w:r>
      <w:r w:rsidRPr="0077730B">
        <w:rPr>
          <w:rFonts w:eastAsia="Aptos" w:cs="Times New Roman"/>
          <w:b/>
          <w:bCs/>
          <w:iCs/>
          <w:lang w:val="es-ES"/>
        </w:rPr>
        <w:t>[Seguro Social,</w:t>
      </w:r>
      <w:r>
        <w:rPr>
          <w:rFonts w:eastAsia="Aptos" w:cs="Times New Roman"/>
          <w:b/>
          <w:bCs/>
          <w:iCs/>
          <w:lang w:val="es-ES"/>
        </w:rPr>
        <w:t>]</w:t>
      </w:r>
      <w:r w:rsidRPr="0077730B">
        <w:rPr>
          <w:rFonts w:eastAsia="Aptos" w:cs="Times New Roman"/>
          <w:iCs/>
          <w:lang w:val="es-ES"/>
        </w:rPr>
        <w:t xml:space="preserve"> anualidades, beneficios o beneficios definidos concedidos por los distintos programas de retiro establecidos por la Ley Núm. 447 del 15 de mayo de 1951, según enmendada, beneficios o distribuciones del Programa de Cuentas de Ahorros para el Retiro establecido por la Ley 305-1999, el Programa Híbrido de Contribución Definida establecido por la Ley 3-2013; y de las Cuentas de Aportaciones Definidas del Nuevo Plan de Aportaciones Definidas según establecido por la Ley 106-2017, según enmendada, conocida como “Ley para Garantizar el Pago a Nuestros Pensionados y Establecer un Nuevo Plan de Aportaciones Definidas para los Servidores Públicos”, incluyendo aquellos que sean </w:t>
      </w:r>
      <w:r w:rsidRPr="0077730B">
        <w:rPr>
          <w:rFonts w:eastAsia="Aptos" w:cs="Times New Roman"/>
          <w:iCs/>
          <w:lang w:val="es-ES"/>
        </w:rPr>
        <w:lastRenderedPageBreak/>
        <w:t>producto del Plan de Retiro Mejorado de los Miembros de la Policía establecido por la Junta</w:t>
      </w:r>
      <w:r w:rsidRPr="0077730B">
        <w:rPr>
          <w:rFonts w:eastAsia="Aptos" w:cs="Times New Roman"/>
          <w:i/>
          <w:lang w:val="es-ES"/>
        </w:rPr>
        <w:t>.</w:t>
      </w:r>
    </w:p>
    <w:p w14:paraId="7E0C4E56" w14:textId="77777777" w:rsidR="0077730B" w:rsidRPr="0077730B" w:rsidRDefault="0077730B" w:rsidP="0077730B">
      <w:pPr>
        <w:spacing w:after="0" w:line="480" w:lineRule="auto"/>
        <w:ind w:left="1440"/>
        <w:contextualSpacing/>
        <w:jc w:val="both"/>
        <w:rPr>
          <w:rFonts w:eastAsia="Aptos" w:cs="Times New Roman"/>
          <w:i/>
          <w:lang w:val="es-ES"/>
        </w:rPr>
      </w:pPr>
      <w:r w:rsidRPr="0077730B">
        <w:rPr>
          <w:rFonts w:eastAsia="Aptos" w:cs="Times New Roman"/>
          <w:i/>
          <w:lang w:val="es-ES"/>
        </w:rPr>
        <w:t>…”</w:t>
      </w:r>
    </w:p>
    <w:p w14:paraId="3926243E" w14:textId="20ABD0D5" w:rsidR="0077730B" w:rsidRPr="0077730B" w:rsidRDefault="0077730B" w:rsidP="0077730B">
      <w:pPr>
        <w:spacing w:after="0" w:line="480" w:lineRule="auto"/>
        <w:ind w:firstLine="720"/>
        <w:jc w:val="both"/>
        <w:rPr>
          <w:rFonts w:eastAsia="Aptos" w:cs="Times New Roman"/>
          <w:lang w:val="es-ES"/>
        </w:rPr>
      </w:pPr>
      <w:r>
        <w:rPr>
          <w:rFonts w:eastAsia="Aptos" w:cs="Times New Roman"/>
          <w:lang w:val="es-ES"/>
        </w:rPr>
        <w:t>Artículo</w:t>
      </w:r>
      <w:r w:rsidRPr="0077730B">
        <w:rPr>
          <w:rFonts w:eastAsia="Aptos" w:cs="Times New Roman"/>
          <w:lang w:val="es-ES"/>
        </w:rPr>
        <w:t xml:space="preserve"> </w:t>
      </w:r>
      <w:r>
        <w:rPr>
          <w:rFonts w:eastAsia="Aptos" w:cs="Times New Roman"/>
          <w:lang w:val="es-ES"/>
        </w:rPr>
        <w:t>2</w:t>
      </w:r>
      <w:r w:rsidRPr="0077730B">
        <w:rPr>
          <w:rFonts w:eastAsia="Aptos" w:cs="Times New Roman"/>
          <w:lang w:val="es-ES"/>
        </w:rPr>
        <w:t>. -  Vigencia</w:t>
      </w:r>
    </w:p>
    <w:p w14:paraId="1E516B83" w14:textId="744E244F" w:rsidR="00761A00" w:rsidRPr="0077730B" w:rsidRDefault="0077730B" w:rsidP="0077730B">
      <w:pPr>
        <w:spacing w:after="0" w:line="480" w:lineRule="auto"/>
        <w:ind w:firstLine="720"/>
        <w:jc w:val="both"/>
        <w:rPr>
          <w:rStyle w:val="Nmerodelnea"/>
          <w:lang w:val="es-ES_tradnl"/>
        </w:rPr>
      </w:pPr>
      <w:r w:rsidRPr="0077730B">
        <w:rPr>
          <w:rFonts w:eastAsia="Aptos" w:cs="Times New Roman"/>
          <w:lang w:val="es-ES"/>
        </w:rPr>
        <w:t>Esta Ley entrará en vigor inmediatamente después de su aprobación.</w:t>
      </w:r>
      <w:r w:rsidRPr="0077730B">
        <w:rPr>
          <w:rFonts w:eastAsia="Aptos" w:cs="Times New Roman"/>
          <w:lang w:val="es-ES_tradnl"/>
        </w:rPr>
        <w:t xml:space="preserve"> </w:t>
      </w:r>
    </w:p>
    <w:sectPr w:rsidR="00761A00" w:rsidRPr="0077730B" w:rsidSect="0077730B">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B56AE" w14:textId="77777777" w:rsidR="00BE3196" w:rsidRDefault="00BE3196" w:rsidP="0077730B">
      <w:pPr>
        <w:spacing w:after="0" w:line="240" w:lineRule="auto"/>
      </w:pPr>
      <w:r>
        <w:separator/>
      </w:r>
    </w:p>
  </w:endnote>
  <w:endnote w:type="continuationSeparator" w:id="0">
    <w:p w14:paraId="64DDABFC" w14:textId="77777777" w:rsidR="00BE3196" w:rsidRDefault="00BE3196" w:rsidP="00777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B3033" w14:textId="77777777" w:rsidR="00BE3196" w:rsidRDefault="00BE3196" w:rsidP="0077730B">
      <w:pPr>
        <w:spacing w:after="0" w:line="240" w:lineRule="auto"/>
      </w:pPr>
      <w:r>
        <w:separator/>
      </w:r>
    </w:p>
  </w:footnote>
  <w:footnote w:type="continuationSeparator" w:id="0">
    <w:p w14:paraId="7B6B049D" w14:textId="77777777" w:rsidR="00BE3196" w:rsidRDefault="00BE3196" w:rsidP="007773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087136"/>
      <w:docPartObj>
        <w:docPartGallery w:val="Page Numbers (Top of Page)"/>
        <w:docPartUnique/>
      </w:docPartObj>
    </w:sdtPr>
    <w:sdtEndPr>
      <w:rPr>
        <w:noProof/>
      </w:rPr>
    </w:sdtEndPr>
    <w:sdtContent>
      <w:p w14:paraId="7D30D37B" w14:textId="0B1F7E3E" w:rsidR="0077730B" w:rsidRPr="0077730B" w:rsidRDefault="0077730B">
        <w:pPr>
          <w:pStyle w:val="Encabezado"/>
          <w:jc w:val="center"/>
        </w:pPr>
        <w:r w:rsidRPr="0077730B">
          <w:fldChar w:fldCharType="begin"/>
        </w:r>
        <w:r w:rsidRPr="0077730B">
          <w:instrText xml:space="preserve"> PAGE   \* MERGEFORMAT </w:instrText>
        </w:r>
        <w:r w:rsidRPr="0077730B">
          <w:fldChar w:fldCharType="separate"/>
        </w:r>
        <w:r w:rsidRPr="0077730B">
          <w:rPr>
            <w:noProof/>
          </w:rPr>
          <w:t>2</w:t>
        </w:r>
        <w:r w:rsidRPr="0077730B">
          <w:rPr>
            <w:noProof/>
          </w:rPr>
          <w:fldChar w:fldCharType="end"/>
        </w:r>
      </w:p>
    </w:sdtContent>
  </w:sdt>
  <w:p w14:paraId="0CC99745" w14:textId="77777777" w:rsidR="0077730B" w:rsidRPr="0077730B" w:rsidRDefault="007773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E16D3"/>
    <w:multiLevelType w:val="hybridMultilevel"/>
    <w:tmpl w:val="204091F4"/>
    <w:lvl w:ilvl="0" w:tplc="B1884DD4">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 w15:restartNumberingAfterBreak="0">
    <w:nsid w:val="3FE45592"/>
    <w:multiLevelType w:val="hybridMultilevel"/>
    <w:tmpl w:val="D92E3576"/>
    <w:lvl w:ilvl="0" w:tplc="5C84876C">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16cid:durableId="7300797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28033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30B"/>
    <w:rsid w:val="00142F96"/>
    <w:rsid w:val="004E6420"/>
    <w:rsid w:val="005108FF"/>
    <w:rsid w:val="00546CEF"/>
    <w:rsid w:val="005F354E"/>
    <w:rsid w:val="00701453"/>
    <w:rsid w:val="00761A00"/>
    <w:rsid w:val="0077730B"/>
    <w:rsid w:val="008676BE"/>
    <w:rsid w:val="009F07C9"/>
    <w:rsid w:val="00BE3196"/>
    <w:rsid w:val="00F62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B471F"/>
  <w15:chartTrackingRefBased/>
  <w15:docId w15:val="{5787179F-996B-4F26-BA6D-4ACB5BA7F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heme="minorHAnsi" w:hAnsi="Book Antiqua"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30B"/>
  </w:style>
  <w:style w:type="paragraph" w:styleId="Ttulo1">
    <w:name w:val="heading 1"/>
    <w:basedOn w:val="Normal"/>
    <w:next w:val="Normal"/>
    <w:link w:val="Ttulo1Car"/>
    <w:uiPriority w:val="9"/>
    <w:qFormat/>
    <w:rsid w:val="007773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773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773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773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773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7730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7730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7730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7730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7730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7730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7730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7730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7730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7730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7730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773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7730B"/>
    <w:rPr>
      <w:rFonts w:eastAsiaTheme="majorEastAsia" w:cstheme="majorBidi"/>
      <w:color w:val="272727" w:themeColor="text1" w:themeTint="D8"/>
    </w:rPr>
  </w:style>
  <w:style w:type="paragraph" w:styleId="Ttulo">
    <w:name w:val="Title"/>
    <w:basedOn w:val="Normal"/>
    <w:next w:val="Normal"/>
    <w:link w:val="TtuloCar"/>
    <w:uiPriority w:val="10"/>
    <w:qFormat/>
    <w:rsid w:val="007773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773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7730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773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7730B"/>
    <w:pPr>
      <w:spacing w:before="160"/>
      <w:jc w:val="center"/>
    </w:pPr>
    <w:rPr>
      <w:i/>
      <w:iCs/>
      <w:color w:val="404040" w:themeColor="text1" w:themeTint="BF"/>
    </w:rPr>
  </w:style>
  <w:style w:type="character" w:customStyle="1" w:styleId="CitaCar">
    <w:name w:val="Cita Car"/>
    <w:basedOn w:val="Fuentedeprrafopredeter"/>
    <w:link w:val="Cita"/>
    <w:uiPriority w:val="29"/>
    <w:rsid w:val="0077730B"/>
    <w:rPr>
      <w:i/>
      <w:iCs/>
      <w:color w:val="404040" w:themeColor="text1" w:themeTint="BF"/>
    </w:rPr>
  </w:style>
  <w:style w:type="paragraph" w:styleId="Prrafodelista">
    <w:name w:val="List Paragraph"/>
    <w:basedOn w:val="Normal"/>
    <w:uiPriority w:val="34"/>
    <w:qFormat/>
    <w:rsid w:val="0077730B"/>
    <w:pPr>
      <w:ind w:left="720"/>
      <w:contextualSpacing/>
    </w:pPr>
  </w:style>
  <w:style w:type="character" w:styleId="nfasisintenso">
    <w:name w:val="Intense Emphasis"/>
    <w:basedOn w:val="Fuentedeprrafopredeter"/>
    <w:uiPriority w:val="21"/>
    <w:qFormat/>
    <w:rsid w:val="0077730B"/>
    <w:rPr>
      <w:i/>
      <w:iCs/>
      <w:color w:val="0F4761" w:themeColor="accent1" w:themeShade="BF"/>
    </w:rPr>
  </w:style>
  <w:style w:type="paragraph" w:styleId="Citadestacada">
    <w:name w:val="Intense Quote"/>
    <w:basedOn w:val="Normal"/>
    <w:next w:val="Normal"/>
    <w:link w:val="CitadestacadaCar"/>
    <w:uiPriority w:val="30"/>
    <w:qFormat/>
    <w:rsid w:val="007773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7730B"/>
    <w:rPr>
      <w:i/>
      <w:iCs/>
      <w:color w:val="0F4761" w:themeColor="accent1" w:themeShade="BF"/>
    </w:rPr>
  </w:style>
  <w:style w:type="character" w:styleId="Referenciaintensa">
    <w:name w:val="Intense Reference"/>
    <w:basedOn w:val="Fuentedeprrafopredeter"/>
    <w:uiPriority w:val="32"/>
    <w:qFormat/>
    <w:rsid w:val="0077730B"/>
    <w:rPr>
      <w:b/>
      <w:bCs/>
      <w:smallCaps/>
      <w:color w:val="0F4761" w:themeColor="accent1" w:themeShade="BF"/>
      <w:spacing w:val="5"/>
    </w:rPr>
  </w:style>
  <w:style w:type="paragraph" w:styleId="Encabezado">
    <w:name w:val="header"/>
    <w:basedOn w:val="Normal"/>
    <w:link w:val="EncabezadoCar"/>
    <w:uiPriority w:val="99"/>
    <w:unhideWhenUsed/>
    <w:rsid w:val="0077730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77730B"/>
  </w:style>
  <w:style w:type="paragraph" w:styleId="Piedepgina">
    <w:name w:val="footer"/>
    <w:basedOn w:val="Normal"/>
    <w:link w:val="PiedepginaCar"/>
    <w:uiPriority w:val="99"/>
    <w:unhideWhenUsed/>
    <w:rsid w:val="0077730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77730B"/>
  </w:style>
  <w:style w:type="character" w:styleId="Nmerodelnea">
    <w:name w:val="line number"/>
    <w:basedOn w:val="Fuentedeprrafopredeter"/>
    <w:uiPriority w:val="99"/>
    <w:unhideWhenUsed/>
    <w:rsid w:val="00777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B4DFB-49F5-4C69-9C98-E79FC8CFE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1169</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Rocío Alayón Morell</cp:lastModifiedBy>
  <cp:revision>3</cp:revision>
  <cp:lastPrinted>2026-06-23T22:02:00Z</cp:lastPrinted>
  <dcterms:created xsi:type="dcterms:W3CDTF">2026-06-23T22:14:00Z</dcterms:created>
  <dcterms:modified xsi:type="dcterms:W3CDTF">2026-06-24T12:47:00Z</dcterms:modified>
</cp:coreProperties>
</file>