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DC9B8" w14:textId="77777777" w:rsidR="00653164" w:rsidRPr="002E6814" w:rsidRDefault="00487314" w:rsidP="00AB727F">
      <w:pPr>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6C60A468" w14:textId="77777777" w:rsidR="00653164" w:rsidRPr="002E6814" w:rsidRDefault="00653164" w:rsidP="00AB727F">
      <w:pPr>
        <w:suppressLineNumbers/>
        <w:rPr>
          <w:rFonts w:ascii="Book Antiqua" w:hAnsi="Book Antiqua"/>
          <w:szCs w:val="24"/>
          <w:lang w:val="es-ES"/>
        </w:rPr>
      </w:pPr>
    </w:p>
    <w:p w14:paraId="529020B1" w14:textId="77777777" w:rsidR="00653164" w:rsidRPr="002E6814" w:rsidRDefault="00487314" w:rsidP="00AB727F">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3ra. Sesión</w:t>
      </w:r>
    </w:p>
    <w:p w14:paraId="7E430A54" w14:textId="77777777" w:rsidR="00653164" w:rsidRPr="002E6814" w:rsidRDefault="00653164" w:rsidP="00AB727F">
      <w:pPr>
        <w:suppressLineNumbers/>
        <w:jc w:val="both"/>
        <w:rPr>
          <w:rFonts w:ascii="Book Antiqua" w:hAnsi="Book Antiqua"/>
          <w:szCs w:val="24"/>
          <w:lang w:val="es-ES"/>
        </w:rPr>
      </w:pPr>
      <w:r>
        <w:rPr>
          <w:rFonts w:ascii="Book Antiqua" w:hAnsi="Book Antiqua"/>
          <w:szCs w:val="24"/>
          <w:lang w:val="es-ES"/>
        </w:rPr>
        <w:t xml:space="preserve">           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Ordinaria</w:t>
      </w:r>
    </w:p>
    <w:p w14:paraId="6CF02529" w14:textId="77777777" w:rsidR="00E827F6" w:rsidRPr="002E6814" w:rsidRDefault="00E827F6" w:rsidP="00AB727F">
      <w:pPr>
        <w:rPr>
          <w:lang w:val="es-ES"/>
        </w:rPr>
      </w:pPr>
    </w:p>
    <w:p w14:paraId="53CE7E6B" w14:textId="77777777" w:rsidR="00E827F6" w:rsidRPr="002E6814" w:rsidRDefault="00E827F6" w:rsidP="00621036">
      <w:pPr>
        <w:jc w:val="center"/>
        <w:rPr>
          <w:rFonts w:ascii="Book Antiqua" w:hAnsi="Book Antiqua"/>
          <w:b/>
          <w:sz w:val="36"/>
          <w:lang w:val="es-ES"/>
        </w:rPr>
      </w:pPr>
      <w:r>
        <w:rPr>
          <w:rFonts w:ascii="Book Antiqua" w:hAnsi="Book Antiqua"/>
          <w:b/>
          <w:sz w:val="36"/>
          <w:lang w:val="es-ES"/>
        </w:rPr>
        <w:t xml:space="preserve">CÁMARA DE REPRESENTANTES </w:t>
      </w:r>
    </w:p>
    <w:p w14:paraId="33D4B7B2" w14:textId="77777777" w:rsidR="00621036" w:rsidRPr="00621036" w:rsidRDefault="00621036" w:rsidP="00621036">
      <w:pPr>
        <w:jc w:val="center"/>
        <w:rPr>
          <w:rFonts w:ascii="Book Antiqua" w:hAnsi="Book Antiqua"/>
          <w:b/>
          <w:szCs w:val="24"/>
          <w:lang w:val="es-ES"/>
        </w:rPr>
      </w:pPr>
    </w:p>
    <w:p w14:paraId="029805EE" w14:textId="77777777" w:rsidR="00E827F6" w:rsidRPr="002E6814" w:rsidRDefault="00E827F6" w:rsidP="00621036">
      <w:pPr>
        <w:jc w:val="center"/>
        <w:rPr>
          <w:rFonts w:ascii="Book Antiqua" w:hAnsi="Book Antiqua"/>
          <w:b/>
          <w:sz w:val="52"/>
          <w:lang w:val="es-ES"/>
        </w:rPr>
      </w:pPr>
      <w:r>
        <w:rPr>
          <w:rFonts w:ascii="Book Antiqua" w:hAnsi="Book Antiqua"/>
          <w:b/>
          <w:sz w:val="52"/>
          <w:lang w:val="es-ES"/>
        </w:rPr>
        <w:t>R. de la C. 735</w:t>
      </w:r>
    </w:p>
    <w:p w14:paraId="1D281BE8" w14:textId="77777777" w:rsidR="00621036" w:rsidRDefault="00621036" w:rsidP="00621036">
      <w:pPr>
        <w:jc w:val="center"/>
        <w:rPr>
          <w:rFonts w:ascii="Book Antiqua" w:hAnsi="Book Antiqua"/>
          <w:lang w:val="es-ES"/>
        </w:rPr>
      </w:pPr>
    </w:p>
    <w:p w14:paraId="26C35FB6" w14:textId="77777777" w:rsidR="00E827F6" w:rsidRPr="002E6814" w:rsidRDefault="00BC0E6B" w:rsidP="00621036">
      <w:pPr>
        <w:jc w:val="center"/>
        <w:rPr>
          <w:rFonts w:ascii="Book Antiqua" w:hAnsi="Book Antiqua"/>
          <w:lang w:val="es-ES"/>
        </w:rPr>
      </w:pPr>
      <w:r>
        <w:rPr>
          <w:rFonts w:ascii="Book Antiqua" w:hAnsi="Book Antiqua"/>
          <w:lang w:val="es-ES"/>
        </w:rPr>
        <w:t>23 DE JUNIO DE 2026</w:t>
      </w:r>
    </w:p>
    <w:p w14:paraId="303B9E16" w14:textId="77777777" w:rsidR="00621036" w:rsidRDefault="00621036" w:rsidP="00621036">
      <w:pPr>
        <w:jc w:val="center"/>
        <w:rPr>
          <w:rFonts w:ascii="Book Antiqua" w:hAnsi="Book Antiqua"/>
          <w:lang w:val="es-ES"/>
        </w:rPr>
      </w:pPr>
    </w:p>
    <w:p w14:paraId="7A2C8B14" w14:textId="77777777" w:rsidR="00E827F6" w:rsidRPr="002E6814" w:rsidRDefault="00E827F6" w:rsidP="00621036">
      <w:pPr>
        <w:jc w:val="center"/>
        <w:rPr>
          <w:rFonts w:ascii="Book Antiqua" w:hAnsi="Book Antiqua"/>
          <w:lang w:val="es-ES"/>
        </w:rPr>
      </w:pPr>
      <w:r>
        <w:rPr>
          <w:rFonts w:ascii="Book Antiqua" w:hAnsi="Book Antiqua"/>
          <w:lang w:val="es-ES"/>
        </w:rPr>
        <w:t xml:space="preserve">Presentada por los representantes </w:t>
      </w:r>
      <w:r>
        <w:rPr>
          <w:rFonts w:ascii="Book Antiqua" w:hAnsi="Book Antiqua"/>
          <w:i/>
          <w:lang w:val="es-ES"/>
        </w:rPr>
        <w:t xml:space="preserve">Navarro Suárez </w:t>
      </w:r>
      <w:r>
        <w:rPr>
          <w:rFonts w:ascii="Book Antiqua" w:hAnsi="Book Antiqua"/>
          <w:iCs/>
          <w:lang w:val="es-ES"/>
        </w:rPr>
        <w:t>y</w:t>
      </w:r>
      <w:r>
        <w:rPr>
          <w:rFonts w:ascii="Book Antiqua" w:hAnsi="Book Antiqua"/>
          <w:i/>
          <w:lang w:val="es-ES"/>
        </w:rPr>
        <w:t xml:space="preserve"> Jiménez Torres</w:t>
      </w:r>
    </w:p>
    <w:p w14:paraId="19E07D59" w14:textId="77777777" w:rsidR="00621036" w:rsidRDefault="00621036" w:rsidP="00621036">
      <w:pPr>
        <w:jc w:val="center"/>
        <w:rPr>
          <w:rFonts w:ascii="Book Antiqua" w:hAnsi="Book Antiqua"/>
          <w:lang w:val="es-ES"/>
        </w:rPr>
      </w:pPr>
    </w:p>
    <w:p w14:paraId="54357534" w14:textId="77777777" w:rsidR="00E827F6" w:rsidRPr="002E6814" w:rsidRDefault="00E827F6" w:rsidP="00621036">
      <w:pPr>
        <w:jc w:val="center"/>
        <w:rPr>
          <w:rFonts w:ascii="Book Antiqua" w:hAnsi="Book Antiqua"/>
          <w:lang w:val="es-ES"/>
        </w:rPr>
      </w:pPr>
      <w:r>
        <w:rPr>
          <w:rFonts w:ascii="Book Antiqua" w:hAnsi="Book Antiqua"/>
          <w:lang w:val="es-ES"/>
        </w:rPr>
        <w:t>Referida a la Comisión de Asuntos Internos</w:t>
      </w:r>
    </w:p>
    <w:p w14:paraId="21DE3CBC" w14:textId="77777777" w:rsidR="00E827F6" w:rsidRPr="002E6814" w:rsidRDefault="00E827F6" w:rsidP="00621036">
      <w:pPr>
        <w:jc w:val="both"/>
        <w:rPr>
          <w:rFonts w:ascii="Book Antiqua" w:hAnsi="Book Antiqua"/>
          <w:lang w:val="es-ES"/>
        </w:rPr>
      </w:pPr>
    </w:p>
    <w:p w14:paraId="65CCC0E7" w14:textId="77777777" w:rsidR="00E827F6" w:rsidRPr="002E6814" w:rsidRDefault="00E827F6" w:rsidP="00621036">
      <w:pPr>
        <w:jc w:val="center"/>
        <w:rPr>
          <w:rFonts w:ascii="Book Antiqua" w:hAnsi="Book Antiqua"/>
          <w:b/>
          <w:sz w:val="28"/>
          <w:lang w:val="es-ES"/>
        </w:rPr>
      </w:pPr>
      <w:r>
        <w:rPr>
          <w:rFonts w:ascii="Book Antiqua" w:hAnsi="Book Antiqua"/>
          <w:b/>
          <w:sz w:val="28"/>
          <w:lang w:val="es-ES"/>
        </w:rPr>
        <w:t>RESOLUCIÓN</w:t>
      </w:r>
    </w:p>
    <w:p w14:paraId="7B113821" w14:textId="77777777" w:rsidR="00E827F6" w:rsidRPr="002E6814" w:rsidRDefault="00E827F6" w:rsidP="00AB727F">
      <w:pPr>
        <w:jc w:val="both"/>
        <w:rPr>
          <w:rFonts w:ascii="Book Antiqua" w:hAnsi="Book Antiqua"/>
          <w:lang w:val="es-ES"/>
        </w:rPr>
      </w:pPr>
    </w:p>
    <w:p w14:paraId="5EA33E80" w14:textId="77777777" w:rsidR="00C33DDB" w:rsidRDefault="00894AB2" w:rsidP="00621036">
      <w:pPr>
        <w:ind w:left="720" w:hanging="720"/>
        <w:jc w:val="both"/>
        <w:rPr>
          <w:rFonts w:ascii="Book Antiqua" w:hAnsi="Book Antiqua"/>
          <w:lang w:val="es-ES"/>
        </w:rPr>
      </w:pPr>
      <w:r>
        <w:rPr>
          <w:rFonts w:ascii="Book Antiqua" w:hAnsi="Book Antiqua"/>
          <w:lang w:val="es-ES"/>
        </w:rPr>
        <w:t xml:space="preserve">Para ordenar a la Comisión de Recreación y Deportes de la Cámara de Representantes </w:t>
      </w:r>
      <w:r w:rsidRPr="00ED272F">
        <w:rPr>
          <w:rFonts w:ascii="Book Antiqua" w:hAnsi="Book Antiqua"/>
          <w:lang w:val="es-ES"/>
        </w:rPr>
        <w:t>del Gobierno</w:t>
      </w:r>
      <w:r>
        <w:rPr>
          <w:rFonts w:ascii="Book Antiqua" w:hAnsi="Book Antiqua"/>
          <w:lang w:val="es-ES"/>
        </w:rPr>
        <w:t xml:space="preserve"> de Puerto Rico</w:t>
      </w:r>
      <w:r>
        <w:rPr>
          <w:rFonts w:ascii="Book Antiqua" w:hAnsi="Book Antiqua"/>
          <w:strike/>
          <w:lang w:val="es-ES"/>
        </w:rPr>
        <w:t>,</w:t>
      </w:r>
      <w:r w:rsidR="006A5C04">
        <w:rPr>
          <w:rFonts w:ascii="Book Antiqua" w:hAnsi="Book Antiqua"/>
          <w:lang w:val="es-ES"/>
        </w:rPr>
        <w:t xml:space="preserve"> </w:t>
      </w:r>
      <w:r>
        <w:rPr>
          <w:rFonts w:ascii="Book Antiqua" w:hAnsi="Book Antiqua"/>
          <w:lang w:val="es-ES"/>
        </w:rPr>
        <w:t xml:space="preserve">realizar una investigación exhaustiva sobre los procesos de selección, evaluación y designación de los abanderados del Comité Olímpico de Puerto Rico (COPUR); las circunstancias que rodearon la designación y posterior revocación del señor Luis “Tuto” Bermúdez como abanderado de la delegación de Puerto Rico para los Juegos Centroamericanos y del Caribe Santo Domingo 2026; el momento y la forma en que el COPUR advino en conocimiento de los hechos ocurridos en el año 2018 que motivaron dicha revocación; la garantía del debido proceso de ley </w:t>
      </w:r>
      <w:r>
        <w:rPr>
          <w:rFonts w:ascii="Book Antiqua" w:hAnsi="Book Antiqua"/>
          <w:i/>
          <w:iCs/>
          <w:u w:val="single"/>
          <w:lang w:val="es-ES"/>
        </w:rPr>
        <w:t>y la presunción de inocencia en los procedimientos del organismo;</w:t>
      </w:r>
      <w:r>
        <w:rPr>
          <w:rFonts w:ascii="Book Antiqua" w:hAnsi="Book Antiqua"/>
          <w:lang w:val="es-ES"/>
        </w:rPr>
        <w:t xml:space="preserve"> la transparencia institucional en la toma de decisiones; </w:t>
      </w:r>
      <w:r>
        <w:rPr>
          <w:rFonts w:ascii="Book Antiqua" w:hAnsi="Book Antiqua"/>
          <w:strike/>
          <w:lang w:val="es-ES"/>
        </w:rPr>
        <w:t>y</w:t>
      </w:r>
      <w:r>
        <w:rPr>
          <w:rFonts w:ascii="Book Antiqua" w:hAnsi="Book Antiqua"/>
          <w:lang w:val="es-ES"/>
        </w:rPr>
        <w:t xml:space="preserve"> el uso </w:t>
      </w:r>
      <w:r>
        <w:rPr>
          <w:rFonts w:ascii="Book Antiqua" w:hAnsi="Book Antiqua"/>
          <w:i/>
          <w:iCs/>
          <w:u w:val="single"/>
          <w:lang w:val="es-ES"/>
        </w:rPr>
        <w:t>y la fiscalización</w:t>
      </w:r>
      <w:r>
        <w:rPr>
          <w:rFonts w:ascii="Book Antiqua" w:hAnsi="Book Antiqua"/>
          <w:lang w:val="es-ES"/>
        </w:rPr>
        <w:t xml:space="preserve"> de los fondos públicos asignados </w:t>
      </w:r>
      <w:r>
        <w:rPr>
          <w:rFonts w:ascii="Book Antiqua" w:hAnsi="Book Antiqua"/>
          <w:strike/>
          <w:lang w:val="es-ES"/>
        </w:rPr>
        <w:t>al organismo.</w:t>
      </w:r>
      <w:r>
        <w:rPr>
          <w:rFonts w:ascii="Book Antiqua" w:hAnsi="Book Antiqua"/>
          <w:lang w:val="es-ES"/>
        </w:rPr>
        <w:t xml:space="preserve"> </w:t>
      </w:r>
      <w:r>
        <w:rPr>
          <w:rFonts w:ascii="Book Antiqua" w:hAnsi="Book Antiqua"/>
          <w:i/>
          <w:iCs/>
          <w:u w:val="single"/>
          <w:lang w:val="es-ES"/>
        </w:rPr>
        <w:t>al COPUR; y para otros fines relacionados.</w:t>
      </w:r>
    </w:p>
    <w:p w14:paraId="37A19FB9" w14:textId="77777777" w:rsidR="00C33DDB" w:rsidRDefault="00C33DDB" w:rsidP="00621036">
      <w:pPr>
        <w:ind w:left="720" w:hanging="720"/>
        <w:jc w:val="both"/>
        <w:rPr>
          <w:rFonts w:ascii="Book Antiqua" w:hAnsi="Book Antiqua"/>
          <w:bCs/>
          <w:lang w:val="es-ES"/>
        </w:rPr>
      </w:pPr>
    </w:p>
    <w:p w14:paraId="4E795346" w14:textId="77777777" w:rsidR="00C33DDB" w:rsidRDefault="00894AB2">
      <w:pPr>
        <w:ind w:left="360" w:hanging="360"/>
        <w:jc w:val="center"/>
        <w:rPr>
          <w:rFonts w:ascii="Book Antiqua" w:hAnsi="Book Antiqua"/>
          <w:lang w:val="es-ES"/>
        </w:rPr>
      </w:pPr>
      <w:r>
        <w:rPr>
          <w:rFonts w:ascii="Book Antiqua" w:hAnsi="Book Antiqua"/>
          <w:lang w:val="es-ES"/>
        </w:rPr>
        <w:t>EXPOSICIÓN DE MOTIVOS</w:t>
      </w:r>
    </w:p>
    <w:p w14:paraId="1F7C80D2" w14:textId="77777777" w:rsidR="00C33DDB" w:rsidRDefault="00C33DDB">
      <w:pPr>
        <w:ind w:firstLine="720"/>
        <w:jc w:val="both"/>
        <w:rPr>
          <w:rFonts w:ascii="Book Antiqua" w:hAnsi="Book Antiqua"/>
          <w:bCs/>
          <w:lang w:val="es-ES"/>
        </w:rPr>
      </w:pPr>
    </w:p>
    <w:p w14:paraId="0666AA58" w14:textId="77777777" w:rsidR="00C33DDB" w:rsidRDefault="00894AB2">
      <w:pPr>
        <w:ind w:firstLine="720"/>
        <w:jc w:val="both"/>
        <w:rPr>
          <w:rFonts w:ascii="Book Antiqua" w:hAnsi="Book Antiqua"/>
          <w:bCs/>
          <w:lang w:val="es-ES"/>
        </w:rPr>
      </w:pPr>
      <w:r>
        <w:rPr>
          <w:rFonts w:ascii="Book Antiqua" w:hAnsi="Book Antiqua"/>
          <w:bCs/>
          <w:lang w:val="es-ES"/>
        </w:rPr>
        <w:t xml:space="preserve">El Comité Olímpico de Puerto Rico (COPUR) es la entidad responsable de representar a Puerto Rico ante el Comité Olímpico Internacional y de </w:t>
      </w:r>
      <w:r>
        <w:rPr>
          <w:rFonts w:ascii="Book Antiqua" w:hAnsi="Book Antiqua"/>
          <w:bCs/>
          <w:strike/>
          <w:lang w:val="es-ES"/>
        </w:rPr>
        <w:t>encabezar</w:t>
      </w:r>
      <w:r>
        <w:rPr>
          <w:rFonts w:ascii="Book Antiqua" w:hAnsi="Book Antiqua"/>
          <w:bCs/>
          <w:lang w:val="es-ES"/>
        </w:rPr>
        <w:t xml:space="preserve"> </w:t>
      </w:r>
      <w:r>
        <w:rPr>
          <w:rFonts w:ascii="Book Antiqua" w:hAnsi="Book Antiqua"/>
          <w:bCs/>
          <w:i/>
          <w:iCs/>
          <w:u w:val="single"/>
          <w:lang w:val="es-ES"/>
        </w:rPr>
        <w:t>dirigir</w:t>
      </w:r>
      <w:r>
        <w:rPr>
          <w:rFonts w:ascii="Book Antiqua" w:hAnsi="Book Antiqua"/>
          <w:bCs/>
          <w:lang w:val="es-ES"/>
        </w:rPr>
        <w:t xml:space="preserve"> la participación de nuestros atletas en las justas </w:t>
      </w:r>
      <w:r w:rsidRPr="00846DBD">
        <w:rPr>
          <w:rFonts w:ascii="Book Antiqua" w:hAnsi="Book Antiqua"/>
          <w:bCs/>
          <w:lang w:val="es-ES"/>
        </w:rPr>
        <w:t>regionales, continentales y mundiales</w:t>
      </w:r>
      <w:r>
        <w:rPr>
          <w:rFonts w:ascii="Book Antiqua" w:hAnsi="Book Antiqua"/>
          <w:bCs/>
          <w:i/>
          <w:iCs/>
          <w:u w:val="single"/>
          <w:lang w:val="es-ES"/>
        </w:rPr>
        <w:t>.</w:t>
      </w:r>
      <w:r>
        <w:rPr>
          <w:rFonts w:ascii="Book Antiqua" w:hAnsi="Book Antiqua"/>
          <w:bCs/>
          <w:lang w:val="es-ES"/>
        </w:rPr>
        <w:t xml:space="preserve"> La </w:t>
      </w:r>
      <w:r>
        <w:rPr>
          <w:rFonts w:ascii="Book Antiqua" w:hAnsi="Book Antiqua"/>
          <w:bCs/>
          <w:strike/>
          <w:lang w:val="es-ES"/>
        </w:rPr>
        <w:t>figura del</w:t>
      </w:r>
      <w:r>
        <w:rPr>
          <w:rFonts w:ascii="Book Antiqua" w:hAnsi="Book Antiqua"/>
          <w:bCs/>
          <w:lang w:val="es-ES"/>
        </w:rPr>
        <w:t xml:space="preserve"> </w:t>
      </w:r>
      <w:r>
        <w:rPr>
          <w:rFonts w:ascii="Book Antiqua" w:hAnsi="Book Antiqua"/>
          <w:bCs/>
          <w:i/>
          <w:iCs/>
          <w:u w:val="single"/>
          <w:lang w:val="es-ES"/>
        </w:rPr>
        <w:t>designación como</w:t>
      </w:r>
      <w:r>
        <w:rPr>
          <w:rFonts w:ascii="Book Antiqua" w:hAnsi="Book Antiqua"/>
          <w:bCs/>
          <w:lang w:val="es-ES"/>
        </w:rPr>
        <w:t xml:space="preserve"> abanderado constituye uno de los más altos honores que puede recibir un atleta, pues simboliza los valores del olimpismo y la representación digna de todo un pueblo ante la comunidad internacional.</w:t>
      </w:r>
    </w:p>
    <w:p w14:paraId="2BA1B255" w14:textId="77777777" w:rsidR="00C33DDB" w:rsidRDefault="00C33DDB">
      <w:pPr>
        <w:ind w:firstLine="720"/>
        <w:jc w:val="both"/>
        <w:rPr>
          <w:rFonts w:ascii="Book Antiqua" w:hAnsi="Book Antiqua"/>
          <w:bCs/>
          <w:lang w:val="es-ES"/>
        </w:rPr>
      </w:pPr>
    </w:p>
    <w:p w14:paraId="754341D7" w14:textId="77777777" w:rsidR="00C33DDB" w:rsidRDefault="00894AB2">
      <w:pPr>
        <w:ind w:firstLine="720"/>
        <w:jc w:val="both"/>
        <w:rPr>
          <w:rFonts w:ascii="Book Antiqua" w:hAnsi="Book Antiqua"/>
          <w:bCs/>
          <w:lang w:val="es-ES"/>
        </w:rPr>
      </w:pPr>
      <w:r>
        <w:rPr>
          <w:rFonts w:ascii="Book Antiqua" w:hAnsi="Book Antiqua"/>
          <w:bCs/>
          <w:lang w:val="es-ES"/>
        </w:rPr>
        <w:t xml:space="preserve">El </w:t>
      </w:r>
      <w:r>
        <w:rPr>
          <w:rFonts w:ascii="Book Antiqua" w:hAnsi="Book Antiqua"/>
          <w:bCs/>
          <w:strike/>
          <w:lang w:val="es-ES"/>
        </w:rPr>
        <w:t>pasado</w:t>
      </w:r>
      <w:r>
        <w:rPr>
          <w:rFonts w:ascii="Book Antiqua" w:hAnsi="Book Antiqua"/>
          <w:bCs/>
          <w:lang w:val="es-ES"/>
        </w:rPr>
        <w:t xml:space="preserve"> 17 de junio de 2026, el Pleno del COPUR seleccionó, mediante votación, a la judoca Nathalys Ceballos y al atleta Luis “Tuto” Bermúdez como </w:t>
      </w:r>
      <w:r>
        <w:rPr>
          <w:rFonts w:ascii="Book Antiqua" w:hAnsi="Book Antiqua"/>
          <w:bCs/>
          <w:lang w:val="es-ES"/>
        </w:rPr>
        <w:lastRenderedPageBreak/>
        <w:t xml:space="preserve">abanderados de la delegación puertorriqueña para los Juegos Centroamericanos y del Caribe Santo Domingo 2026. No obstante, apenas </w:t>
      </w:r>
      <w:r>
        <w:rPr>
          <w:rFonts w:ascii="Book Antiqua" w:hAnsi="Book Antiqua"/>
          <w:bCs/>
          <w:strike/>
          <w:lang w:val="es-ES"/>
        </w:rPr>
        <w:t>días después,</w:t>
      </w:r>
      <w:r>
        <w:rPr>
          <w:rFonts w:ascii="Book Antiqua" w:hAnsi="Book Antiqua"/>
          <w:bCs/>
          <w:lang w:val="es-ES"/>
        </w:rPr>
        <w:t xml:space="preserve"> </w:t>
      </w:r>
      <w:r>
        <w:rPr>
          <w:rFonts w:ascii="Book Antiqua" w:hAnsi="Book Antiqua"/>
          <w:bCs/>
          <w:i/>
          <w:iCs/>
          <w:u w:val="single"/>
          <w:lang w:val="es-ES"/>
        </w:rPr>
        <w:t>cinco días más tarde,</w:t>
      </w:r>
      <w:r>
        <w:rPr>
          <w:rFonts w:ascii="Book Antiqua" w:hAnsi="Book Antiqua"/>
          <w:bCs/>
          <w:lang w:val="es-ES"/>
        </w:rPr>
        <w:t xml:space="preserve"> el 22 de junio de 2026, el Comité Ejecutivo del COPUR dejó sin efecto, mediante </w:t>
      </w:r>
      <w:r w:rsidRPr="00846DBD">
        <w:rPr>
          <w:rFonts w:ascii="Book Antiqua" w:hAnsi="Book Antiqua"/>
          <w:bCs/>
          <w:strike/>
          <w:lang w:val="es-ES"/>
        </w:rPr>
        <w:t>resolución</w:t>
      </w:r>
      <w:r>
        <w:rPr>
          <w:rFonts w:ascii="Book Antiqua" w:hAnsi="Book Antiqua"/>
          <w:bCs/>
          <w:lang w:val="es-ES"/>
        </w:rPr>
        <w:t xml:space="preserve"> </w:t>
      </w:r>
      <w:proofErr w:type="spellStart"/>
      <w:r w:rsidR="00846DBD">
        <w:rPr>
          <w:rFonts w:ascii="Book Antiqua" w:hAnsi="Book Antiqua"/>
          <w:bCs/>
          <w:i/>
          <w:u w:val="single"/>
          <w:lang w:val="es-ES"/>
        </w:rPr>
        <w:t>Resolución</w:t>
      </w:r>
      <w:proofErr w:type="spellEnd"/>
      <w:r w:rsidR="00846DBD" w:rsidRPr="00846DBD">
        <w:rPr>
          <w:rFonts w:ascii="Book Antiqua" w:hAnsi="Book Antiqua"/>
          <w:bCs/>
          <w:i/>
          <w:lang w:val="es-ES"/>
        </w:rPr>
        <w:t xml:space="preserve"> </w:t>
      </w:r>
      <w:r>
        <w:rPr>
          <w:rFonts w:ascii="Book Antiqua" w:hAnsi="Book Antiqua"/>
          <w:bCs/>
          <w:lang w:val="es-ES"/>
        </w:rPr>
        <w:t>oficial, la designación del señor Bermúdez</w:t>
      </w:r>
      <w:r>
        <w:rPr>
          <w:rFonts w:ascii="Book Antiqua" w:hAnsi="Book Antiqua"/>
          <w:bCs/>
          <w:strike/>
          <w:lang w:val="es-ES"/>
        </w:rPr>
        <w:t>, y</w:t>
      </w:r>
      <w:r>
        <w:rPr>
          <w:rFonts w:ascii="Book Antiqua" w:hAnsi="Book Antiqua"/>
          <w:bCs/>
          <w:lang w:val="es-ES"/>
        </w:rPr>
        <w:t xml:space="preserve"> </w:t>
      </w:r>
      <w:r w:rsidRPr="00846DBD">
        <w:rPr>
          <w:rFonts w:ascii="Book Antiqua" w:hAnsi="Book Antiqua"/>
          <w:bCs/>
          <w:strike/>
          <w:lang w:val="es-ES"/>
        </w:rPr>
        <w:t>confirmó</w:t>
      </w:r>
      <w:r>
        <w:rPr>
          <w:rFonts w:ascii="Book Antiqua" w:hAnsi="Book Antiqua"/>
          <w:bCs/>
          <w:lang w:val="es-ES"/>
        </w:rPr>
        <w:t xml:space="preserve"> </w:t>
      </w:r>
      <w:r w:rsidR="00846DBD">
        <w:rPr>
          <w:rFonts w:ascii="Book Antiqua" w:hAnsi="Book Antiqua"/>
          <w:bCs/>
          <w:i/>
          <w:u w:val="single"/>
          <w:lang w:val="es-ES"/>
        </w:rPr>
        <w:t>confirmando a su vez</w:t>
      </w:r>
      <w:r w:rsidR="00846DBD">
        <w:rPr>
          <w:rFonts w:ascii="Book Antiqua" w:hAnsi="Book Antiqua"/>
          <w:bCs/>
          <w:lang w:val="es-ES"/>
        </w:rPr>
        <w:t xml:space="preserve"> </w:t>
      </w:r>
      <w:r>
        <w:rPr>
          <w:rFonts w:ascii="Book Antiqua" w:hAnsi="Book Antiqua"/>
          <w:bCs/>
          <w:lang w:val="es-ES"/>
        </w:rPr>
        <w:t xml:space="preserve">que no </w:t>
      </w:r>
      <w:r>
        <w:rPr>
          <w:rFonts w:ascii="Book Antiqua" w:hAnsi="Book Antiqua"/>
          <w:bCs/>
          <w:strike/>
          <w:lang w:val="es-ES"/>
        </w:rPr>
        <w:t>nombraría</w:t>
      </w:r>
      <w:r>
        <w:rPr>
          <w:rFonts w:ascii="Book Antiqua" w:hAnsi="Book Antiqua"/>
          <w:bCs/>
          <w:lang w:val="es-ES"/>
        </w:rPr>
        <w:t xml:space="preserve"> </w:t>
      </w:r>
      <w:r>
        <w:rPr>
          <w:rFonts w:ascii="Book Antiqua" w:hAnsi="Book Antiqua"/>
          <w:bCs/>
          <w:i/>
          <w:iCs/>
          <w:u w:val="single"/>
          <w:lang w:val="es-ES"/>
        </w:rPr>
        <w:t>designaría</w:t>
      </w:r>
      <w:r>
        <w:rPr>
          <w:rFonts w:ascii="Book Antiqua" w:hAnsi="Book Antiqua"/>
          <w:bCs/>
          <w:lang w:val="es-ES"/>
        </w:rPr>
        <w:t xml:space="preserve"> un sustituto, por lo que la señora Ceballos fungirá como única portadora de la </w:t>
      </w:r>
      <w:r w:rsidRPr="00846DBD">
        <w:rPr>
          <w:rFonts w:ascii="Book Antiqua" w:hAnsi="Book Antiqua"/>
          <w:bCs/>
          <w:lang w:val="es-ES"/>
        </w:rPr>
        <w:t>Monoestrellada.</w:t>
      </w:r>
      <w:r>
        <w:rPr>
          <w:rFonts w:ascii="Book Antiqua" w:hAnsi="Book Antiqua"/>
          <w:bCs/>
          <w:lang w:val="es-ES"/>
        </w:rPr>
        <w:t xml:space="preserve"> </w:t>
      </w:r>
    </w:p>
    <w:p w14:paraId="3041C294" w14:textId="77777777" w:rsidR="00C33DDB" w:rsidRDefault="00C33DDB">
      <w:pPr>
        <w:ind w:firstLine="720"/>
        <w:jc w:val="both"/>
        <w:rPr>
          <w:rFonts w:ascii="Book Antiqua" w:hAnsi="Book Antiqua"/>
          <w:bCs/>
          <w:lang w:val="es-ES"/>
        </w:rPr>
      </w:pPr>
    </w:p>
    <w:p w14:paraId="65D269C7" w14:textId="77777777" w:rsidR="00C33DDB" w:rsidRDefault="00894AB2">
      <w:pPr>
        <w:ind w:firstLine="720"/>
        <w:jc w:val="both"/>
        <w:rPr>
          <w:rFonts w:ascii="Book Antiqua" w:hAnsi="Book Antiqua"/>
          <w:bCs/>
          <w:lang w:val="es-ES"/>
        </w:rPr>
      </w:pPr>
      <w:r>
        <w:rPr>
          <w:rFonts w:ascii="Book Antiqua" w:hAnsi="Book Antiqua"/>
          <w:bCs/>
          <w:lang w:val="es-ES"/>
        </w:rPr>
        <w:t xml:space="preserve">Según informó el propio organismo, la determinación de revocar </w:t>
      </w:r>
      <w:r>
        <w:rPr>
          <w:rFonts w:ascii="Book Antiqua" w:hAnsi="Book Antiqua"/>
          <w:bCs/>
          <w:strike/>
          <w:lang w:val="es-ES"/>
        </w:rPr>
        <w:t>el nombramiento</w:t>
      </w:r>
      <w:r>
        <w:rPr>
          <w:rFonts w:ascii="Book Antiqua" w:hAnsi="Book Antiqua"/>
          <w:bCs/>
          <w:lang w:val="es-ES"/>
        </w:rPr>
        <w:t xml:space="preserve"> </w:t>
      </w:r>
      <w:r>
        <w:rPr>
          <w:rFonts w:ascii="Book Antiqua" w:hAnsi="Book Antiqua"/>
          <w:bCs/>
          <w:i/>
          <w:iCs/>
          <w:u w:val="single"/>
          <w:lang w:val="es-ES"/>
        </w:rPr>
        <w:t>la designación</w:t>
      </w:r>
      <w:r>
        <w:rPr>
          <w:rFonts w:ascii="Book Antiqua" w:hAnsi="Book Antiqua"/>
          <w:bCs/>
          <w:lang w:val="es-ES"/>
        </w:rPr>
        <w:t xml:space="preserve"> respondió a información relacionada con hechos ocurridos en el año 2018 que, a juicio de la entidad deportiva, podrían no ser compatibles con los principios establecidos en la Constitución del COPUR </w:t>
      </w:r>
      <w:r>
        <w:rPr>
          <w:rFonts w:ascii="Book Antiqua" w:hAnsi="Book Antiqua"/>
          <w:bCs/>
          <w:strike/>
          <w:lang w:val="es-ES"/>
        </w:rPr>
        <w:t>y</w:t>
      </w:r>
      <w:r>
        <w:rPr>
          <w:rFonts w:ascii="Book Antiqua" w:hAnsi="Book Antiqua"/>
          <w:bCs/>
          <w:lang w:val="es-ES"/>
        </w:rPr>
        <w:t xml:space="preserve"> </w:t>
      </w:r>
      <w:r>
        <w:rPr>
          <w:rFonts w:ascii="Book Antiqua" w:hAnsi="Book Antiqua"/>
          <w:bCs/>
          <w:i/>
          <w:iCs/>
          <w:u w:val="single"/>
          <w:lang w:val="es-ES"/>
        </w:rPr>
        <w:t>ni</w:t>
      </w:r>
      <w:r>
        <w:rPr>
          <w:rFonts w:ascii="Book Antiqua" w:hAnsi="Book Antiqua"/>
          <w:bCs/>
          <w:lang w:val="es-ES"/>
        </w:rPr>
        <w:t xml:space="preserve"> con los valores que representa el rol de abanderado dentro del movimiento olímpico. El COPUR aclaró, sin embargo, que su decisión no </w:t>
      </w:r>
      <w:r w:rsidRPr="00846DBD">
        <w:rPr>
          <w:rFonts w:ascii="Book Antiqua" w:hAnsi="Book Antiqua"/>
          <w:bCs/>
          <w:strike/>
          <w:lang w:val="es-ES"/>
        </w:rPr>
        <w:t>constituye</w:t>
      </w:r>
      <w:r>
        <w:rPr>
          <w:rFonts w:ascii="Book Antiqua" w:hAnsi="Book Antiqua"/>
          <w:bCs/>
          <w:lang w:val="es-ES"/>
        </w:rPr>
        <w:t xml:space="preserve"> </w:t>
      </w:r>
      <w:r w:rsidR="00846DBD">
        <w:rPr>
          <w:rFonts w:ascii="Book Antiqua" w:hAnsi="Book Antiqua"/>
          <w:bCs/>
          <w:i/>
          <w:u w:val="single"/>
          <w:lang w:val="es-ES"/>
        </w:rPr>
        <w:t>constituía</w:t>
      </w:r>
      <w:r w:rsidR="00846DBD">
        <w:rPr>
          <w:rFonts w:ascii="Book Antiqua" w:hAnsi="Book Antiqua"/>
          <w:bCs/>
          <w:lang w:val="es-ES"/>
        </w:rPr>
        <w:t xml:space="preserve"> </w:t>
      </w:r>
      <w:r>
        <w:rPr>
          <w:rFonts w:ascii="Book Antiqua" w:hAnsi="Book Antiqua"/>
          <w:bCs/>
          <w:lang w:val="es-ES"/>
        </w:rPr>
        <w:t xml:space="preserve">juicio alguno sobre la </w:t>
      </w:r>
      <w:r>
        <w:rPr>
          <w:rFonts w:ascii="Book Antiqua" w:hAnsi="Book Antiqua"/>
          <w:bCs/>
          <w:strike/>
          <w:lang w:val="es-ES"/>
        </w:rPr>
        <w:t>posible</w:t>
      </w:r>
      <w:r>
        <w:rPr>
          <w:rFonts w:ascii="Book Antiqua" w:hAnsi="Book Antiqua"/>
          <w:bCs/>
          <w:lang w:val="es-ES"/>
        </w:rPr>
        <w:t xml:space="preserve"> veracidad de las alegaciones, por no corresponderle a </w:t>
      </w:r>
      <w:r>
        <w:rPr>
          <w:rFonts w:ascii="Book Antiqua" w:hAnsi="Book Antiqua"/>
          <w:bCs/>
          <w:strike/>
          <w:lang w:val="es-ES"/>
        </w:rPr>
        <w:t>esa</w:t>
      </w:r>
      <w:r>
        <w:rPr>
          <w:rFonts w:ascii="Book Antiqua" w:hAnsi="Book Antiqua"/>
          <w:bCs/>
          <w:lang w:val="es-ES"/>
        </w:rPr>
        <w:t xml:space="preserve"> </w:t>
      </w:r>
      <w:r>
        <w:rPr>
          <w:rFonts w:ascii="Book Antiqua" w:hAnsi="Book Antiqua"/>
          <w:bCs/>
          <w:i/>
          <w:iCs/>
          <w:u w:val="single"/>
          <w:lang w:val="es-ES"/>
        </w:rPr>
        <w:t>dicha</w:t>
      </w:r>
      <w:r>
        <w:rPr>
          <w:rFonts w:ascii="Book Antiqua" w:hAnsi="Book Antiqua"/>
          <w:bCs/>
          <w:lang w:val="es-ES"/>
        </w:rPr>
        <w:t xml:space="preserve"> institución dirimir tal controversia.</w:t>
      </w:r>
    </w:p>
    <w:p w14:paraId="5430D21B" w14:textId="77777777" w:rsidR="00C33DDB" w:rsidRDefault="00C33DDB">
      <w:pPr>
        <w:ind w:firstLine="720"/>
        <w:jc w:val="both"/>
        <w:rPr>
          <w:rFonts w:ascii="Book Antiqua" w:hAnsi="Book Antiqua"/>
          <w:bCs/>
          <w:lang w:val="es-ES"/>
        </w:rPr>
      </w:pPr>
    </w:p>
    <w:p w14:paraId="6FF93557" w14:textId="77777777" w:rsidR="00C33DDB" w:rsidRDefault="00894AB2">
      <w:pPr>
        <w:ind w:firstLine="720"/>
        <w:jc w:val="both"/>
        <w:rPr>
          <w:rFonts w:ascii="Book Antiqua" w:hAnsi="Book Antiqua"/>
          <w:bCs/>
          <w:lang w:val="es-ES"/>
        </w:rPr>
      </w:pPr>
      <w:r>
        <w:rPr>
          <w:rFonts w:ascii="Book Antiqua" w:hAnsi="Book Antiqua"/>
          <w:bCs/>
          <w:lang w:val="es-ES"/>
        </w:rPr>
        <w:t xml:space="preserve">De acuerdo con la información divulgada por los medios noticiosos </w:t>
      </w:r>
      <w:r>
        <w:rPr>
          <w:rFonts w:ascii="Book Antiqua" w:hAnsi="Book Antiqua"/>
          <w:bCs/>
          <w:strike/>
          <w:lang w:val="es-ES"/>
        </w:rPr>
        <w:t>del País</w:t>
      </w:r>
      <w:r>
        <w:rPr>
          <w:rFonts w:ascii="Book Antiqua" w:hAnsi="Book Antiqua"/>
          <w:bCs/>
          <w:lang w:val="es-ES"/>
        </w:rPr>
        <w:t xml:space="preserve"> </w:t>
      </w:r>
      <w:r>
        <w:rPr>
          <w:rFonts w:ascii="Book Antiqua" w:hAnsi="Book Antiqua"/>
          <w:bCs/>
          <w:i/>
          <w:iCs/>
          <w:u w:val="single"/>
          <w:lang w:val="es-ES"/>
        </w:rPr>
        <w:t>de Puerto Rico</w:t>
      </w:r>
      <w:r>
        <w:rPr>
          <w:rFonts w:ascii="Book Antiqua" w:hAnsi="Book Antiqua"/>
          <w:bCs/>
          <w:lang w:val="es-ES"/>
        </w:rPr>
        <w:t xml:space="preserve"> a partir de documentos oficiales, los hechos del año 2018 se relacionan con una solicitud de orden de protección presentada por una mujer que alegó haber sido objeto de actos lascivos y de privación de su libertad. Según se ha reseñado, el 10 de diciembre de 2018 un tribunal de San Juan expidió una orden de protección ex parte y, posteriormente, el asunto fue atendido ante el Tribunal de Apelaciones. Dichas alegaciones no fueron adjudicadas en sus méritos. Por su parte, el señor Bermúdez ha rechazado públicamente la decisión del COPUR</w:t>
      </w:r>
      <w:r>
        <w:rPr>
          <w:rFonts w:ascii="Book Antiqua" w:hAnsi="Book Antiqua"/>
          <w:bCs/>
          <w:strike/>
          <w:lang w:val="es-ES"/>
        </w:rPr>
        <w:t>, manifestándose “herido y profundamente indignado” y sosteniendo</w:t>
      </w:r>
      <w:r>
        <w:rPr>
          <w:rFonts w:ascii="Book Antiqua" w:hAnsi="Book Antiqua"/>
          <w:bCs/>
          <w:lang w:val="es-ES"/>
        </w:rPr>
        <w:t xml:space="preserve"> </w:t>
      </w:r>
      <w:r>
        <w:rPr>
          <w:rFonts w:ascii="Book Antiqua" w:hAnsi="Book Antiqua"/>
          <w:bCs/>
          <w:i/>
          <w:iCs/>
          <w:u w:val="single"/>
          <w:lang w:val="es-ES"/>
        </w:rPr>
        <w:t>y ha sostenido</w:t>
      </w:r>
      <w:r>
        <w:rPr>
          <w:rFonts w:ascii="Book Antiqua" w:hAnsi="Book Antiqua"/>
          <w:bCs/>
          <w:lang w:val="es-ES"/>
        </w:rPr>
        <w:t xml:space="preserve"> que la institución conocía de la situación desde los años 2018 y 2019.</w:t>
      </w:r>
    </w:p>
    <w:p w14:paraId="46803B26" w14:textId="77777777" w:rsidR="00C33DDB" w:rsidRDefault="00C33DDB">
      <w:pPr>
        <w:ind w:firstLine="720"/>
        <w:jc w:val="both"/>
        <w:rPr>
          <w:rFonts w:ascii="Book Antiqua" w:hAnsi="Book Antiqua"/>
          <w:bCs/>
          <w:lang w:val="es-ES"/>
        </w:rPr>
      </w:pPr>
    </w:p>
    <w:p w14:paraId="4069F40D" w14:textId="77777777" w:rsidR="00C33DDB" w:rsidRDefault="00894AB2">
      <w:pPr>
        <w:ind w:firstLine="720"/>
        <w:jc w:val="both"/>
        <w:rPr>
          <w:rFonts w:ascii="Book Antiqua" w:hAnsi="Book Antiqua"/>
          <w:bCs/>
          <w:lang w:val="es-ES"/>
        </w:rPr>
      </w:pPr>
      <w:r>
        <w:rPr>
          <w:rFonts w:ascii="Book Antiqua" w:hAnsi="Book Antiqua"/>
          <w:bCs/>
          <w:lang w:val="es-ES"/>
        </w:rPr>
        <w:t xml:space="preserve">La secuencia de estos acontecimientos plantea interrogantes legítimas de política pública que ameritan la atención de esta Asamblea Legislativa. En primer lugar, no resulta claro qué normas, criterios y mecanismos de cotejo de antecedentes utiliza el COPUR para seleccionar y designar a sus abanderados, ni por qué dichos mecanismos no detectaron oportunamente la información que más tarde motivó la revocación. La designación y su abrupta revocación, en el término de apenas cinco días, sugieren la posible ausencia de un proceso de evaluación uniforme, previsible y </w:t>
      </w:r>
      <w:r w:rsidRPr="00222C83">
        <w:rPr>
          <w:rFonts w:ascii="Book Antiqua" w:hAnsi="Book Antiqua"/>
          <w:bCs/>
          <w:lang w:val="es-ES"/>
        </w:rPr>
        <w:t>conforme al</w:t>
      </w:r>
      <w:r>
        <w:rPr>
          <w:rFonts w:ascii="Book Antiqua" w:hAnsi="Book Antiqua"/>
          <w:bCs/>
          <w:lang w:val="es-ES"/>
        </w:rPr>
        <w:t xml:space="preserve"> debido proceso de ley.</w:t>
      </w:r>
    </w:p>
    <w:p w14:paraId="3BC468FF" w14:textId="77777777" w:rsidR="00C33DDB" w:rsidRDefault="00C33DDB">
      <w:pPr>
        <w:ind w:firstLine="720"/>
        <w:jc w:val="both"/>
        <w:rPr>
          <w:rFonts w:ascii="Book Antiqua" w:hAnsi="Book Antiqua"/>
          <w:bCs/>
          <w:lang w:val="es-ES"/>
        </w:rPr>
      </w:pPr>
    </w:p>
    <w:p w14:paraId="78FCC30B" w14:textId="77777777" w:rsidR="00C33DDB" w:rsidRDefault="00894AB2">
      <w:pPr>
        <w:ind w:firstLine="720"/>
        <w:jc w:val="both"/>
        <w:rPr>
          <w:rFonts w:ascii="Book Antiqua" w:hAnsi="Book Antiqua"/>
          <w:bCs/>
          <w:lang w:val="es-ES"/>
        </w:rPr>
      </w:pPr>
      <w:r>
        <w:rPr>
          <w:rFonts w:ascii="Book Antiqua" w:hAnsi="Book Antiqua"/>
          <w:bCs/>
          <w:lang w:val="es-ES"/>
        </w:rPr>
        <w:t xml:space="preserve">En segundo lugar, surge la interrogante de cuándo y cómo advino el COPUR en conocimiento de los hechos del año 2018, particularmente ante el señalamiento público de que la institución pudo haberlos conocido con anterioridad a la designación. La transparencia en la toma de decisiones de un organismo que representa a Puerto Rico en el ámbito internacional, y que recibe y administra fondos públicos, constituye un asunto de </w:t>
      </w:r>
      <w:r>
        <w:rPr>
          <w:rFonts w:ascii="Book Antiqua" w:hAnsi="Book Antiqua"/>
          <w:bCs/>
          <w:strike/>
          <w:lang w:val="es-ES"/>
        </w:rPr>
        <w:t>claro</w:t>
      </w:r>
      <w:r>
        <w:rPr>
          <w:rFonts w:ascii="Book Antiqua" w:hAnsi="Book Antiqua"/>
          <w:bCs/>
          <w:lang w:val="es-ES"/>
        </w:rPr>
        <w:t xml:space="preserve"> interés </w:t>
      </w:r>
      <w:r>
        <w:rPr>
          <w:rFonts w:ascii="Book Antiqua" w:hAnsi="Book Antiqua"/>
          <w:bCs/>
          <w:strike/>
          <w:lang w:val="es-ES"/>
        </w:rPr>
        <w:t>apremiante para el País.</w:t>
      </w:r>
      <w:r>
        <w:rPr>
          <w:rFonts w:ascii="Book Antiqua" w:hAnsi="Book Antiqua"/>
          <w:bCs/>
          <w:lang w:val="es-ES"/>
        </w:rPr>
        <w:t xml:space="preserve"> </w:t>
      </w:r>
      <w:r>
        <w:rPr>
          <w:rFonts w:ascii="Book Antiqua" w:hAnsi="Book Antiqua"/>
          <w:bCs/>
          <w:i/>
          <w:iCs/>
          <w:u w:val="single"/>
          <w:lang w:val="es-ES"/>
        </w:rPr>
        <w:t>público para Puerto Rico.</w:t>
      </w:r>
    </w:p>
    <w:p w14:paraId="13D376FB" w14:textId="77777777" w:rsidR="00C33DDB" w:rsidRDefault="00C33DDB">
      <w:pPr>
        <w:ind w:firstLine="720"/>
        <w:jc w:val="both"/>
        <w:rPr>
          <w:rFonts w:ascii="Book Antiqua" w:hAnsi="Book Antiqua"/>
          <w:bCs/>
          <w:lang w:val="es-ES"/>
        </w:rPr>
      </w:pPr>
    </w:p>
    <w:p w14:paraId="328849EF" w14:textId="77777777" w:rsidR="00C33DDB" w:rsidRDefault="00894AB2">
      <w:pPr>
        <w:ind w:firstLine="720"/>
        <w:jc w:val="both"/>
        <w:rPr>
          <w:rFonts w:ascii="Book Antiqua" w:hAnsi="Book Antiqua"/>
          <w:bCs/>
          <w:lang w:val="es-ES"/>
        </w:rPr>
      </w:pPr>
      <w:r>
        <w:rPr>
          <w:rFonts w:ascii="Book Antiqua" w:hAnsi="Book Antiqua"/>
          <w:bCs/>
          <w:lang w:val="es-ES"/>
        </w:rPr>
        <w:lastRenderedPageBreak/>
        <w:t>En tercer lugar, este episodio coloca en tensión dos principios igualmente importantes: por un lado, la firme política pública del Gobierno de Puerto Rico contra la violencia de género y el compromiso de que quienes representen a la Isla encarnen sus más altos valores; y, por otro, la garantía del debido proceso de ley y la presunción de inocencia que asisten a toda persona. Corresponde examinar de qué manera el COPUR concilia ambos principios y si cuenta con protocolos claros, justos y uniformes para atender este tipo de situaciones.</w:t>
      </w:r>
    </w:p>
    <w:p w14:paraId="31892BFE" w14:textId="77777777" w:rsidR="00C33DDB" w:rsidRDefault="00C33DDB">
      <w:pPr>
        <w:ind w:firstLine="720"/>
        <w:jc w:val="both"/>
        <w:rPr>
          <w:rFonts w:ascii="Book Antiqua" w:hAnsi="Book Antiqua"/>
          <w:bCs/>
          <w:lang w:val="es-ES"/>
        </w:rPr>
      </w:pPr>
    </w:p>
    <w:p w14:paraId="766984C3" w14:textId="77777777" w:rsidR="00621036" w:rsidRDefault="00894AB2" w:rsidP="00621036">
      <w:pPr>
        <w:ind w:firstLine="720"/>
        <w:jc w:val="both"/>
        <w:rPr>
          <w:rFonts w:ascii="Book Antiqua" w:hAnsi="Book Antiqua"/>
          <w:bCs/>
          <w:lang w:val="es-ES"/>
        </w:rPr>
      </w:pPr>
      <w:r>
        <w:rPr>
          <w:rFonts w:ascii="Book Antiqua" w:hAnsi="Book Antiqua"/>
          <w:bCs/>
          <w:lang w:val="es-ES"/>
        </w:rPr>
        <w:t xml:space="preserve">Por todo lo anterior, la Cámara de Representantes de Puerto Rico entiende necesario </w:t>
      </w:r>
      <w:r>
        <w:rPr>
          <w:rFonts w:ascii="Book Antiqua" w:hAnsi="Book Antiqua"/>
          <w:bCs/>
          <w:strike/>
          <w:lang w:val="es-ES"/>
        </w:rPr>
        <w:t>y urgente</w:t>
      </w:r>
      <w:r>
        <w:rPr>
          <w:rFonts w:ascii="Book Antiqua" w:hAnsi="Book Antiqua"/>
          <w:bCs/>
          <w:lang w:val="es-ES"/>
        </w:rPr>
        <w:t xml:space="preserve"> investigar a fondo los procesos de selección, evaluación y revocación de abanderados del COPUR, así como las circunstancias particulares del caso del señor Luis “Tuto” Bermúdez, con el propósito de garantizar la transparencia, la equidad, el debido proceso de ley y el buen uso </w:t>
      </w:r>
      <w:r>
        <w:rPr>
          <w:rFonts w:ascii="Book Antiqua" w:hAnsi="Book Antiqua"/>
          <w:bCs/>
          <w:i/>
          <w:iCs/>
          <w:u w:val="single"/>
          <w:lang w:val="es-ES"/>
        </w:rPr>
        <w:t>y la fiscalización</w:t>
      </w:r>
      <w:r>
        <w:rPr>
          <w:rFonts w:ascii="Book Antiqua" w:hAnsi="Book Antiqua"/>
          <w:bCs/>
          <w:lang w:val="es-ES"/>
        </w:rPr>
        <w:t xml:space="preserve"> de los fondos públicos </w:t>
      </w:r>
      <w:r>
        <w:rPr>
          <w:rFonts w:ascii="Book Antiqua" w:hAnsi="Book Antiqua"/>
          <w:bCs/>
          <w:strike/>
          <w:lang w:val="es-ES"/>
        </w:rPr>
        <w:t>en una institución de tan alta significación para nuestro pueblo.</w:t>
      </w:r>
      <w:r>
        <w:rPr>
          <w:rFonts w:ascii="Book Antiqua" w:hAnsi="Book Antiqua"/>
          <w:bCs/>
          <w:lang w:val="es-ES"/>
        </w:rPr>
        <w:t xml:space="preserve"> </w:t>
      </w:r>
      <w:r>
        <w:rPr>
          <w:rFonts w:ascii="Book Antiqua" w:hAnsi="Book Antiqua"/>
          <w:bCs/>
          <w:i/>
          <w:iCs/>
          <w:u w:val="single"/>
          <w:lang w:val="es-ES"/>
        </w:rPr>
        <w:t>asignados a dicho organismo.</w:t>
      </w:r>
    </w:p>
    <w:p w14:paraId="491736B5" w14:textId="77777777" w:rsidR="00621036" w:rsidRDefault="00621036" w:rsidP="00621036">
      <w:pPr>
        <w:ind w:firstLine="720"/>
        <w:jc w:val="both"/>
        <w:rPr>
          <w:rFonts w:ascii="Book Antiqua" w:hAnsi="Book Antiqua"/>
          <w:bCs/>
          <w:lang w:val="es-ES"/>
        </w:rPr>
      </w:pPr>
    </w:p>
    <w:p w14:paraId="1A9A9FFD" w14:textId="77777777" w:rsidR="00C33DDB" w:rsidRPr="00621036" w:rsidRDefault="00894AB2" w:rsidP="00621036">
      <w:pPr>
        <w:jc w:val="both"/>
        <w:rPr>
          <w:rFonts w:ascii="Book Antiqua" w:hAnsi="Book Antiqua"/>
          <w:bCs/>
          <w:lang w:val="es-ES"/>
        </w:rPr>
      </w:pPr>
      <w:r>
        <w:rPr>
          <w:rFonts w:ascii="Book Antiqua" w:hAnsi="Book Antiqua"/>
          <w:i/>
          <w:lang w:val="es-ES"/>
        </w:rPr>
        <w:t xml:space="preserve">RESUÉLVESE POR LA CÁMARA DE REPRESENTANTES DE PUERTO RICO: </w:t>
      </w:r>
    </w:p>
    <w:p w14:paraId="38F86568" w14:textId="77777777" w:rsidR="00C33DDB" w:rsidRDefault="00C33DDB">
      <w:pPr>
        <w:jc w:val="both"/>
        <w:rPr>
          <w:rFonts w:ascii="Book Antiqua" w:hAnsi="Book Antiqua"/>
          <w:lang w:val="es-ES"/>
        </w:rPr>
      </w:pPr>
    </w:p>
    <w:p w14:paraId="2C571EF9" w14:textId="77777777" w:rsidR="001C7E59" w:rsidRPr="002E6814" w:rsidRDefault="001C7E59" w:rsidP="00AB727F">
      <w:pPr>
        <w:jc w:val="both"/>
        <w:rPr>
          <w:rFonts w:ascii="Book Antiqua" w:hAnsi="Book Antiqua"/>
          <w:lang w:val="es-ES"/>
        </w:rPr>
        <w:sectPr w:rsidR="001C7E59" w:rsidRPr="002E6814" w:rsidSect="00ED272F">
          <w:headerReference w:type="default" r:id="rId7"/>
          <w:headerReference w:type="first" r:id="rId8"/>
          <w:pgSz w:w="12240" w:h="15840" w:code="1"/>
          <w:pgMar w:top="1440" w:right="1440" w:bottom="1440" w:left="1440" w:header="720" w:footer="720" w:gutter="0"/>
          <w:cols w:space="720"/>
          <w:titlePg/>
        </w:sectPr>
      </w:pPr>
    </w:p>
    <w:p w14:paraId="254C0848" w14:textId="77777777" w:rsidR="00C33DDB" w:rsidRDefault="00894AB2">
      <w:pPr>
        <w:spacing w:line="480" w:lineRule="auto"/>
        <w:ind w:firstLine="567"/>
        <w:jc w:val="both"/>
        <w:rPr>
          <w:rFonts w:ascii="Book Antiqua" w:hAnsi="Book Antiqua"/>
          <w:lang w:val="es-ES"/>
        </w:rPr>
      </w:pPr>
      <w:r>
        <w:rPr>
          <w:rFonts w:ascii="Book Antiqua" w:hAnsi="Book Antiqua"/>
          <w:lang w:val="es-ES"/>
        </w:rPr>
        <w:t xml:space="preserve">Sección 1.- Se ordena a la Comisión de Recreación y Deportes de la Cámara de Representantes </w:t>
      </w:r>
      <w:r>
        <w:rPr>
          <w:rFonts w:ascii="Book Antiqua" w:hAnsi="Book Antiqua"/>
          <w:strike/>
          <w:lang w:val="es-ES"/>
        </w:rPr>
        <w:t>del Gobierno</w:t>
      </w:r>
      <w:r>
        <w:rPr>
          <w:rFonts w:ascii="Book Antiqua" w:hAnsi="Book Antiqua"/>
          <w:lang w:val="es-ES"/>
        </w:rPr>
        <w:t xml:space="preserve"> de Puerto Rico realizar una investigación </w:t>
      </w:r>
      <w:r>
        <w:rPr>
          <w:rFonts w:ascii="Book Antiqua" w:hAnsi="Book Antiqua"/>
          <w:strike/>
          <w:lang w:val="es-ES"/>
        </w:rPr>
        <w:t>inmediata y</w:t>
      </w:r>
      <w:r>
        <w:rPr>
          <w:rFonts w:ascii="Book Antiqua" w:hAnsi="Book Antiqua"/>
          <w:lang w:val="es-ES"/>
        </w:rPr>
        <w:t xml:space="preserve"> exhaustiva sobre los procesos de selección, evaluación y designación de los abanderados del Comité Olímpico de Puerto Rico (COPUR)</w:t>
      </w:r>
      <w:r>
        <w:rPr>
          <w:rFonts w:ascii="Book Antiqua" w:hAnsi="Book Antiqua"/>
          <w:strike/>
          <w:lang w:val="es-ES"/>
        </w:rPr>
        <w:t>, y sobre las circunstancias</w:t>
      </w:r>
      <w:r>
        <w:rPr>
          <w:rFonts w:ascii="Book Antiqua" w:hAnsi="Book Antiqua"/>
          <w:lang w:val="es-ES"/>
        </w:rPr>
        <w:t xml:space="preserve"> </w:t>
      </w:r>
      <w:r>
        <w:rPr>
          <w:rFonts w:ascii="Book Antiqua" w:hAnsi="Book Antiqua"/>
          <w:i/>
          <w:iCs/>
          <w:u w:val="single"/>
          <w:lang w:val="es-ES"/>
        </w:rPr>
        <w:t>; las circunstancias</w:t>
      </w:r>
      <w:r>
        <w:rPr>
          <w:rFonts w:ascii="Book Antiqua" w:hAnsi="Book Antiqua"/>
          <w:lang w:val="es-ES"/>
        </w:rPr>
        <w:t xml:space="preserve"> que rodearon la designación y posterior revocación del señor Luis “Tuto” Bermúdez como abanderado de la delegación de Puerto Rico para los Juegos Centroamericanos y del Caribe Santo Domingo 2026</w:t>
      </w:r>
      <w:r>
        <w:rPr>
          <w:rFonts w:ascii="Book Antiqua" w:hAnsi="Book Antiqua"/>
          <w:strike/>
          <w:lang w:val="es-ES"/>
        </w:rPr>
        <w:t>.</w:t>
      </w:r>
      <w:r>
        <w:rPr>
          <w:rFonts w:ascii="Book Antiqua" w:hAnsi="Book Antiqua"/>
          <w:i/>
          <w:iCs/>
          <w:u w:val="single"/>
          <w:lang w:val="es-ES"/>
        </w:rPr>
        <w:t>; el momento y la forma en que el COPUR advino en conocimiento de los hechos ocurridos en el año 2018 que motivaron dicha revocación; la garantía del debido proceso de ley y la presunción de inocencia en los procedimientos del organismo; la transparencia institucional en la toma de decisiones; el uso y la fiscalización de los fondos públicos asignados al COPUR.</w:t>
      </w:r>
    </w:p>
    <w:p w14:paraId="70E6731E"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2.- La investigación deberá examinar, pero no limitarse a:</w:t>
      </w:r>
    </w:p>
    <w:p w14:paraId="53DB323E" w14:textId="77777777" w:rsidR="00C33DDB" w:rsidRDefault="00894AB2">
      <w:pPr>
        <w:spacing w:line="480" w:lineRule="auto"/>
        <w:ind w:left="720"/>
        <w:jc w:val="both"/>
        <w:rPr>
          <w:rFonts w:ascii="Book Antiqua" w:hAnsi="Book Antiqua"/>
          <w:lang w:val="es-ES"/>
        </w:rPr>
      </w:pPr>
      <w:r>
        <w:rPr>
          <w:rFonts w:ascii="Book Antiqua" w:hAnsi="Book Antiqua"/>
          <w:lang w:val="es-ES"/>
        </w:rPr>
        <w:lastRenderedPageBreak/>
        <w:t>a. Las normas, los criterios y los procedimientos que utiliza el COPUR para seleccionar, evaluar y designar a sus abanderados, incluyendo los mecanismos de cotejo de antecedentes aplicables.</w:t>
      </w:r>
    </w:p>
    <w:p w14:paraId="1B23678A" w14:textId="77777777" w:rsidR="00C33DDB" w:rsidRDefault="00894AB2">
      <w:pPr>
        <w:spacing w:line="480" w:lineRule="auto"/>
        <w:ind w:left="720"/>
        <w:jc w:val="both"/>
        <w:rPr>
          <w:rFonts w:ascii="Book Antiqua" w:hAnsi="Book Antiqua"/>
          <w:lang w:val="es-ES"/>
        </w:rPr>
      </w:pPr>
      <w:r>
        <w:rPr>
          <w:rFonts w:ascii="Book Antiqua" w:hAnsi="Book Antiqua"/>
          <w:lang w:val="es-ES"/>
        </w:rPr>
        <w:t>b. La cronología de los hechos relacionados con la designación del 17 de junio de 2026 y la revocación del 22 de junio de 2026, así como la garantía del debido proceso de ley a las partes concernidas.</w:t>
      </w:r>
    </w:p>
    <w:p w14:paraId="3847EC01" w14:textId="77777777" w:rsidR="00C33DDB" w:rsidRDefault="00894AB2">
      <w:pPr>
        <w:spacing w:line="480" w:lineRule="auto"/>
        <w:ind w:left="720"/>
        <w:jc w:val="both"/>
        <w:rPr>
          <w:rFonts w:ascii="Book Antiqua" w:hAnsi="Book Antiqua"/>
          <w:lang w:val="es-ES"/>
        </w:rPr>
      </w:pPr>
      <w:r>
        <w:rPr>
          <w:rFonts w:ascii="Book Antiqua" w:hAnsi="Book Antiqua"/>
          <w:lang w:val="es-ES"/>
        </w:rPr>
        <w:t>c. El momento y la forma en que el COPUR advino en conocimiento de los hechos ocurridos en el año 2018, y si la institución contaba con dicha información con anterioridad a la designación.</w:t>
      </w:r>
    </w:p>
    <w:p w14:paraId="3A35B828" w14:textId="77777777" w:rsidR="00C33DDB" w:rsidRDefault="00894AB2">
      <w:pPr>
        <w:spacing w:line="480" w:lineRule="auto"/>
        <w:ind w:left="720"/>
        <w:jc w:val="both"/>
        <w:rPr>
          <w:rFonts w:ascii="Book Antiqua" w:hAnsi="Book Antiqua"/>
          <w:lang w:val="es-ES"/>
        </w:rPr>
      </w:pPr>
      <w:r>
        <w:rPr>
          <w:rFonts w:ascii="Book Antiqua" w:hAnsi="Book Antiqua"/>
          <w:lang w:val="es-ES"/>
        </w:rPr>
        <w:t>d. La compatibilidad de las actuaciones del COPUR con su propia Constitución y reglamentación, con los principios del movimiento olímpico y con la política pública del Gobierno de Puerto Rico contra la violencia de género.</w:t>
      </w:r>
    </w:p>
    <w:p w14:paraId="39E6AF8C" w14:textId="77777777" w:rsidR="00C33DDB" w:rsidRDefault="00894AB2">
      <w:pPr>
        <w:spacing w:line="480" w:lineRule="auto"/>
        <w:ind w:left="720"/>
        <w:jc w:val="both"/>
        <w:rPr>
          <w:rFonts w:ascii="Book Antiqua" w:hAnsi="Book Antiqua"/>
          <w:lang w:val="es-ES"/>
        </w:rPr>
      </w:pPr>
      <w:r>
        <w:rPr>
          <w:rFonts w:ascii="Book Antiqua" w:hAnsi="Book Antiqua"/>
          <w:lang w:val="es-ES"/>
        </w:rPr>
        <w:t>e. La existencia, suficiencia y aplicación de protocolos del COPUR para atender alegaciones o casos de violencia de género que involucren a atletas, dirigentes y demás personas que representan a Puerto Rico.</w:t>
      </w:r>
    </w:p>
    <w:p w14:paraId="61E95F9B" w14:textId="77777777" w:rsidR="00C33DDB" w:rsidRDefault="00894AB2">
      <w:pPr>
        <w:spacing w:line="480" w:lineRule="auto"/>
        <w:ind w:left="720"/>
        <w:jc w:val="both"/>
        <w:rPr>
          <w:rFonts w:ascii="Book Antiqua" w:hAnsi="Book Antiqua"/>
          <w:lang w:val="es-ES"/>
        </w:rPr>
      </w:pPr>
      <w:r>
        <w:rPr>
          <w:rFonts w:ascii="Book Antiqua" w:hAnsi="Book Antiqua"/>
          <w:lang w:val="es-ES"/>
        </w:rPr>
        <w:t>f. La transparencia institucional en la toma de decisiones y el uso, la fiscalización y la rendición de cuentas de los fondos públicos asignados o transferidos al COPUR.</w:t>
      </w:r>
    </w:p>
    <w:p w14:paraId="51059DAA" w14:textId="77777777" w:rsidR="00C33DDB" w:rsidRDefault="00894AB2">
      <w:pPr>
        <w:spacing w:line="480" w:lineRule="auto"/>
        <w:ind w:left="720"/>
        <w:jc w:val="both"/>
        <w:rPr>
          <w:rFonts w:ascii="Book Antiqua" w:hAnsi="Book Antiqua"/>
          <w:lang w:val="es-ES"/>
        </w:rPr>
      </w:pPr>
      <w:r>
        <w:rPr>
          <w:rFonts w:ascii="Book Antiqua" w:hAnsi="Book Antiqua"/>
          <w:lang w:val="es-ES"/>
        </w:rPr>
        <w:t>g. La conveniencia de adoptar legislación o política pública dirigida a establecer criterios uniformes, justos y transparentes para la selección de abanderados y la representación de Puerto Rico en las justas deportivas internacionales.</w:t>
      </w:r>
    </w:p>
    <w:p w14:paraId="5F7E7339" w14:textId="77777777" w:rsidR="00C33DDB" w:rsidRDefault="00894AB2">
      <w:pPr>
        <w:spacing w:line="480" w:lineRule="auto"/>
        <w:ind w:firstLine="567"/>
        <w:jc w:val="both"/>
        <w:rPr>
          <w:rFonts w:ascii="Book Antiqua" w:hAnsi="Book Antiqua"/>
          <w:lang w:val="es-ES"/>
        </w:rPr>
      </w:pPr>
      <w:r>
        <w:rPr>
          <w:rFonts w:ascii="Book Antiqua" w:hAnsi="Book Antiqua"/>
          <w:lang w:val="es-ES"/>
        </w:rPr>
        <w:lastRenderedPageBreak/>
        <w:t>Sección 3.- Se faculta a la Comisión para citar a los miembros del Comité Ejecutivo y del Pleno del COPUR, a su Presidente, a funcionarios del Departamento de Recreación y Deportes, a representantes de las federaciones deportivas, a peritos en materia de violencia de género y de derecho, y a cualquier otra persona o entidad cuya comparecencia resulte necesaria, para que presten testimonio y entreguen cualquier evidencia o documento pertinente.</w:t>
      </w:r>
    </w:p>
    <w:p w14:paraId="11174433" w14:textId="77777777" w:rsidR="00C33DDB" w:rsidRPr="00AD6A19" w:rsidRDefault="00894AB2" w:rsidP="00AD6A19">
      <w:pPr>
        <w:spacing w:line="480" w:lineRule="auto"/>
        <w:ind w:firstLine="720"/>
        <w:jc w:val="both"/>
        <w:rPr>
          <w:rFonts w:ascii="Book Antiqua" w:eastAsiaTheme="minorHAnsi" w:hAnsi="Book Antiqua"/>
          <w:i/>
          <w:szCs w:val="24"/>
          <w:u w:val="single"/>
          <w:lang w:val="es-ES_tradnl"/>
        </w:rPr>
      </w:pPr>
      <w:r>
        <w:rPr>
          <w:rFonts w:ascii="Book Antiqua" w:hAnsi="Book Antiqua"/>
          <w:lang w:val="es-ES"/>
        </w:rPr>
        <w:t xml:space="preserve">Sección 4.- La Comisión deberá someter un informe final con sus hallazgos, conclusiones y recomendaciones legislativas </w:t>
      </w:r>
      <w:r w:rsidRPr="00AD6A19">
        <w:rPr>
          <w:rFonts w:ascii="Book Antiqua" w:hAnsi="Book Antiqua"/>
          <w:strike/>
          <w:lang w:val="es-ES"/>
        </w:rPr>
        <w:t>en un término de noventa (90) días desde la aprobación de esta Resolución.</w:t>
      </w:r>
      <w:r w:rsidR="00AD6A19" w:rsidRPr="00AD6A19">
        <w:rPr>
          <w:rFonts w:ascii="Book Antiqua" w:hAnsi="Book Antiqua"/>
          <w:lang w:val="es-ES"/>
        </w:rPr>
        <w:t xml:space="preserve"> </w:t>
      </w:r>
      <w:r w:rsidR="00AD6A19" w:rsidRPr="00AD6A19">
        <w:rPr>
          <w:rFonts w:ascii="Book Antiqua" w:hAnsi="Book Antiqua"/>
          <w:i/>
          <w:szCs w:val="24"/>
          <w:u w:val="single"/>
          <w:lang w:val="es-ES_tradnl"/>
        </w:rPr>
        <w:t>antes de que finalice el término de la Vigésima Asamblea Legislativa.</w:t>
      </w:r>
    </w:p>
    <w:p w14:paraId="44A020FC"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5.- Esta Resolución comenzará a regir inmediatamente después de su aprobación.</w:t>
      </w:r>
    </w:p>
    <w:sectPr w:rsidR="00C33DDB" w:rsidSect="00ED272F">
      <w:headerReference w:type="even" r:id="rId9"/>
      <w:headerReference w:type="default" r:id="rId10"/>
      <w:headerReference w:type="first" r:id="rId1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7EE9" w14:textId="77777777" w:rsidR="0058369A" w:rsidRDefault="0058369A">
      <w:r>
        <w:separator/>
      </w:r>
    </w:p>
  </w:endnote>
  <w:endnote w:type="continuationSeparator" w:id="0">
    <w:p w14:paraId="4C19E6DE" w14:textId="77777777" w:rsidR="0058369A" w:rsidRDefault="0058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04869" w14:textId="77777777" w:rsidR="0058369A" w:rsidRDefault="0058369A">
      <w:r>
        <w:separator/>
      </w:r>
    </w:p>
  </w:footnote>
  <w:footnote w:type="continuationSeparator" w:id="0">
    <w:p w14:paraId="1AC0F5B0" w14:textId="77777777" w:rsidR="0058369A" w:rsidRDefault="00583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6E48" w14:textId="77777777" w:rsidR="00222C83" w:rsidRDefault="00222C83">
    <w:pPr>
      <w:pStyle w:val="Header"/>
      <w:jc w:val="center"/>
    </w:pPr>
    <w:r>
      <w:rPr>
        <w:rStyle w:val="PageNumber"/>
      </w:rPr>
      <w:fldChar w:fldCharType="begin"/>
    </w:r>
    <w:r>
      <w:rPr>
        <w:rStyle w:val="PageNumber"/>
      </w:rPr>
      <w:instrText xml:space="preserve"> PAGE </w:instrText>
    </w:r>
    <w:r>
      <w:rPr>
        <w:rStyle w:val="PageNumber"/>
      </w:rPr>
      <w:fldChar w:fldCharType="separate"/>
    </w:r>
    <w:r w:rsidR="006A5C04">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98355" w14:textId="77777777" w:rsidR="00222C83" w:rsidRDefault="00222C83">
    <w:pPr>
      <w:jc w:val="center"/>
    </w:pPr>
    <w:r>
      <w:rPr>
        <w:rFonts w:ascii="Book Antiqua" w:hAnsi="Book Antiqua"/>
        <w:lang w:val="es-ES"/>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59F8" w14:textId="77777777" w:rsidR="00222C83" w:rsidRDefault="00222C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3A3E4A66" w14:textId="77777777" w:rsidR="00222C83" w:rsidRDefault="00222C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94BE" w14:textId="77777777" w:rsidR="00222C83" w:rsidRDefault="00222C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5C04">
      <w:rPr>
        <w:rStyle w:val="PageNumber"/>
        <w:noProof/>
      </w:rPr>
      <w:t>4</w:t>
    </w:r>
    <w:r>
      <w:rPr>
        <w:rStyle w:val="PageNumber"/>
      </w:rPr>
      <w:fldChar w:fldCharType="end"/>
    </w:r>
  </w:p>
  <w:p w14:paraId="3007E8EF" w14:textId="77777777" w:rsidR="00222C83" w:rsidRDefault="00222C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36BD" w14:textId="77777777" w:rsidR="00222C83" w:rsidRDefault="00222C83">
    <w:pPr>
      <w:jc w:val="center"/>
    </w:pPr>
    <w:r>
      <w:rPr>
        <w:rFonts w:ascii="Book Antiqua" w:hAnsi="Book Antiqua"/>
        <w:lang w:val="es-E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B3185"/>
    <w:multiLevelType w:val="multilevel"/>
    <w:tmpl w:val="169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334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7F6"/>
    <w:rsid w:val="00077DAC"/>
    <w:rsid w:val="00091379"/>
    <w:rsid w:val="000A2D30"/>
    <w:rsid w:val="000A39CC"/>
    <w:rsid w:val="000E0602"/>
    <w:rsid w:val="00164D9F"/>
    <w:rsid w:val="00174DFD"/>
    <w:rsid w:val="00180FFE"/>
    <w:rsid w:val="001821E6"/>
    <w:rsid w:val="001A7154"/>
    <w:rsid w:val="001C7E59"/>
    <w:rsid w:val="001D56A3"/>
    <w:rsid w:val="001F6943"/>
    <w:rsid w:val="00204908"/>
    <w:rsid w:val="00222C83"/>
    <w:rsid w:val="00223B6B"/>
    <w:rsid w:val="00226770"/>
    <w:rsid w:val="00286FC3"/>
    <w:rsid w:val="002E3783"/>
    <w:rsid w:val="002E6814"/>
    <w:rsid w:val="003071FD"/>
    <w:rsid w:val="003278AF"/>
    <w:rsid w:val="00362A71"/>
    <w:rsid w:val="003A2F43"/>
    <w:rsid w:val="003B4D9A"/>
    <w:rsid w:val="003D1950"/>
    <w:rsid w:val="003E7212"/>
    <w:rsid w:val="00423A10"/>
    <w:rsid w:val="00446185"/>
    <w:rsid w:val="00487314"/>
    <w:rsid w:val="004C1B66"/>
    <w:rsid w:val="004C28AB"/>
    <w:rsid w:val="004D2186"/>
    <w:rsid w:val="004E18F7"/>
    <w:rsid w:val="004E3576"/>
    <w:rsid w:val="004E6E11"/>
    <w:rsid w:val="004F5359"/>
    <w:rsid w:val="00522FD5"/>
    <w:rsid w:val="00541800"/>
    <w:rsid w:val="0057019B"/>
    <w:rsid w:val="0057150E"/>
    <w:rsid w:val="0058369A"/>
    <w:rsid w:val="005A652C"/>
    <w:rsid w:val="005C179B"/>
    <w:rsid w:val="005C6F82"/>
    <w:rsid w:val="005D51D8"/>
    <w:rsid w:val="00613C54"/>
    <w:rsid w:val="00616A3A"/>
    <w:rsid w:val="00621036"/>
    <w:rsid w:val="00653164"/>
    <w:rsid w:val="006A1550"/>
    <w:rsid w:val="006A5C04"/>
    <w:rsid w:val="006C4EB8"/>
    <w:rsid w:val="006D4E06"/>
    <w:rsid w:val="00725BF3"/>
    <w:rsid w:val="00731A6B"/>
    <w:rsid w:val="00736CF7"/>
    <w:rsid w:val="00740A5D"/>
    <w:rsid w:val="00747247"/>
    <w:rsid w:val="00784166"/>
    <w:rsid w:val="0079291F"/>
    <w:rsid w:val="007A3DD3"/>
    <w:rsid w:val="007E537D"/>
    <w:rsid w:val="00804038"/>
    <w:rsid w:val="00824586"/>
    <w:rsid w:val="0083174E"/>
    <w:rsid w:val="00846DBD"/>
    <w:rsid w:val="00853B32"/>
    <w:rsid w:val="008673EB"/>
    <w:rsid w:val="00894AB2"/>
    <w:rsid w:val="008E5E2A"/>
    <w:rsid w:val="00911984"/>
    <w:rsid w:val="009466D1"/>
    <w:rsid w:val="00965662"/>
    <w:rsid w:val="009A0450"/>
    <w:rsid w:val="009B0603"/>
    <w:rsid w:val="009B44DE"/>
    <w:rsid w:val="009D357D"/>
    <w:rsid w:val="00A05959"/>
    <w:rsid w:val="00A16F32"/>
    <w:rsid w:val="00A405F6"/>
    <w:rsid w:val="00A452ED"/>
    <w:rsid w:val="00A65F3D"/>
    <w:rsid w:val="00AA2F09"/>
    <w:rsid w:val="00AB1BCF"/>
    <w:rsid w:val="00AB2D76"/>
    <w:rsid w:val="00AB727F"/>
    <w:rsid w:val="00AD6A19"/>
    <w:rsid w:val="00AF3C1E"/>
    <w:rsid w:val="00B02AB3"/>
    <w:rsid w:val="00B2111C"/>
    <w:rsid w:val="00B54094"/>
    <w:rsid w:val="00B815AA"/>
    <w:rsid w:val="00BC0E6B"/>
    <w:rsid w:val="00BE10B9"/>
    <w:rsid w:val="00BE3D16"/>
    <w:rsid w:val="00C06C1E"/>
    <w:rsid w:val="00C33DDB"/>
    <w:rsid w:val="00C54E20"/>
    <w:rsid w:val="00C944B3"/>
    <w:rsid w:val="00CA1FC0"/>
    <w:rsid w:val="00CD7720"/>
    <w:rsid w:val="00CF6A88"/>
    <w:rsid w:val="00D0495F"/>
    <w:rsid w:val="00D113FC"/>
    <w:rsid w:val="00D65C84"/>
    <w:rsid w:val="00D7412C"/>
    <w:rsid w:val="00DD0D1C"/>
    <w:rsid w:val="00E15CDE"/>
    <w:rsid w:val="00E56308"/>
    <w:rsid w:val="00E827F6"/>
    <w:rsid w:val="00EC61BF"/>
    <w:rsid w:val="00ED272F"/>
    <w:rsid w:val="00F17683"/>
    <w:rsid w:val="00F33AA4"/>
    <w:rsid w:val="00F4493B"/>
    <w:rsid w:val="00F65A9F"/>
    <w:rsid w:val="00F76ED8"/>
    <w:rsid w:val="00F848A5"/>
    <w:rsid w:val="00FB0523"/>
    <w:rsid w:val="00FC7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151C07"/>
  <w15:docId w15:val="{CE9868B7-BAC8-4D5C-BD07-95FC315C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1377</Words>
  <Characters>7852</Characters>
  <Application>Microsoft Office Word</Application>
  <DocSecurity>4</DocSecurity>
  <Lines>65</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Alondra Negrón Rivera</cp:lastModifiedBy>
  <cp:revision>2</cp:revision>
  <cp:lastPrinted>2023-09-26T19:23:00Z</cp:lastPrinted>
  <dcterms:created xsi:type="dcterms:W3CDTF">2026-06-25T13:35:00Z</dcterms:created>
  <dcterms:modified xsi:type="dcterms:W3CDTF">2026-06-25T13:35:00Z</dcterms:modified>
</cp:coreProperties>
</file>