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9494E" w14:textId="77777777" w:rsidR="00511ADB" w:rsidRPr="00D20C5D" w:rsidRDefault="008D400F">
      <w:pPr>
        <w:jc w:val="center"/>
        <w:rPr>
          <w:lang w:val="es-ES_tradnl"/>
        </w:rPr>
      </w:pPr>
      <w:r>
        <w:rPr>
          <w:rFonts w:ascii="Book Antiqua" w:eastAsia="Book Antiqua" w:hAnsi="Book Antiqua" w:cs="Book Antiqua"/>
          <w:b/>
          <w:bCs/>
          <w:sz w:val="28"/>
          <w:szCs w:val="28"/>
          <w:lang w:val="es-ES_tradnl"/>
        </w:rPr>
        <w:t>GOBIERNO DE PUERTO RICO</w:t>
      </w:r>
    </w:p>
    <w:p w14:paraId="24FDD974" w14:textId="77777777" w:rsidR="00511ADB" w:rsidRPr="00D20C5D" w:rsidRDefault="00511ADB">
      <w:pPr>
        <w:rPr>
          <w:lang w:val="es-ES_tradnl"/>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511ADB" w:rsidRPr="00D20C5D" w14:paraId="6E124A34" w14:textId="77777777">
        <w:tc>
          <w:tcPr>
            <w:tcW w:w="4680" w:type="dxa"/>
            <w:tcBorders>
              <w:top w:val="none" w:sz="0" w:space="0" w:color="FFFFFF"/>
              <w:left w:val="none" w:sz="0" w:space="0" w:color="FFFFFF"/>
              <w:bottom w:val="none" w:sz="0" w:space="0" w:color="FFFFFF"/>
              <w:right w:val="none" w:sz="0" w:space="0" w:color="FFFFFF"/>
            </w:tcBorders>
          </w:tcPr>
          <w:p w14:paraId="398BFFBF" w14:textId="77777777" w:rsidR="00511ADB" w:rsidRPr="00D20C5D" w:rsidRDefault="008D400F">
            <w:pPr>
              <w:rPr>
                <w:lang w:val="es-ES_tradnl"/>
              </w:rPr>
            </w:pPr>
            <w:r>
              <w:rPr>
                <w:rFonts w:ascii="Book Antiqua" w:eastAsia="Book Antiqua" w:hAnsi="Book Antiqua" w:cs="Book Antiqua"/>
                <w:sz w:val="24"/>
                <w:szCs w:val="24"/>
                <w:lang w:val="es-ES_tradnl"/>
              </w:rPr>
              <w:t>20ma. Asamblea</w:t>
            </w:r>
          </w:p>
        </w:tc>
        <w:tc>
          <w:tcPr>
            <w:tcW w:w="4680" w:type="dxa"/>
            <w:tcBorders>
              <w:top w:val="none" w:sz="0" w:space="0" w:color="FFFFFF"/>
              <w:left w:val="none" w:sz="0" w:space="0" w:color="FFFFFF"/>
              <w:bottom w:val="none" w:sz="0" w:space="0" w:color="FFFFFF"/>
              <w:right w:val="none" w:sz="0" w:space="0" w:color="FFFFFF"/>
            </w:tcBorders>
          </w:tcPr>
          <w:p w14:paraId="4ADF281A" w14:textId="77777777" w:rsidR="00511ADB" w:rsidRPr="00D20C5D" w:rsidRDefault="008D400F">
            <w:pPr>
              <w:jc w:val="right"/>
              <w:rPr>
                <w:lang w:val="es-ES_tradnl"/>
              </w:rPr>
            </w:pPr>
            <w:r>
              <w:rPr>
                <w:rFonts w:ascii="Book Antiqua" w:eastAsia="Book Antiqua" w:hAnsi="Book Antiqua" w:cs="Book Antiqua"/>
                <w:sz w:val="24"/>
                <w:szCs w:val="24"/>
                <w:lang w:val="es-ES_tradnl"/>
              </w:rPr>
              <w:t>3ra. Sesión</w:t>
            </w:r>
          </w:p>
        </w:tc>
      </w:tr>
      <w:tr w:rsidR="00511ADB" w:rsidRPr="00D20C5D" w14:paraId="7207BFCD" w14:textId="77777777">
        <w:tc>
          <w:tcPr>
            <w:tcW w:w="4680" w:type="dxa"/>
            <w:tcBorders>
              <w:top w:val="none" w:sz="0" w:space="0" w:color="FFFFFF"/>
              <w:left w:val="none" w:sz="0" w:space="0" w:color="FFFFFF"/>
              <w:bottom w:val="none" w:sz="0" w:space="0" w:color="FFFFFF"/>
              <w:right w:val="none" w:sz="0" w:space="0" w:color="FFFFFF"/>
            </w:tcBorders>
          </w:tcPr>
          <w:p w14:paraId="4EB5A826" w14:textId="77777777" w:rsidR="00511ADB" w:rsidRPr="00D20C5D" w:rsidRDefault="008D400F">
            <w:pPr>
              <w:rPr>
                <w:lang w:val="es-ES_tradnl"/>
              </w:rPr>
            </w:pPr>
            <w:r>
              <w:rPr>
                <w:rFonts w:ascii="Book Antiqua" w:eastAsia="Book Antiqua" w:hAnsi="Book Antiqua" w:cs="Book Antiqua"/>
                <w:sz w:val="24"/>
                <w:szCs w:val="24"/>
                <w:lang w:val="es-ES_tradnl"/>
              </w:rPr>
              <w:t>Legislativa</w:t>
            </w:r>
          </w:p>
        </w:tc>
        <w:tc>
          <w:tcPr>
            <w:tcW w:w="4680" w:type="dxa"/>
            <w:tcBorders>
              <w:top w:val="none" w:sz="0" w:space="0" w:color="FFFFFF"/>
              <w:left w:val="none" w:sz="0" w:space="0" w:color="FFFFFF"/>
              <w:bottom w:val="none" w:sz="0" w:space="0" w:color="FFFFFF"/>
              <w:right w:val="none" w:sz="0" w:space="0" w:color="FFFFFF"/>
            </w:tcBorders>
          </w:tcPr>
          <w:p w14:paraId="2A008C01" w14:textId="77777777" w:rsidR="00511ADB" w:rsidRPr="00D20C5D" w:rsidRDefault="008D400F">
            <w:pPr>
              <w:jc w:val="right"/>
              <w:rPr>
                <w:lang w:val="es-ES_tradnl"/>
              </w:rPr>
            </w:pPr>
            <w:r>
              <w:rPr>
                <w:rFonts w:ascii="Book Antiqua" w:eastAsia="Book Antiqua" w:hAnsi="Book Antiqua" w:cs="Book Antiqua"/>
                <w:sz w:val="24"/>
                <w:szCs w:val="24"/>
                <w:lang w:val="es-ES_tradnl"/>
              </w:rPr>
              <w:t>Ordinaria</w:t>
            </w:r>
          </w:p>
        </w:tc>
      </w:tr>
    </w:tbl>
    <w:p w14:paraId="2E561994" w14:textId="77777777" w:rsidR="00511ADB" w:rsidRPr="00D20C5D" w:rsidRDefault="00511ADB">
      <w:pPr>
        <w:rPr>
          <w:lang w:val="es-ES_tradnl"/>
        </w:rPr>
      </w:pPr>
    </w:p>
    <w:p w14:paraId="38201137" w14:textId="77777777" w:rsidR="00511ADB" w:rsidRPr="00D20C5D" w:rsidRDefault="008D400F">
      <w:pPr>
        <w:jc w:val="center"/>
        <w:rPr>
          <w:lang w:val="es-ES_tradnl"/>
        </w:rPr>
      </w:pPr>
      <w:r>
        <w:rPr>
          <w:rFonts w:ascii="Book Antiqua" w:eastAsia="Book Antiqua" w:hAnsi="Book Antiqua" w:cs="Book Antiqua"/>
          <w:b/>
          <w:bCs/>
          <w:sz w:val="36"/>
          <w:szCs w:val="36"/>
          <w:lang w:val="es-ES_tradnl"/>
        </w:rPr>
        <w:t>CÁMARA DE REPRESENTANTES</w:t>
      </w:r>
    </w:p>
    <w:p w14:paraId="41414BA3" w14:textId="77777777" w:rsidR="00511ADB" w:rsidRPr="00D20C5D" w:rsidRDefault="00511ADB">
      <w:pPr>
        <w:rPr>
          <w:lang w:val="es-ES_tradnl"/>
        </w:rPr>
      </w:pPr>
    </w:p>
    <w:p w14:paraId="00FF9232" w14:textId="77777777" w:rsidR="00511ADB" w:rsidRPr="00D20C5D" w:rsidRDefault="008D400F">
      <w:pPr>
        <w:jc w:val="center"/>
        <w:rPr>
          <w:lang w:val="es-ES_tradnl"/>
        </w:rPr>
      </w:pPr>
      <w:r>
        <w:rPr>
          <w:rFonts w:ascii="Book Antiqua" w:eastAsia="Book Antiqua" w:hAnsi="Book Antiqua" w:cs="Book Antiqua"/>
          <w:b/>
          <w:bCs/>
          <w:sz w:val="52"/>
          <w:szCs w:val="52"/>
          <w:lang w:val="es-ES_tradnl"/>
        </w:rPr>
        <w:t>R. DE LA C. 735</w:t>
      </w:r>
    </w:p>
    <w:p w14:paraId="679843CE" w14:textId="77777777" w:rsidR="00511ADB" w:rsidRPr="00D20C5D" w:rsidRDefault="00511ADB">
      <w:pPr>
        <w:rPr>
          <w:lang w:val="es-ES_tradnl"/>
        </w:rPr>
      </w:pPr>
    </w:p>
    <w:p w14:paraId="576E2627" w14:textId="77777777" w:rsidR="00511ADB" w:rsidRPr="00D20C5D" w:rsidRDefault="008D400F">
      <w:pPr>
        <w:jc w:val="center"/>
        <w:rPr>
          <w:lang w:val="es-ES_tradnl"/>
        </w:rPr>
      </w:pPr>
      <w:r>
        <w:rPr>
          <w:rFonts w:ascii="Book Antiqua" w:eastAsia="Book Antiqua" w:hAnsi="Book Antiqua" w:cs="Book Antiqua"/>
          <w:b/>
          <w:bCs/>
          <w:sz w:val="28"/>
          <w:szCs w:val="28"/>
          <w:lang w:val="es-ES_tradnl"/>
        </w:rPr>
        <w:t>INFORME POSITIVO</w:t>
      </w:r>
    </w:p>
    <w:p w14:paraId="37BA9630" w14:textId="77777777" w:rsidR="00511ADB" w:rsidRPr="00D20C5D" w:rsidRDefault="00511ADB">
      <w:pPr>
        <w:rPr>
          <w:lang w:val="es-ES_tradnl"/>
        </w:rPr>
      </w:pPr>
    </w:p>
    <w:p w14:paraId="0C20781F" w14:textId="77777777" w:rsidR="00511ADB" w:rsidRPr="00D20C5D" w:rsidRDefault="008D400F" w:rsidP="00D20C5D">
      <w:pPr>
        <w:spacing w:after="200"/>
        <w:jc w:val="center"/>
        <w:rPr>
          <w:lang w:val="es-ES_tradnl"/>
        </w:rPr>
      </w:pPr>
      <w:r>
        <w:rPr>
          <w:rFonts w:ascii="Book Antiqua" w:eastAsia="Book Antiqua" w:hAnsi="Book Antiqua" w:cs="Book Antiqua"/>
          <w:sz w:val="24"/>
          <w:szCs w:val="24"/>
          <w:lang w:val="es-ES_tradnl"/>
        </w:rPr>
        <w:t>25 de junio de 2026</w:t>
      </w:r>
    </w:p>
    <w:p w14:paraId="54ACF814" w14:textId="77777777" w:rsidR="00511ADB" w:rsidRPr="00D20C5D" w:rsidRDefault="00511ADB">
      <w:pPr>
        <w:rPr>
          <w:lang w:val="es-ES_tradnl"/>
        </w:rPr>
      </w:pPr>
    </w:p>
    <w:p w14:paraId="0AB607A9" w14:textId="77777777" w:rsidR="00511ADB" w:rsidRPr="00D20C5D" w:rsidRDefault="008D400F">
      <w:pPr>
        <w:spacing w:line="276" w:lineRule="auto"/>
        <w:jc w:val="both"/>
        <w:rPr>
          <w:lang w:val="es-ES_tradnl"/>
        </w:rPr>
      </w:pPr>
      <w:r>
        <w:rPr>
          <w:rFonts w:ascii="Book Antiqua" w:eastAsia="Book Antiqua" w:hAnsi="Book Antiqua" w:cs="Book Antiqua"/>
          <w:b/>
          <w:bCs/>
          <w:sz w:val="24"/>
          <w:szCs w:val="24"/>
          <w:lang w:val="es-ES_tradnl"/>
        </w:rPr>
        <w:t>A LA CÁMARA DE REPRESENTANTES DE PUERTO RICO:</w:t>
      </w:r>
    </w:p>
    <w:p w14:paraId="0450A38F" w14:textId="77777777" w:rsidR="00511ADB" w:rsidRPr="00D20C5D" w:rsidRDefault="00511ADB">
      <w:pPr>
        <w:rPr>
          <w:lang w:val="es-ES_tradnl"/>
        </w:rPr>
      </w:pPr>
    </w:p>
    <w:p w14:paraId="249F4B2A" w14:textId="77777777" w:rsidR="00511ADB" w:rsidRPr="00D20C5D" w:rsidRDefault="008D400F">
      <w:pPr>
        <w:spacing w:line="276" w:lineRule="auto"/>
        <w:ind w:firstLine="720"/>
        <w:jc w:val="both"/>
        <w:rPr>
          <w:lang w:val="es-ES_tradnl"/>
        </w:rPr>
      </w:pPr>
      <w:r>
        <w:rPr>
          <w:rFonts w:ascii="Book Antiqua" w:eastAsia="Book Antiqua" w:hAnsi="Book Antiqua" w:cs="Book Antiqua"/>
          <w:sz w:val="24"/>
          <w:szCs w:val="24"/>
          <w:lang w:val="es-ES_tradnl"/>
        </w:rPr>
        <w:t>La Comisión de Asuntos Internos de la Cámara de Representantes, previo estudio y consideración de la R. de la C. 735, presentada por los representantes Navarro Suárez y Jiménez Torres, tiene a bien someter su informe recomendando la aprobación de la medida con las enmiendas contenidas en el entirillado electrónico que acompaña este informe, cuyo título lee:</w:t>
      </w:r>
    </w:p>
    <w:p w14:paraId="0E13562A" w14:textId="77777777" w:rsidR="00511ADB" w:rsidRPr="00D20C5D" w:rsidRDefault="00511ADB">
      <w:pPr>
        <w:rPr>
          <w:lang w:val="es-ES_tradnl"/>
        </w:rPr>
      </w:pPr>
    </w:p>
    <w:p w14:paraId="16DD3CD0" w14:textId="77777777" w:rsidR="00511ADB" w:rsidRPr="00D20C5D" w:rsidRDefault="008D400F" w:rsidP="000D58DE">
      <w:pPr>
        <w:ind w:left="446" w:hanging="446"/>
        <w:jc w:val="both"/>
        <w:rPr>
          <w:lang w:val="es-ES_tradnl"/>
        </w:rPr>
      </w:pPr>
      <w:r>
        <w:rPr>
          <w:rFonts w:ascii="Book Antiqua" w:eastAsia="Book Antiqua" w:hAnsi="Book Antiqua" w:cs="Book Antiqua"/>
          <w:sz w:val="24"/>
          <w:szCs w:val="24"/>
          <w:lang w:val="es-ES_tradnl"/>
        </w:rPr>
        <w:t>“Para ordenar a la Comisión de Recreación y Deportes de la Cámara de Representantes de Puerto Rico realizar una investigación exhaustiva sobre los procesos de selección, evaluación y designación de los abanderados del Comité Olímpico de Puerto Rico (COPUR); las circunstancias que rodearon la designación y posterior revocación del señor Luis “Tuto” Bermúdez como abanderado de la delegación de Puerto Rico para los Juegos Centroamericanos y del Caribe Santo Domingo 2026; el momento y la forma en que el COPUR advino en conocimiento de los hechos ocurridos en el año 2018 que motivaron dicha revocación; la garantía del debido proceso de ley y la presunción de inocencia en los procedimientos del organismo; la transparencia institucional en la toma de decisiones; y el uso y la fiscalización de los fondos públicos asignados al COPUR; y para otros fines relacionados.”</w:t>
      </w:r>
    </w:p>
    <w:p w14:paraId="4072A9D7" w14:textId="77777777" w:rsidR="00511ADB" w:rsidRPr="00D20C5D" w:rsidRDefault="00511ADB">
      <w:pPr>
        <w:rPr>
          <w:lang w:val="es-ES_tradnl"/>
        </w:rPr>
      </w:pPr>
    </w:p>
    <w:p w14:paraId="09EA7261" w14:textId="77777777" w:rsidR="00511ADB" w:rsidRPr="00D20C5D" w:rsidRDefault="008D400F">
      <w:pPr>
        <w:spacing w:before="200" w:after="200"/>
        <w:jc w:val="center"/>
        <w:rPr>
          <w:lang w:val="es-ES_tradnl"/>
        </w:rPr>
      </w:pPr>
      <w:r>
        <w:rPr>
          <w:rFonts w:ascii="Book Antiqua" w:eastAsia="Book Antiqua" w:hAnsi="Book Antiqua" w:cs="Book Antiqua"/>
          <w:b/>
          <w:bCs/>
          <w:sz w:val="24"/>
          <w:szCs w:val="24"/>
          <w:lang w:val="es-ES_tradnl"/>
        </w:rPr>
        <w:t>ALCANCE Y ANÁLISIS DE LA MEDIDA</w:t>
      </w:r>
    </w:p>
    <w:p w14:paraId="02329B7B" w14:textId="77777777" w:rsidR="00511ADB" w:rsidRPr="00D20C5D" w:rsidRDefault="008D400F">
      <w:pPr>
        <w:spacing w:line="276" w:lineRule="auto"/>
        <w:ind w:firstLine="720"/>
        <w:jc w:val="both"/>
        <w:rPr>
          <w:lang w:val="es-ES_tradnl"/>
        </w:rPr>
      </w:pPr>
      <w:r>
        <w:rPr>
          <w:rFonts w:ascii="Book Antiqua" w:eastAsia="Book Antiqua" w:hAnsi="Book Antiqua" w:cs="Book Antiqua"/>
          <w:sz w:val="24"/>
          <w:szCs w:val="24"/>
          <w:lang w:val="es-ES_tradnl"/>
        </w:rPr>
        <w:t xml:space="preserve">La Resolución de la Cámara Núm. 735 tiene el propósito de ordenar a la Comisión de Recreación y Deportes realizar una investigación exhaustiva sobre los procesos de selección, evaluación y designación de los abanderados del Comité Olímpico de Puerto Rico (COPUR), así como sobre las circunstancias específicas que rodearon la designación y posterior revocación del señor Luis “Tuto” Bermúdez como </w:t>
      </w:r>
      <w:r>
        <w:rPr>
          <w:rFonts w:ascii="Book Antiqua" w:eastAsia="Book Antiqua" w:hAnsi="Book Antiqua" w:cs="Book Antiqua"/>
          <w:sz w:val="24"/>
          <w:szCs w:val="24"/>
          <w:lang w:val="es-ES_tradnl"/>
        </w:rPr>
        <w:lastRenderedPageBreak/>
        <w:t>abanderado de la delegación de Puerto Rico para los Juegos Centroamericanos y del Caribe Santo Domingo 2026.</w:t>
      </w:r>
    </w:p>
    <w:p w14:paraId="6A835F8D" w14:textId="77777777" w:rsidR="00511ADB" w:rsidRPr="00D20C5D" w:rsidRDefault="00511ADB">
      <w:pPr>
        <w:rPr>
          <w:lang w:val="es-ES_tradnl"/>
        </w:rPr>
      </w:pPr>
    </w:p>
    <w:p w14:paraId="4CF581F6" w14:textId="77777777" w:rsidR="00511ADB" w:rsidRPr="00D20C5D" w:rsidRDefault="008D400F">
      <w:pPr>
        <w:spacing w:line="276" w:lineRule="auto"/>
        <w:ind w:firstLine="720"/>
        <w:jc w:val="both"/>
        <w:rPr>
          <w:lang w:val="es-ES_tradnl"/>
        </w:rPr>
      </w:pPr>
      <w:r>
        <w:rPr>
          <w:rFonts w:ascii="Book Antiqua" w:eastAsia="Book Antiqua" w:hAnsi="Book Antiqua" w:cs="Book Antiqua"/>
          <w:sz w:val="24"/>
          <w:szCs w:val="24"/>
          <w:lang w:val="es-ES_tradnl"/>
        </w:rPr>
        <w:t>En la exposición de motivos se detalla que el 17 de junio de 2026 el Pleno del COPUR designó, mediante votación, a la judoca Nathalys Ceballos y al atleta Luis “Tuto” Bermúdez como abanderados de la delegación puertorriqueña. Sin embargo, apenas cinco días después, el 22 de junio de 2026, el Comité Ejecutivo del COPUR dejó sin efecto la designación del señor Bermúdez mediante Resolución oficial, invocando información relacionada con hechos ocurridos en el año 2018 que, a juicio del organismo, podrían no ser compatibles con los principios de su Constitución ni con los valores que representa el rol de abanderado dentro del movimiento olímpico. La medida destaca que la secuencia de estos acontecimientos plantea interrogantes legítimas sobre la existencia de protocolos uniformes de evaluación, sobre la transparencia en la toma de decisiones del organismo y sobre la fiscalización de los fondos públicos que le son asignados.</w:t>
      </w:r>
    </w:p>
    <w:p w14:paraId="01878DC4" w14:textId="77777777" w:rsidR="00511ADB" w:rsidRPr="00D20C5D" w:rsidRDefault="00511ADB">
      <w:pPr>
        <w:rPr>
          <w:lang w:val="es-ES_tradnl"/>
        </w:rPr>
      </w:pPr>
    </w:p>
    <w:p w14:paraId="4856520C" w14:textId="6BF89D35" w:rsidR="00511ADB" w:rsidRPr="00D20C5D" w:rsidRDefault="008D400F">
      <w:pPr>
        <w:spacing w:line="276" w:lineRule="auto"/>
        <w:ind w:firstLine="720"/>
        <w:jc w:val="both"/>
        <w:rPr>
          <w:lang w:val="es-ES_tradnl"/>
        </w:rPr>
      </w:pPr>
      <w:r>
        <w:rPr>
          <w:rFonts w:ascii="Book Antiqua" w:eastAsia="Book Antiqua" w:hAnsi="Book Antiqua" w:cs="Book Antiqua"/>
          <w:sz w:val="24"/>
          <w:szCs w:val="24"/>
          <w:lang w:val="es-ES_tradnl"/>
        </w:rPr>
        <w:t xml:space="preserve">La investigación abarca, entre otros asuntos, las normas y criterios de selección de abanderados, la cronología de los hechos relativos a la designación y revocación, el momento en que el COPUR advino en conocimiento de la información que motivó su decisión, la compatibilidad de sus actuaciones con la política pública contra la violencia de género, la existencia de protocolos para atender este tipo de situaciones y la rendición de cuentas sobre los fondos públicos asignados o transferidos al COPUR. </w:t>
      </w:r>
    </w:p>
    <w:p w14:paraId="329678E4" w14:textId="77777777" w:rsidR="00511ADB" w:rsidRPr="00D20C5D" w:rsidRDefault="00511ADB">
      <w:pPr>
        <w:rPr>
          <w:lang w:val="es-ES_tradnl"/>
        </w:rPr>
      </w:pPr>
    </w:p>
    <w:p w14:paraId="34AFA4CC" w14:textId="787F79C1" w:rsidR="00E0114D" w:rsidRPr="00E0114D" w:rsidRDefault="008D400F" w:rsidP="00E0114D">
      <w:pPr>
        <w:spacing w:before="200" w:after="200"/>
        <w:jc w:val="center"/>
        <w:rPr>
          <w:rFonts w:ascii="Book Antiqua" w:eastAsia="Book Antiqua" w:hAnsi="Book Antiqua" w:cs="Book Antiqua"/>
          <w:b/>
          <w:bCs/>
          <w:sz w:val="24"/>
          <w:szCs w:val="24"/>
          <w:lang w:val="es-ES_tradnl"/>
        </w:rPr>
      </w:pPr>
      <w:r>
        <w:rPr>
          <w:rFonts w:ascii="Book Antiqua" w:eastAsia="Book Antiqua" w:hAnsi="Book Antiqua" w:cs="Book Antiqua"/>
          <w:b/>
          <w:bCs/>
          <w:sz w:val="24"/>
          <w:szCs w:val="24"/>
          <w:lang w:val="es-ES_tradnl"/>
        </w:rPr>
        <w:t>CONCLUSIÓN Y RECOMENDACIÓN</w:t>
      </w:r>
    </w:p>
    <w:p w14:paraId="5C575CF4" w14:textId="77777777" w:rsidR="00E0114D" w:rsidRPr="00F0474D" w:rsidRDefault="00E0114D" w:rsidP="00E0114D">
      <w:pPr>
        <w:spacing w:line="276" w:lineRule="auto"/>
        <w:ind w:firstLine="720"/>
        <w:jc w:val="both"/>
        <w:rPr>
          <w:rFonts w:ascii="Book Antiqua" w:hAnsi="Book Antiqua"/>
          <w:sz w:val="24"/>
          <w:szCs w:val="24"/>
          <w:lang w:val="es-ES"/>
        </w:rPr>
      </w:pPr>
      <w:r w:rsidRPr="00E62675">
        <w:rPr>
          <w:rFonts w:ascii="Book Antiqua" w:hAnsi="Book Antiqua"/>
          <w:bCs/>
          <w:sz w:val="24"/>
          <w:szCs w:val="24"/>
          <w:lang w:val="es-ES"/>
        </w:rPr>
        <w:t xml:space="preserve">Considerando los elementos analizados, esta Comisión concluye que la medida examinada responde a un interés legislativo legítimo y debidamente fundamentado. Como comisión cameral, entendemos que la Resolución objeto de análisis cuenta con los fundamentos constitucionales, estatutarios y jurisprudenciales necesarios para dar paso a su aprobación. </w:t>
      </w:r>
      <w:r w:rsidRPr="00F0474D">
        <w:rPr>
          <w:rFonts w:ascii="Book Antiqua" w:hAnsi="Book Antiqua"/>
          <w:bCs/>
          <w:sz w:val="24"/>
          <w:szCs w:val="24"/>
          <w:lang w:val="es-ES"/>
        </w:rPr>
        <w:t xml:space="preserve">En consecuencia, se recomienda la aprobación de la Resolución de la Cámara 735, con las enmiendas que obran en el </w:t>
      </w:r>
      <w:proofErr w:type="spellStart"/>
      <w:r w:rsidRPr="00F0474D">
        <w:rPr>
          <w:rFonts w:ascii="Book Antiqua" w:hAnsi="Book Antiqua"/>
          <w:bCs/>
          <w:sz w:val="24"/>
          <w:szCs w:val="24"/>
          <w:lang w:val="es-ES"/>
        </w:rPr>
        <w:t>entirillado</w:t>
      </w:r>
      <w:proofErr w:type="spellEnd"/>
      <w:r w:rsidRPr="00F0474D">
        <w:rPr>
          <w:rFonts w:ascii="Book Antiqua" w:hAnsi="Book Antiqua"/>
          <w:bCs/>
          <w:sz w:val="24"/>
          <w:szCs w:val="24"/>
          <w:lang w:val="es-ES"/>
        </w:rPr>
        <w:t xml:space="preserve"> electrónico que acompaña este informe. Finalmente, recomendamos que la Comisión de Recreación y Deportes tramite la investigación conforme al Reglamento de la Cámara de Representantes y dentro del plazo dispuesto en la Resolución.</w:t>
      </w:r>
    </w:p>
    <w:p w14:paraId="5151E353" w14:textId="77777777" w:rsidR="00E0114D" w:rsidRPr="00D20C5D" w:rsidRDefault="00E0114D">
      <w:pPr>
        <w:spacing w:line="276" w:lineRule="auto"/>
        <w:ind w:firstLine="720"/>
        <w:jc w:val="both"/>
        <w:rPr>
          <w:lang w:val="es-ES_tradnl"/>
        </w:rPr>
      </w:pPr>
    </w:p>
    <w:p w14:paraId="1F77E564" w14:textId="77777777" w:rsidR="00511ADB" w:rsidRPr="00D20C5D" w:rsidRDefault="00511ADB">
      <w:pPr>
        <w:rPr>
          <w:lang w:val="es-ES_tradnl"/>
        </w:rPr>
      </w:pPr>
    </w:p>
    <w:p w14:paraId="55A7F329" w14:textId="77777777" w:rsidR="00511ADB" w:rsidRPr="00D20C5D" w:rsidRDefault="00511ADB">
      <w:pPr>
        <w:rPr>
          <w:lang w:val="es-ES_tradnl"/>
        </w:rPr>
      </w:pPr>
    </w:p>
    <w:p w14:paraId="092BB573" w14:textId="77777777" w:rsidR="00F0474D" w:rsidRDefault="00F0474D">
      <w:pPr>
        <w:rPr>
          <w:rFonts w:ascii="Book Antiqua" w:eastAsia="Book Antiqua" w:hAnsi="Book Antiqua" w:cs="Book Antiqua"/>
          <w:sz w:val="24"/>
          <w:szCs w:val="24"/>
          <w:lang w:val="es-ES_tradnl"/>
        </w:rPr>
      </w:pPr>
    </w:p>
    <w:p w14:paraId="6A1D56E0" w14:textId="77777777" w:rsidR="00F0474D" w:rsidRDefault="00F0474D">
      <w:pPr>
        <w:rPr>
          <w:rFonts w:ascii="Book Antiqua" w:eastAsia="Book Antiqua" w:hAnsi="Book Antiqua" w:cs="Book Antiqua"/>
          <w:sz w:val="24"/>
          <w:szCs w:val="24"/>
          <w:lang w:val="es-ES_tradnl"/>
        </w:rPr>
      </w:pPr>
    </w:p>
    <w:p w14:paraId="0825B1ED" w14:textId="77777777" w:rsidR="00F0474D" w:rsidRDefault="00F0474D">
      <w:pPr>
        <w:rPr>
          <w:rFonts w:ascii="Book Antiqua" w:eastAsia="Book Antiqua" w:hAnsi="Book Antiqua" w:cs="Book Antiqua"/>
          <w:sz w:val="24"/>
          <w:szCs w:val="24"/>
          <w:lang w:val="es-ES_tradnl"/>
        </w:rPr>
      </w:pPr>
    </w:p>
    <w:p w14:paraId="272850D3" w14:textId="029ACFE2" w:rsidR="00511ADB" w:rsidRPr="00D20C5D" w:rsidRDefault="008D400F">
      <w:pPr>
        <w:rPr>
          <w:rFonts w:ascii="Book Antiqua" w:eastAsia="Book Antiqua" w:hAnsi="Book Antiqua" w:cs="Book Antiqua"/>
          <w:sz w:val="24"/>
          <w:szCs w:val="24"/>
          <w:lang w:val="es-ES_tradnl"/>
        </w:rPr>
      </w:pPr>
      <w:r>
        <w:rPr>
          <w:rFonts w:ascii="Book Antiqua" w:eastAsia="Book Antiqua" w:hAnsi="Book Antiqua" w:cs="Book Antiqua"/>
          <w:sz w:val="24"/>
          <w:szCs w:val="24"/>
          <w:lang w:val="es-ES_tradnl"/>
        </w:rPr>
        <w:lastRenderedPageBreak/>
        <w:t>Respetuosamente sometido,</w:t>
      </w:r>
    </w:p>
    <w:p w14:paraId="50B17BD4" w14:textId="77777777" w:rsidR="00D20C5D" w:rsidRPr="00D20C5D" w:rsidRDefault="00D20C5D">
      <w:pPr>
        <w:rPr>
          <w:lang w:val="es-ES_tradnl"/>
        </w:rPr>
      </w:pPr>
    </w:p>
    <w:p w14:paraId="43E8514D" w14:textId="77777777" w:rsidR="00511ADB" w:rsidRPr="00D20C5D" w:rsidRDefault="00511ADB">
      <w:pPr>
        <w:rPr>
          <w:lang w:val="es-ES_tradnl"/>
        </w:rPr>
      </w:pPr>
    </w:p>
    <w:p w14:paraId="4283D648" w14:textId="77777777" w:rsidR="00511ADB" w:rsidRPr="00D20C5D" w:rsidRDefault="00511ADB">
      <w:pPr>
        <w:rPr>
          <w:lang w:val="es-ES_tradnl"/>
        </w:rPr>
      </w:pPr>
    </w:p>
    <w:p w14:paraId="56C063CB" w14:textId="77777777" w:rsidR="00511ADB" w:rsidRDefault="00511ADB">
      <w:pPr>
        <w:rPr>
          <w:lang w:val="es-ES_tradnl"/>
        </w:rPr>
      </w:pPr>
    </w:p>
    <w:p w14:paraId="7EBC78F1" w14:textId="77777777" w:rsidR="000D58DE" w:rsidRDefault="000D58DE">
      <w:pPr>
        <w:rPr>
          <w:lang w:val="es-ES_tradnl"/>
        </w:rPr>
      </w:pPr>
    </w:p>
    <w:p w14:paraId="1F789F34" w14:textId="77777777" w:rsidR="000D58DE" w:rsidRDefault="000D58DE">
      <w:pPr>
        <w:rPr>
          <w:lang w:val="es-ES_tradnl"/>
        </w:rPr>
      </w:pPr>
    </w:p>
    <w:p w14:paraId="2DC14235" w14:textId="77777777" w:rsidR="00511ADB" w:rsidRPr="00D20C5D" w:rsidRDefault="00511ADB">
      <w:pPr>
        <w:rPr>
          <w:lang w:val="es-ES_tradnl"/>
        </w:rPr>
      </w:pPr>
    </w:p>
    <w:p w14:paraId="6A15AE76" w14:textId="77777777" w:rsidR="00511ADB" w:rsidRPr="00D20C5D" w:rsidRDefault="008D400F">
      <w:pPr>
        <w:rPr>
          <w:lang w:val="es-ES_tradnl"/>
        </w:rPr>
      </w:pPr>
      <w:r>
        <w:rPr>
          <w:rFonts w:ascii="Book Antiqua" w:eastAsia="Book Antiqua" w:hAnsi="Book Antiqua" w:cs="Book Antiqua"/>
          <w:b/>
          <w:bCs/>
          <w:sz w:val="24"/>
          <w:szCs w:val="24"/>
          <w:lang w:val="es-ES_tradnl"/>
        </w:rPr>
        <w:t>PEDRO JULIO SANTIAGO GUZMÁN</w:t>
      </w:r>
    </w:p>
    <w:p w14:paraId="5CD2E272" w14:textId="77777777" w:rsidR="00511ADB" w:rsidRPr="00F0474D" w:rsidRDefault="008D400F">
      <w:pPr>
        <w:rPr>
          <w:lang w:val="es-ES_tradnl"/>
        </w:rPr>
      </w:pPr>
      <w:r w:rsidRPr="00F0474D">
        <w:rPr>
          <w:rFonts w:ascii="Book Antiqua" w:eastAsia="Book Antiqua" w:hAnsi="Book Antiqua" w:cs="Book Antiqua"/>
          <w:sz w:val="24"/>
          <w:szCs w:val="24"/>
          <w:lang w:val="es-ES_tradnl"/>
        </w:rPr>
        <w:t>Presidente</w:t>
      </w:r>
    </w:p>
    <w:p w14:paraId="214619BD" w14:textId="77777777" w:rsidR="00511ADB" w:rsidRPr="00F0474D" w:rsidRDefault="008D400F">
      <w:pPr>
        <w:rPr>
          <w:lang w:val="es-ES_tradnl"/>
        </w:rPr>
      </w:pPr>
      <w:r w:rsidRPr="00F0474D">
        <w:rPr>
          <w:rFonts w:ascii="Book Antiqua" w:eastAsia="Book Antiqua" w:hAnsi="Book Antiqua" w:cs="Book Antiqua"/>
          <w:sz w:val="24"/>
          <w:szCs w:val="24"/>
          <w:lang w:val="es-ES_tradnl"/>
        </w:rPr>
        <w:t>Comisión de Asuntos Internos</w:t>
      </w:r>
    </w:p>
    <w:sectPr w:rsidR="00511ADB" w:rsidRPr="00F0474D">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ED73C" w14:textId="77777777" w:rsidR="009877D8" w:rsidRDefault="009877D8">
      <w:r>
        <w:separator/>
      </w:r>
    </w:p>
  </w:endnote>
  <w:endnote w:type="continuationSeparator" w:id="0">
    <w:p w14:paraId="74286D39" w14:textId="77777777" w:rsidR="009877D8" w:rsidRDefault="00987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7EB10" w14:textId="77777777" w:rsidR="009877D8" w:rsidRDefault="009877D8">
      <w:r>
        <w:separator/>
      </w:r>
    </w:p>
  </w:footnote>
  <w:footnote w:type="continuationSeparator" w:id="0">
    <w:p w14:paraId="2D62554A" w14:textId="77777777" w:rsidR="009877D8" w:rsidRDefault="009877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E2A02" w14:textId="77777777" w:rsidR="00511ADB" w:rsidRDefault="008D400F">
    <w:pPr>
      <w:jc w:val="center"/>
    </w:pPr>
    <w:r>
      <w:rPr>
        <w:rFonts w:ascii="Book Antiqua" w:eastAsia="Book Antiqua" w:hAnsi="Book Antiqua" w:cs="Book Antiqua"/>
        <w:sz w:val="24"/>
        <w:szCs w:val="24"/>
      </w:rPr>
      <w:fldChar w:fldCharType="begin"/>
    </w:r>
    <w:r>
      <w:rPr>
        <w:rFonts w:ascii="Book Antiqua" w:eastAsia="Book Antiqua" w:hAnsi="Book Antiqua" w:cs="Book Antiqua"/>
        <w:sz w:val="24"/>
        <w:szCs w:val="24"/>
      </w:rPr>
      <w:instrText>PAGE</w:instrText>
    </w:r>
    <w:r>
      <w:rPr>
        <w:rFonts w:ascii="Book Antiqua" w:eastAsia="Book Antiqua" w:hAnsi="Book Antiqua" w:cs="Book Antiqua"/>
        <w:sz w:val="24"/>
        <w:szCs w:val="24"/>
      </w:rPr>
      <w:fldChar w:fldCharType="separate"/>
    </w:r>
    <w:r w:rsidR="00E0114D">
      <w:rPr>
        <w:rFonts w:ascii="Book Antiqua" w:eastAsia="Book Antiqua" w:hAnsi="Book Antiqua" w:cs="Book Antiqua"/>
        <w:noProof/>
        <w:sz w:val="24"/>
        <w:szCs w:val="24"/>
      </w:rPr>
      <w:t>2</w:t>
    </w:r>
    <w:r>
      <w:rPr>
        <w:rFonts w:ascii="Book Antiqua" w:eastAsia="Book Antiqua" w:hAnsi="Book Antiqua" w:cs="Book Antiqua"/>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0B5A1A"/>
    <w:multiLevelType w:val="hybridMultilevel"/>
    <w:tmpl w:val="E0581DD2"/>
    <w:lvl w:ilvl="0" w:tplc="7C5689B0">
      <w:start w:val="1"/>
      <w:numFmt w:val="bullet"/>
      <w:lvlText w:val="●"/>
      <w:lvlJc w:val="left"/>
      <w:pPr>
        <w:ind w:left="720" w:hanging="360"/>
      </w:pPr>
    </w:lvl>
    <w:lvl w:ilvl="1" w:tplc="A3ACA086">
      <w:start w:val="1"/>
      <w:numFmt w:val="bullet"/>
      <w:lvlText w:val="○"/>
      <w:lvlJc w:val="left"/>
      <w:pPr>
        <w:ind w:left="1440" w:hanging="360"/>
      </w:pPr>
    </w:lvl>
    <w:lvl w:ilvl="2" w:tplc="AABEAC36">
      <w:start w:val="1"/>
      <w:numFmt w:val="bullet"/>
      <w:lvlText w:val="■"/>
      <w:lvlJc w:val="left"/>
      <w:pPr>
        <w:ind w:left="2160" w:hanging="360"/>
      </w:pPr>
    </w:lvl>
    <w:lvl w:ilvl="3" w:tplc="4164101E">
      <w:start w:val="1"/>
      <w:numFmt w:val="bullet"/>
      <w:lvlText w:val="●"/>
      <w:lvlJc w:val="left"/>
      <w:pPr>
        <w:ind w:left="2880" w:hanging="360"/>
      </w:pPr>
    </w:lvl>
    <w:lvl w:ilvl="4" w:tplc="8D8C947C">
      <w:start w:val="1"/>
      <w:numFmt w:val="bullet"/>
      <w:lvlText w:val="○"/>
      <w:lvlJc w:val="left"/>
      <w:pPr>
        <w:ind w:left="3600" w:hanging="360"/>
      </w:pPr>
    </w:lvl>
    <w:lvl w:ilvl="5" w:tplc="D584D6E8">
      <w:start w:val="1"/>
      <w:numFmt w:val="bullet"/>
      <w:lvlText w:val="■"/>
      <w:lvlJc w:val="left"/>
      <w:pPr>
        <w:ind w:left="4320" w:hanging="360"/>
      </w:pPr>
    </w:lvl>
    <w:lvl w:ilvl="6" w:tplc="0ED46198">
      <w:start w:val="1"/>
      <w:numFmt w:val="bullet"/>
      <w:lvlText w:val="●"/>
      <w:lvlJc w:val="left"/>
      <w:pPr>
        <w:ind w:left="5040" w:hanging="360"/>
      </w:pPr>
    </w:lvl>
    <w:lvl w:ilvl="7" w:tplc="6D4EA4E2">
      <w:start w:val="1"/>
      <w:numFmt w:val="bullet"/>
      <w:lvlText w:val="●"/>
      <w:lvlJc w:val="left"/>
      <w:pPr>
        <w:ind w:left="5760" w:hanging="360"/>
      </w:pPr>
    </w:lvl>
    <w:lvl w:ilvl="8" w:tplc="F8C07BD2">
      <w:start w:val="1"/>
      <w:numFmt w:val="bullet"/>
      <w:lvlText w:val="●"/>
      <w:lvlJc w:val="left"/>
      <w:pPr>
        <w:ind w:left="6480" w:hanging="360"/>
      </w:pPr>
    </w:lvl>
  </w:abstractNum>
  <w:num w:numId="1" w16cid:durableId="38804247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511ADB"/>
    <w:rsid w:val="000D58DE"/>
    <w:rsid w:val="00511ADB"/>
    <w:rsid w:val="007622D7"/>
    <w:rsid w:val="00831346"/>
    <w:rsid w:val="008D2995"/>
    <w:rsid w:val="008D400F"/>
    <w:rsid w:val="009877D8"/>
    <w:rsid w:val="00D20C5D"/>
    <w:rsid w:val="00E0114D"/>
    <w:rsid w:val="00E62675"/>
    <w:rsid w:val="00F047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2D3397"/>
  <w15:docId w15:val="{600A7754-E046-4A25-85F4-A31C0DBF1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209176">
      <w:bodyDiv w:val="1"/>
      <w:marLeft w:val="0"/>
      <w:marRight w:val="0"/>
      <w:marTop w:val="0"/>
      <w:marBottom w:val="0"/>
      <w:divBdr>
        <w:top w:val="none" w:sz="0" w:space="0" w:color="auto"/>
        <w:left w:val="none" w:sz="0" w:space="0" w:color="auto"/>
        <w:bottom w:val="none" w:sz="0" w:space="0" w:color="auto"/>
        <w:right w:val="none" w:sz="0" w:space="0" w:color="auto"/>
      </w:divBdr>
      <w:divsChild>
        <w:div w:id="12439481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4153875">
      <w:bodyDiv w:val="1"/>
      <w:marLeft w:val="0"/>
      <w:marRight w:val="0"/>
      <w:marTop w:val="0"/>
      <w:marBottom w:val="0"/>
      <w:divBdr>
        <w:top w:val="none" w:sz="0" w:space="0" w:color="auto"/>
        <w:left w:val="none" w:sz="0" w:space="0" w:color="auto"/>
        <w:bottom w:val="none" w:sz="0" w:space="0" w:color="auto"/>
        <w:right w:val="none" w:sz="0" w:space="0" w:color="auto"/>
      </w:divBdr>
      <w:divsChild>
        <w:div w:id="17808338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635</Words>
  <Characters>3622</Characters>
  <Application>Microsoft Office Word</Application>
  <DocSecurity>0</DocSecurity>
  <Lines>30</Lines>
  <Paragraphs>8</Paragraphs>
  <ScaleCrop>false</ScaleCrop>
  <Company>Admin</Company>
  <LinksUpToDate>false</LinksUpToDate>
  <CharactersWithSpaces>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Alondra Negrón Rivera</cp:lastModifiedBy>
  <cp:revision>3</cp:revision>
  <dcterms:created xsi:type="dcterms:W3CDTF">2026-06-25T13:31:00Z</dcterms:created>
  <dcterms:modified xsi:type="dcterms:W3CDTF">2026-06-25T13:34:00Z</dcterms:modified>
</cp:coreProperties>
</file>