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F29920F" w:rsidR="008D4334" w:rsidRPr="00F32ED1" w:rsidRDefault="003F02DC" w:rsidP="003F02D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32ED1">
        <w:rPr>
          <w:rFonts w:ascii="Book Antiqua" w:hAnsi="Book Antiqua"/>
          <w:lang w:val="es-PR"/>
        </w:rPr>
        <w:t>20ma.</w:t>
      </w:r>
      <w:r w:rsidR="008D4334" w:rsidRPr="00F32ED1">
        <w:rPr>
          <w:rFonts w:ascii="Book Antiqua" w:hAnsi="Book Antiqua"/>
          <w:lang w:val="es-PR"/>
        </w:rPr>
        <w:tab/>
        <w:t>Asamblea</w:t>
      </w:r>
      <w:r w:rsidR="008D4334" w:rsidRPr="00F32ED1">
        <w:rPr>
          <w:rFonts w:ascii="Book Antiqua" w:hAnsi="Book Antiqua"/>
          <w:lang w:val="es-PR"/>
        </w:rPr>
        <w:tab/>
      </w:r>
      <w:r w:rsidRPr="00F32ED1">
        <w:rPr>
          <w:rFonts w:ascii="Book Antiqua" w:hAnsi="Book Antiqua"/>
          <w:lang w:val="es-PR"/>
        </w:rPr>
        <w:t xml:space="preserve">                                                                                               3ra. </w:t>
      </w:r>
      <w:r w:rsidR="008D4334" w:rsidRPr="00F32ED1">
        <w:rPr>
          <w:rFonts w:ascii="Book Antiqua" w:hAnsi="Book Antiqua"/>
          <w:lang w:val="es-PR"/>
        </w:rPr>
        <w:t>Sesión</w:t>
      </w:r>
    </w:p>
    <w:p w14:paraId="09365B31" w14:textId="5C0C2D6B" w:rsidR="008D4334" w:rsidRPr="00F32ED1" w:rsidRDefault="008D4334" w:rsidP="003F02D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32ED1">
        <w:rPr>
          <w:rFonts w:ascii="Book Antiqua" w:hAnsi="Book Antiqua"/>
          <w:lang w:val="es-PR"/>
        </w:rPr>
        <w:tab/>
        <w:t>Legislativa</w:t>
      </w:r>
      <w:r w:rsidRPr="00F32ED1">
        <w:rPr>
          <w:rFonts w:ascii="Book Antiqua" w:hAnsi="Book Antiqua"/>
          <w:lang w:val="es-PR"/>
        </w:rPr>
        <w:tab/>
      </w:r>
      <w:r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</w:r>
      <w:r w:rsidR="003F02DC" w:rsidRPr="00F32ED1">
        <w:rPr>
          <w:rFonts w:ascii="Book Antiqua" w:hAnsi="Book Antiqua"/>
          <w:lang w:val="es-PR"/>
        </w:rPr>
        <w:tab/>
        <w:t xml:space="preserve">      </w:t>
      </w:r>
      <w:r w:rsidRPr="00F32ED1">
        <w:rPr>
          <w:rFonts w:ascii="Book Antiqua" w:hAnsi="Book Antiqua"/>
          <w:lang w:val="es-PR"/>
        </w:rPr>
        <w:t>Ordinaria</w:t>
      </w:r>
    </w:p>
    <w:p w14:paraId="05550AFF" w14:textId="77777777" w:rsidR="008D4334" w:rsidRPr="00F32ED1" w:rsidRDefault="008D4334" w:rsidP="00561C91">
      <w:pPr>
        <w:rPr>
          <w:rFonts w:ascii="Book Antiqua" w:hAnsi="Book Antiqua"/>
          <w:lang w:val="es-PR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0F2377D0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4806E0">
        <w:rPr>
          <w:rFonts w:ascii="Book Antiqua" w:hAnsi="Book Antiqua"/>
          <w:b/>
          <w:sz w:val="52"/>
          <w:lang w:val="es-ES_tradnl"/>
        </w:rPr>
        <w:t xml:space="preserve"> </w:t>
      </w:r>
      <w:r w:rsidR="0020701A">
        <w:rPr>
          <w:rFonts w:ascii="Book Antiqua" w:hAnsi="Book Antiqua"/>
          <w:b/>
          <w:sz w:val="52"/>
          <w:lang w:val="es-ES_tradnl"/>
        </w:rPr>
        <w:t xml:space="preserve"> </w:t>
      </w:r>
      <w:r w:rsidR="0050631D">
        <w:rPr>
          <w:rFonts w:ascii="Book Antiqua" w:hAnsi="Book Antiqua"/>
          <w:b/>
          <w:sz w:val="52"/>
          <w:lang w:val="es-ES_tradnl"/>
        </w:rPr>
        <w:t>737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6DA3951C" w:rsidR="008D4334" w:rsidRDefault="0050631D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25</w:t>
      </w:r>
      <w:r w:rsidR="003C2DE9">
        <w:rPr>
          <w:rFonts w:ascii="Book Antiqua" w:hAnsi="Book Antiqua"/>
          <w:lang w:val="es-ES_tradnl"/>
        </w:rPr>
        <w:t xml:space="preserve"> DE </w:t>
      </w:r>
      <w:r w:rsidR="00E43F77">
        <w:rPr>
          <w:rFonts w:ascii="Book Antiqua" w:hAnsi="Book Antiqua"/>
          <w:lang w:val="es-ES_tradnl"/>
        </w:rPr>
        <w:t>JUNIO</w:t>
      </w:r>
      <w:r w:rsidR="004A5BEC">
        <w:rPr>
          <w:rFonts w:ascii="Book Antiqua" w:hAnsi="Book Antiqua"/>
          <w:lang w:val="es-ES_tradnl"/>
        </w:rPr>
        <w:t xml:space="preserve"> D</w:t>
      </w:r>
      <w:r w:rsidR="008D4334">
        <w:rPr>
          <w:rFonts w:ascii="Book Antiqua" w:hAnsi="Book Antiqua"/>
          <w:lang w:val="es-ES_tradnl"/>
        </w:rPr>
        <w:t>E 202</w:t>
      </w:r>
      <w:r w:rsidR="00E43F77">
        <w:rPr>
          <w:rFonts w:ascii="Book Antiqua" w:hAnsi="Book Antiqua"/>
          <w:lang w:val="es-ES_tradnl"/>
        </w:rPr>
        <w:t>6</w:t>
      </w:r>
      <w:r w:rsidR="008D4334">
        <w:rPr>
          <w:rFonts w:ascii="Book Antiqua" w:hAnsi="Book Antiqua"/>
          <w:lang w:val="es-ES_tradnl"/>
        </w:rPr>
        <w:t xml:space="preserve"> 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102DD5CD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E43F77">
        <w:rPr>
          <w:rFonts w:ascii="Book Antiqua" w:hAnsi="Book Antiqua"/>
          <w:i/>
          <w:iCs/>
          <w:lang w:val="es-ES"/>
        </w:rPr>
        <w:t>Pérez Ramírez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00BBE3AB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61C91">
        <w:rPr>
          <w:rFonts w:ascii="Book Antiqua" w:hAnsi="Book Antiqua"/>
          <w:lang w:val="es-ES_tradnl"/>
        </w:rPr>
        <w:t xml:space="preserve">la Comisión de </w:t>
      </w:r>
      <w:r w:rsidR="00F32ED1">
        <w:rPr>
          <w:rFonts w:ascii="Book Antiqua" w:hAnsi="Book Antiqua"/>
          <w:lang w:val="es-ES_tradnl"/>
        </w:rPr>
        <w:t>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Pr="005A6A36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2AAC2192" w14:textId="372C543D" w:rsidR="00F073B8" w:rsidRDefault="00E43F77" w:rsidP="00F32ED1">
      <w:pPr>
        <w:ind w:left="720" w:hanging="720"/>
        <w:jc w:val="both"/>
        <w:rPr>
          <w:rFonts w:ascii="Book Antiqua" w:hAnsi="Book Antiqua"/>
          <w:lang w:val="es-PR"/>
        </w:rPr>
      </w:pPr>
      <w:r w:rsidRPr="00E43F77">
        <w:rPr>
          <w:rFonts w:ascii="Book Antiqua" w:hAnsi="Book Antiqua"/>
          <w:lang w:val="es-PR"/>
        </w:rPr>
        <w:t>Para ordenar a la Comisión de Educación de la Cámara de Representantes de Puerto Rico, realizar una investigación exhaustiva sobre el manejo, desperdicio y disposición de alimentos en los comedores escolares del Departamento de Educación</w:t>
      </w:r>
      <w:r>
        <w:rPr>
          <w:rFonts w:ascii="Book Antiqua" w:hAnsi="Book Antiqua"/>
          <w:lang w:val="es-PR"/>
        </w:rPr>
        <w:t xml:space="preserve"> de Puerto Rico</w:t>
      </w:r>
      <w:r w:rsidRPr="00E43F77">
        <w:rPr>
          <w:rFonts w:ascii="Book Antiqua" w:hAnsi="Book Antiqua"/>
          <w:lang w:val="es-PR"/>
        </w:rPr>
        <w:t>; evaluar la magnitud de los residuos de comida generados, sus causas, el impacto fiscal y ambiental de dicha problemática, y presentar recomendaciones para maximizar el aprovechamiento de los alimentos adquiridos con fondos públicos.</w:t>
      </w:r>
    </w:p>
    <w:p w14:paraId="235B9AC5" w14:textId="77777777" w:rsidR="00E43F77" w:rsidRDefault="00E43F77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Default="00561C91" w:rsidP="004A5BEC">
      <w:pPr>
        <w:ind w:firstLine="720"/>
        <w:jc w:val="both"/>
        <w:rPr>
          <w:rFonts w:ascii="Book Antiqua" w:hAnsi="Book Antiqua"/>
          <w:lang w:val="es-ES_tradnl"/>
        </w:rPr>
      </w:pPr>
    </w:p>
    <w:p w14:paraId="3FC0E905" w14:textId="02DBE23B" w:rsidR="00E43F77" w:rsidRDefault="00E43F77" w:rsidP="0065220D">
      <w:pPr>
        <w:ind w:firstLine="72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La alimentación escolar constituye uno de los servicios esenciales que ofrece el Gobierno de Puerto Rico a miles de estudiantes diariamente. A través del Programa de Comedores Escolares, se invierten anualmente millones de dólares provenientes de fondos estatales y federales para garantizar una nutrición adecuada a nuestra población estudiantil.</w:t>
      </w:r>
      <w:r w:rsidR="0065220D">
        <w:rPr>
          <w:rFonts w:ascii="Book Antiqua" w:hAnsi="Book Antiqua"/>
          <w:lang w:val="es-ES"/>
        </w:rPr>
        <w:t xml:space="preserve"> </w:t>
      </w:r>
      <w:r w:rsidRPr="00E43F77">
        <w:rPr>
          <w:rFonts w:ascii="Book Antiqua" w:hAnsi="Book Antiqua"/>
          <w:lang w:val="es-ES"/>
        </w:rPr>
        <w:t>Sin embargo, d</w:t>
      </w:r>
      <w:r w:rsidR="0065220D">
        <w:rPr>
          <w:rFonts w:ascii="Book Antiqua" w:hAnsi="Book Antiqua"/>
          <w:lang w:val="es-ES"/>
        </w:rPr>
        <w:t xml:space="preserve">urante visitas </w:t>
      </w:r>
      <w:proofErr w:type="gramStart"/>
      <w:r w:rsidRPr="00E43F77">
        <w:rPr>
          <w:rFonts w:ascii="Book Antiqua" w:hAnsi="Book Antiqua"/>
          <w:lang w:val="es-ES"/>
        </w:rPr>
        <w:t>la comunidad escolar han</w:t>
      </w:r>
      <w:proofErr w:type="gramEnd"/>
      <w:r w:rsidRPr="00E43F77">
        <w:rPr>
          <w:rFonts w:ascii="Book Antiqua" w:hAnsi="Book Antiqua"/>
          <w:lang w:val="es-ES"/>
        </w:rPr>
        <w:t xml:space="preserve"> expresado preocupación por la cantidad de alimentos que diariamente terminan en los desperdicios sin haber sido consumidos. Esta situación puede responder a múltiples factores, incluyendo la aceptación de los menús por parte de los estudiantes, tamaños de porciones, horarios de servicio, métodos de preparación, almacenamiento, distribución de alimentos y otros aspectos operacionales.</w:t>
      </w:r>
    </w:p>
    <w:p w14:paraId="753FAA21" w14:textId="77777777" w:rsidR="00E43F77" w:rsidRPr="00E43F77" w:rsidRDefault="00E43F77" w:rsidP="00E43F77">
      <w:pPr>
        <w:ind w:firstLine="720"/>
        <w:jc w:val="both"/>
        <w:rPr>
          <w:rFonts w:ascii="Book Antiqua" w:hAnsi="Book Antiqua"/>
          <w:lang w:val="es-ES"/>
        </w:rPr>
      </w:pPr>
    </w:p>
    <w:p w14:paraId="425EAB12" w14:textId="77777777" w:rsidR="00E43F77" w:rsidRPr="00E43F77" w:rsidRDefault="00E43F77" w:rsidP="00E43F77">
      <w:pPr>
        <w:ind w:firstLine="72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 xml:space="preserve">Además del impacto económico que representa la pérdida de alimentos adquiridos con fondos públicos, el desperdicio de comida genera consecuencias ambientales relacionadas con el manejo y disposición de residuos sólidos. A su vez, limita </w:t>
      </w:r>
      <w:r w:rsidRPr="00E43F77">
        <w:rPr>
          <w:rFonts w:ascii="Book Antiqua" w:hAnsi="Book Antiqua"/>
          <w:lang w:val="es-ES"/>
        </w:rPr>
        <w:lastRenderedPageBreak/>
        <w:t>la eficiencia de los recursos destinados a combatir la inseguridad alimentaria y promover una nutrición adecuada entre nuestros estudiantes.</w:t>
      </w:r>
    </w:p>
    <w:p w14:paraId="032B2AD5" w14:textId="77777777" w:rsidR="00E43F77" w:rsidRPr="00E43F77" w:rsidRDefault="00E43F77" w:rsidP="00E43F77">
      <w:pPr>
        <w:ind w:firstLine="720"/>
        <w:jc w:val="both"/>
        <w:rPr>
          <w:rFonts w:ascii="Book Antiqua" w:hAnsi="Book Antiqua"/>
          <w:lang w:val="es-ES"/>
        </w:rPr>
      </w:pPr>
    </w:p>
    <w:p w14:paraId="001F6E81" w14:textId="7CC1F113" w:rsidR="004A5BEC" w:rsidRPr="00E43F77" w:rsidRDefault="00E43F77" w:rsidP="00E43F77">
      <w:pPr>
        <w:ind w:firstLine="72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Resulta indispensable que la Cámara de Representantes evalúe de manera objetiva la magnitud de esta situación, identifique las áreas de mejora y considere alternativas innovadoras que permitan reducir el desperdicio de alimentos, optimizar los recursos públicos y fortalecer el Programa de Comedores Escolares.</w:t>
      </w:r>
    </w:p>
    <w:p w14:paraId="508CF679" w14:textId="77777777" w:rsidR="00E43F77" w:rsidRDefault="00E43F77" w:rsidP="004A5BEC">
      <w:pPr>
        <w:ind w:firstLine="720"/>
        <w:jc w:val="both"/>
        <w:rPr>
          <w:rFonts w:ascii="Book Antiqua" w:hAnsi="Book Antiqua"/>
          <w:lang w:val="es-PR"/>
        </w:rPr>
      </w:pPr>
    </w:p>
    <w:p w14:paraId="45978958" w14:textId="59523F65" w:rsidR="008D4334" w:rsidRDefault="008D4334" w:rsidP="004A5BEC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54E4C9" w14:textId="336A758D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Sección 1.</w:t>
      </w:r>
      <w:r>
        <w:rPr>
          <w:rFonts w:ascii="Book Antiqua" w:hAnsi="Book Antiqua"/>
          <w:lang w:val="es-ES"/>
        </w:rPr>
        <w:t xml:space="preserve"> - </w:t>
      </w:r>
      <w:r w:rsidRPr="00E43F77">
        <w:rPr>
          <w:rFonts w:ascii="Book Antiqua" w:hAnsi="Book Antiqua"/>
          <w:lang w:val="es-ES"/>
        </w:rPr>
        <w:t>Se ordena a la Comisión de Educación, realizar una investigación sobre el manejo, desperdicio y disposición de alimentos en los comedores escolares del Departamento de Educación de Puerto Rico.</w:t>
      </w:r>
    </w:p>
    <w:p w14:paraId="2368C2A0" w14:textId="718EBBE1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Sección 2.</w:t>
      </w:r>
      <w:r>
        <w:rPr>
          <w:rFonts w:ascii="Book Antiqua" w:hAnsi="Book Antiqua"/>
          <w:lang w:val="es-ES"/>
        </w:rPr>
        <w:t xml:space="preserve"> - </w:t>
      </w:r>
      <w:r w:rsidRPr="00E43F77">
        <w:rPr>
          <w:rFonts w:ascii="Book Antiqua" w:hAnsi="Book Antiqua"/>
          <w:lang w:val="es-ES"/>
        </w:rPr>
        <w:t>La investigación deberá incluir, sin limitarse a:</w:t>
      </w:r>
    </w:p>
    <w:p w14:paraId="04FF3EAF" w14:textId="19EADE7C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a. La cantidad estimada de alimentos que son descartados diaria, mensual y anualmente en los comedores escolares.</w:t>
      </w:r>
    </w:p>
    <w:p w14:paraId="4F1468C9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b. Los mecanismos existentes para medir y registrar los residuos de alimentos.</w:t>
      </w:r>
    </w:p>
    <w:p w14:paraId="5D04BD1C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c. Las causas principales que provocan el desperdicio de comida.</w:t>
      </w:r>
    </w:p>
    <w:p w14:paraId="19D7D010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d. El costo económico asociado a los alimentos que no son consumidos y terminan siendo descartados.</w:t>
      </w:r>
    </w:p>
    <w:p w14:paraId="0755B714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e. El impacto ambiental relacionado con la generación y disposición de residuos alimentarios.</w:t>
      </w:r>
    </w:p>
    <w:p w14:paraId="7E5D35C1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f. La efectividad de los menús y el nivel de aceptación por parte de los estudiantes.</w:t>
      </w:r>
    </w:p>
    <w:p w14:paraId="58E435DB" w14:textId="77777777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g. Las prácticas de otras jurisdicciones para reducir el desperdicio de alimentos en escuelas públicas.</w:t>
      </w:r>
    </w:p>
    <w:p w14:paraId="163DF5E1" w14:textId="0CB79E7E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lastRenderedPageBreak/>
        <w:t>h. La viabilidad de programas de compostaje, reciclaje de residuos orgánicos, donación de alimentos permitida por ley u otras iniciativas de aprovechamiento responsable.</w:t>
      </w:r>
    </w:p>
    <w:p w14:paraId="5C1A07B2" w14:textId="1ECAF3B6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Sección 3.</w:t>
      </w:r>
      <w:r>
        <w:rPr>
          <w:rFonts w:ascii="Book Antiqua" w:hAnsi="Book Antiqua"/>
          <w:lang w:val="es-ES"/>
        </w:rPr>
        <w:t xml:space="preserve"> - </w:t>
      </w:r>
      <w:r w:rsidRPr="00E43F77">
        <w:rPr>
          <w:rFonts w:ascii="Book Antiqua" w:hAnsi="Book Antiqua"/>
          <w:lang w:val="es-ES"/>
        </w:rPr>
        <w:t>La comisión podrá requerir información, documentos, estadísticas, comparecencias y cualquier otra evidencia del Departamento de Educación, agencias gubernamentales, municipios, organizaciones sin fines de lucro y cualquier entidad pertinente.</w:t>
      </w:r>
    </w:p>
    <w:p w14:paraId="105E9E52" w14:textId="59646E60" w:rsidR="00E43F77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Sección 4.</w:t>
      </w:r>
      <w:r>
        <w:rPr>
          <w:rFonts w:ascii="Book Antiqua" w:hAnsi="Book Antiqua"/>
          <w:lang w:val="es-ES"/>
        </w:rPr>
        <w:t xml:space="preserve"> - </w:t>
      </w:r>
      <w:r w:rsidRPr="00E43F77">
        <w:rPr>
          <w:rFonts w:ascii="Book Antiqua" w:hAnsi="Book Antiqua"/>
          <w:lang w:val="es-ES"/>
        </w:rPr>
        <w:t>La comisión rendirá un informe con sus hallazgos, conclusiones y recomendaciones dentro de los ciento ochenta (180) días siguientes a la aprobación de esta Resolución.</w:t>
      </w:r>
    </w:p>
    <w:p w14:paraId="033DE156" w14:textId="1ADC1B5D" w:rsidR="00301005" w:rsidRPr="00E43F77" w:rsidRDefault="00E43F77" w:rsidP="00E43F77">
      <w:pPr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E43F77">
        <w:rPr>
          <w:rFonts w:ascii="Book Antiqua" w:hAnsi="Book Antiqua"/>
          <w:lang w:val="es-ES"/>
        </w:rPr>
        <w:t>Sección 5.</w:t>
      </w:r>
      <w:r>
        <w:rPr>
          <w:rFonts w:ascii="Book Antiqua" w:hAnsi="Book Antiqua"/>
          <w:lang w:val="es-ES"/>
        </w:rPr>
        <w:t xml:space="preserve"> - </w:t>
      </w:r>
      <w:r w:rsidRPr="00E43F77">
        <w:rPr>
          <w:rFonts w:ascii="Book Antiqua" w:hAnsi="Book Antiqua"/>
          <w:lang w:val="es-ES"/>
        </w:rPr>
        <w:t>Esta Resolución comenzará a regir inmediatamente después de su aprobación.</w:t>
      </w:r>
    </w:p>
    <w:sectPr w:rsidR="00301005" w:rsidRPr="00E43F77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6AFF1" w14:textId="77777777" w:rsidR="00BD4FFC" w:rsidRDefault="00BD4FFC" w:rsidP="008D4334">
      <w:r>
        <w:separator/>
      </w:r>
    </w:p>
  </w:endnote>
  <w:endnote w:type="continuationSeparator" w:id="0">
    <w:p w14:paraId="12D8E491" w14:textId="77777777" w:rsidR="00BD4FFC" w:rsidRDefault="00BD4FFC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065FD" w14:textId="77777777" w:rsidR="00BD4FFC" w:rsidRDefault="00BD4FFC" w:rsidP="008D4334">
      <w:r>
        <w:separator/>
      </w:r>
    </w:p>
  </w:footnote>
  <w:footnote w:type="continuationSeparator" w:id="0">
    <w:p w14:paraId="3BD20930" w14:textId="77777777" w:rsidR="00BD4FFC" w:rsidRDefault="00BD4FFC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C10C2"/>
    <w:multiLevelType w:val="hybridMultilevel"/>
    <w:tmpl w:val="2AAEA32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432A5"/>
    <w:multiLevelType w:val="hybridMultilevel"/>
    <w:tmpl w:val="2DCA1D1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A763B54"/>
    <w:multiLevelType w:val="multilevel"/>
    <w:tmpl w:val="89BC7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9F3862"/>
    <w:multiLevelType w:val="multilevel"/>
    <w:tmpl w:val="11D4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C16BE0"/>
    <w:multiLevelType w:val="multilevel"/>
    <w:tmpl w:val="D8CC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7560710">
    <w:abstractNumId w:val="2"/>
  </w:num>
  <w:num w:numId="2" w16cid:durableId="1185247403">
    <w:abstractNumId w:val="0"/>
  </w:num>
  <w:num w:numId="3" w16cid:durableId="1717772066">
    <w:abstractNumId w:val="1"/>
  </w:num>
  <w:num w:numId="4" w16cid:durableId="761145574">
    <w:abstractNumId w:val="5"/>
  </w:num>
  <w:num w:numId="5" w16cid:durableId="1640842215">
    <w:abstractNumId w:val="4"/>
  </w:num>
  <w:num w:numId="6" w16cid:durableId="278998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259A3"/>
    <w:rsid w:val="000E55ED"/>
    <w:rsid w:val="00122A28"/>
    <w:rsid w:val="001428FD"/>
    <w:rsid w:val="0015389A"/>
    <w:rsid w:val="0017052F"/>
    <w:rsid w:val="00184C81"/>
    <w:rsid w:val="001C3503"/>
    <w:rsid w:val="0020701A"/>
    <w:rsid w:val="002211F1"/>
    <w:rsid w:val="0022652F"/>
    <w:rsid w:val="002B4555"/>
    <w:rsid w:val="002B7E7D"/>
    <w:rsid w:val="002D2738"/>
    <w:rsid w:val="00301005"/>
    <w:rsid w:val="00324364"/>
    <w:rsid w:val="003570CA"/>
    <w:rsid w:val="003B5A06"/>
    <w:rsid w:val="003C2DE9"/>
    <w:rsid w:val="003F02DC"/>
    <w:rsid w:val="00436B03"/>
    <w:rsid w:val="004806E0"/>
    <w:rsid w:val="004A5635"/>
    <w:rsid w:val="004A5BEC"/>
    <w:rsid w:val="004D49CA"/>
    <w:rsid w:val="0050631D"/>
    <w:rsid w:val="005456D0"/>
    <w:rsid w:val="00561C91"/>
    <w:rsid w:val="00580088"/>
    <w:rsid w:val="00596C47"/>
    <w:rsid w:val="005A6A36"/>
    <w:rsid w:val="005A75B4"/>
    <w:rsid w:val="005D586C"/>
    <w:rsid w:val="0065220D"/>
    <w:rsid w:val="006E656D"/>
    <w:rsid w:val="00755273"/>
    <w:rsid w:val="00767533"/>
    <w:rsid w:val="00782477"/>
    <w:rsid w:val="007E51F7"/>
    <w:rsid w:val="0080390B"/>
    <w:rsid w:val="0081323D"/>
    <w:rsid w:val="00823C2F"/>
    <w:rsid w:val="00890A6C"/>
    <w:rsid w:val="00893801"/>
    <w:rsid w:val="008D4334"/>
    <w:rsid w:val="00967B2B"/>
    <w:rsid w:val="009A477D"/>
    <w:rsid w:val="009F3381"/>
    <w:rsid w:val="00A168D5"/>
    <w:rsid w:val="00A32B58"/>
    <w:rsid w:val="00A35350"/>
    <w:rsid w:val="00A56826"/>
    <w:rsid w:val="00AB6A71"/>
    <w:rsid w:val="00AD3F86"/>
    <w:rsid w:val="00AF3FED"/>
    <w:rsid w:val="00B606AF"/>
    <w:rsid w:val="00BA1EBE"/>
    <w:rsid w:val="00BA379B"/>
    <w:rsid w:val="00BB7DD5"/>
    <w:rsid w:val="00BC7AF1"/>
    <w:rsid w:val="00BD4FFC"/>
    <w:rsid w:val="00C06722"/>
    <w:rsid w:val="00C114DF"/>
    <w:rsid w:val="00C12B7A"/>
    <w:rsid w:val="00C46844"/>
    <w:rsid w:val="00C60C57"/>
    <w:rsid w:val="00C9604C"/>
    <w:rsid w:val="00CF3631"/>
    <w:rsid w:val="00D357EF"/>
    <w:rsid w:val="00D849A2"/>
    <w:rsid w:val="00E43F77"/>
    <w:rsid w:val="00E74A86"/>
    <w:rsid w:val="00EC0C37"/>
    <w:rsid w:val="00EC54BA"/>
    <w:rsid w:val="00F0013C"/>
    <w:rsid w:val="00F073B8"/>
    <w:rsid w:val="00F32ED1"/>
    <w:rsid w:val="00F35CF1"/>
    <w:rsid w:val="00F446CC"/>
    <w:rsid w:val="00F63DBD"/>
    <w:rsid w:val="00F971C5"/>
    <w:rsid w:val="00FA3564"/>
    <w:rsid w:val="00FB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D43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D43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D43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8D433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8D4334"/>
  </w:style>
  <w:style w:type="paragraph" w:styleId="Textonotapie">
    <w:name w:val="footnote text"/>
    <w:basedOn w:val="Normal"/>
    <w:link w:val="TextonotapieCar"/>
    <w:uiPriority w:val="99"/>
    <w:semiHidden/>
    <w:unhideWhenUsed/>
    <w:rsid w:val="008D4334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8D4334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8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598</Words>
  <Characters>3415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Rocío Alayón Morell</cp:lastModifiedBy>
  <cp:revision>3</cp:revision>
  <cp:lastPrinted>2025-12-11T17:58:00Z</cp:lastPrinted>
  <dcterms:created xsi:type="dcterms:W3CDTF">2026-06-25T19:39:00Z</dcterms:created>
  <dcterms:modified xsi:type="dcterms:W3CDTF">2026-06-25T19:50:00Z</dcterms:modified>
</cp:coreProperties>
</file>