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98F62" w14:textId="3F1B9015" w:rsidR="00FF6BD2" w:rsidRDefault="00CF45EB"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20620B">
      <w:pPr>
        <w:jc w:val="center"/>
        <w:rPr>
          <w:rFonts w:ascii="Book Antiqua" w:hAnsi="Book Antiqua"/>
          <w:sz w:val="28"/>
          <w:lang w:val="es-ES_tradnl"/>
        </w:rPr>
      </w:pPr>
    </w:p>
    <w:p w14:paraId="3CDCF1F9" w14:textId="163C631E" w:rsidR="0020620B" w:rsidRDefault="00CF45EB" w:rsidP="0020620B">
      <w:pPr>
        <w:pStyle w:val="Title2"/>
        <w:rPr>
          <w:rFonts w:ascii="Book Antiqua" w:hAnsi="Book Antiqua"/>
          <w:lang w:val="es-ES_tradnl"/>
        </w:rPr>
      </w:pPr>
      <w:r>
        <w:rPr>
          <w:rFonts w:ascii="Book Antiqua" w:hAnsi="Book Antiqua"/>
          <w:lang w:val="es-ES_tradnl"/>
        </w:rPr>
        <w:t>20</w:t>
      </w:r>
      <w:r w:rsidR="001D3B7F">
        <w:rPr>
          <w:rFonts w:ascii="Book Antiqua" w:hAnsi="Book Antiqua"/>
          <w:vertAlign w:val="superscript"/>
          <w:lang w:val="es-ES_tradnl"/>
        </w:rPr>
        <w:t>m</w:t>
      </w:r>
      <w:r w:rsidR="0020620B">
        <w:rPr>
          <w:rFonts w:ascii="Book Antiqua" w:hAnsi="Book Antiqua"/>
          <w:vertAlign w:val="superscript"/>
          <w:lang w:val="es-ES_tradnl"/>
        </w:rPr>
        <w:t>a</w:t>
      </w:r>
      <w:r w:rsidR="0020620B">
        <w:rPr>
          <w:rFonts w:ascii="Book Antiqua" w:hAnsi="Book Antiqua"/>
          <w:lang w:val="es-ES_tradnl"/>
        </w:rPr>
        <w:tab/>
        <w:t>Asamblea</w:t>
      </w:r>
      <w:r w:rsidR="0020620B">
        <w:rPr>
          <w:rFonts w:ascii="Book Antiqua" w:hAnsi="Book Antiqua"/>
          <w:lang w:val="es-ES_tradnl"/>
        </w:rPr>
        <w:tab/>
      </w:r>
      <w:r w:rsidR="00DF2691">
        <w:rPr>
          <w:rFonts w:ascii="Book Antiqua" w:hAnsi="Book Antiqua"/>
          <w:lang w:val="es-ES_tradnl"/>
        </w:rPr>
        <w:t>3</w:t>
      </w:r>
      <w:r w:rsidR="00DF2691">
        <w:rPr>
          <w:rFonts w:ascii="Book Antiqua" w:hAnsi="Book Antiqua"/>
          <w:vertAlign w:val="superscript"/>
          <w:lang w:val="es-ES_tradnl"/>
        </w:rPr>
        <w:t>r</w:t>
      </w:r>
      <w:r w:rsidR="0020620B">
        <w:rPr>
          <w:rFonts w:ascii="Book Antiqua" w:hAnsi="Book Antiqua"/>
          <w:vertAlign w:val="superscript"/>
          <w:lang w:val="es-ES_tradnl"/>
        </w:rPr>
        <w:t>a</w:t>
      </w:r>
      <w:r w:rsidR="0020620B">
        <w:rPr>
          <w:rFonts w:ascii="Book Antiqua" w:hAnsi="Book Antiqua"/>
          <w:lang w:val="es-ES_tradnl"/>
        </w:rPr>
        <w:tab/>
        <w:t>Sesión</w:t>
      </w:r>
    </w:p>
    <w:p w14:paraId="033BA518" w14:textId="77777777" w:rsidR="0020620B" w:rsidRDefault="0020620B" w:rsidP="0020620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2392FB6" w14:textId="77777777" w:rsidR="0020620B" w:rsidRDefault="0020620B" w:rsidP="0020620B">
      <w:pPr>
        <w:rPr>
          <w:lang w:val="es-ES_tradnl"/>
        </w:rPr>
      </w:pPr>
    </w:p>
    <w:p w14:paraId="06E8101F" w14:textId="7777777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Default="0020620B" w:rsidP="0020620B">
      <w:pPr>
        <w:jc w:val="center"/>
        <w:rPr>
          <w:rFonts w:ascii="Book Antiqua" w:hAnsi="Book Antiqua"/>
          <w:b/>
          <w:sz w:val="36"/>
          <w:lang w:val="es-ES_tradnl"/>
        </w:rPr>
      </w:pPr>
    </w:p>
    <w:p w14:paraId="331A9160" w14:textId="34DEADC7" w:rsidR="0020620B" w:rsidRDefault="0020620B" w:rsidP="00946F62">
      <w:pPr>
        <w:jc w:val="center"/>
        <w:rPr>
          <w:rFonts w:ascii="Book Antiqua" w:hAnsi="Book Antiqua"/>
          <w:b/>
          <w:sz w:val="52"/>
          <w:lang w:val="es-ES_tradnl"/>
        </w:rPr>
      </w:pPr>
      <w:r>
        <w:rPr>
          <w:rFonts w:ascii="Book Antiqua" w:hAnsi="Book Antiqua"/>
          <w:b/>
          <w:sz w:val="52"/>
          <w:lang w:val="es-ES_tradnl"/>
        </w:rPr>
        <w:t xml:space="preserve">P. de la C. </w:t>
      </w:r>
      <w:r w:rsidR="00744F26">
        <w:rPr>
          <w:rFonts w:ascii="Book Antiqua" w:hAnsi="Book Antiqua"/>
          <w:b/>
          <w:sz w:val="52"/>
          <w:lang w:val="es-ES_tradnl"/>
        </w:rPr>
        <w:t>1330</w:t>
      </w:r>
    </w:p>
    <w:p w14:paraId="1D47F089" w14:textId="77777777" w:rsidR="00946F62" w:rsidRDefault="00946F62" w:rsidP="00946F62">
      <w:pPr>
        <w:jc w:val="center"/>
        <w:rPr>
          <w:rFonts w:ascii="Book Antiqua" w:hAnsi="Book Antiqua"/>
          <w:lang w:val="es-ES_tradnl"/>
        </w:rPr>
      </w:pPr>
    </w:p>
    <w:p w14:paraId="6BE37762" w14:textId="55FAC864" w:rsidR="0020620B" w:rsidRDefault="006E2EC1" w:rsidP="00946F62">
      <w:pPr>
        <w:jc w:val="center"/>
        <w:rPr>
          <w:rFonts w:ascii="Book Antiqua" w:hAnsi="Book Antiqua"/>
          <w:lang w:val="es-ES_tradnl"/>
        </w:rPr>
      </w:pPr>
      <w:r>
        <w:rPr>
          <w:rFonts w:ascii="Book Antiqua" w:hAnsi="Book Antiqua"/>
          <w:lang w:val="es-ES_tradnl"/>
        </w:rPr>
        <w:t xml:space="preserve"> </w:t>
      </w:r>
      <w:r w:rsidR="00744F26">
        <w:rPr>
          <w:rFonts w:ascii="Book Antiqua" w:hAnsi="Book Antiqua"/>
          <w:lang w:val="es-ES_tradnl"/>
        </w:rPr>
        <w:t xml:space="preserve">26 </w:t>
      </w:r>
      <w:r w:rsidR="0020620B">
        <w:rPr>
          <w:rFonts w:ascii="Book Antiqua" w:hAnsi="Book Antiqua"/>
          <w:lang w:val="es-ES_tradnl"/>
        </w:rPr>
        <w:t xml:space="preserve">DE </w:t>
      </w:r>
      <w:r w:rsidR="00A004DF">
        <w:rPr>
          <w:rFonts w:ascii="Book Antiqua" w:hAnsi="Book Antiqua"/>
          <w:lang w:val="es-ES_tradnl"/>
        </w:rPr>
        <w:t>JUNI</w:t>
      </w:r>
      <w:r w:rsidR="00F87D90">
        <w:rPr>
          <w:rFonts w:ascii="Book Antiqua" w:hAnsi="Book Antiqua"/>
          <w:lang w:val="es-ES_tradnl"/>
        </w:rPr>
        <w:t>O</w:t>
      </w:r>
      <w:r w:rsidR="001F254F">
        <w:rPr>
          <w:rFonts w:ascii="Book Antiqua" w:hAnsi="Book Antiqua"/>
          <w:lang w:val="es-ES_tradnl"/>
        </w:rPr>
        <w:t xml:space="preserve"> </w:t>
      </w:r>
      <w:r w:rsidR="0020620B">
        <w:rPr>
          <w:rFonts w:ascii="Book Antiqua" w:hAnsi="Book Antiqua"/>
          <w:lang w:val="es-ES_tradnl"/>
        </w:rPr>
        <w:t>DE 202</w:t>
      </w:r>
      <w:r w:rsidR="00F87D90">
        <w:rPr>
          <w:rFonts w:ascii="Book Antiqua" w:hAnsi="Book Antiqua"/>
          <w:lang w:val="es-ES_tradnl"/>
        </w:rPr>
        <w:t>6</w:t>
      </w:r>
    </w:p>
    <w:p w14:paraId="1067CC9C" w14:textId="77777777" w:rsidR="00946F62" w:rsidRDefault="00946F62" w:rsidP="00946F62">
      <w:pPr>
        <w:jc w:val="center"/>
        <w:rPr>
          <w:rFonts w:ascii="Book Antiqua" w:hAnsi="Book Antiqua"/>
          <w:lang w:val="es-ES_tradnl"/>
        </w:rPr>
      </w:pPr>
    </w:p>
    <w:p w14:paraId="7921469F" w14:textId="64F8D2D4" w:rsidR="0020620B" w:rsidRDefault="0020620B" w:rsidP="00946F62">
      <w:pPr>
        <w:jc w:val="center"/>
        <w:rPr>
          <w:rFonts w:ascii="Book Antiqua" w:hAnsi="Book Antiqua"/>
          <w:lang w:val="es-ES_tradnl"/>
        </w:rPr>
      </w:pPr>
      <w:r>
        <w:rPr>
          <w:rFonts w:ascii="Book Antiqua" w:hAnsi="Book Antiqua"/>
          <w:lang w:val="es-ES_tradnl"/>
        </w:rPr>
        <w:t xml:space="preserve">Presentado por </w:t>
      </w:r>
      <w:r w:rsidR="00A004DF">
        <w:rPr>
          <w:rFonts w:ascii="Book Antiqua" w:hAnsi="Book Antiqua"/>
          <w:lang w:val="es-ES_tradnl"/>
        </w:rPr>
        <w:t>el</w:t>
      </w:r>
      <w:r>
        <w:rPr>
          <w:rFonts w:ascii="Book Antiqua" w:hAnsi="Book Antiqua"/>
          <w:lang w:val="es-ES_tradnl"/>
        </w:rPr>
        <w:t xml:space="preserve"> representante </w:t>
      </w:r>
      <w:r w:rsidR="00CF45EB">
        <w:rPr>
          <w:rFonts w:ascii="Book Antiqua" w:hAnsi="Book Antiqua"/>
          <w:i/>
          <w:lang w:val="es-ES_tradnl"/>
        </w:rPr>
        <w:t>Var</w:t>
      </w:r>
      <w:r w:rsidR="00A004DF">
        <w:rPr>
          <w:rFonts w:ascii="Book Antiqua" w:hAnsi="Book Antiqua"/>
          <w:i/>
          <w:lang w:val="es-ES_tradnl"/>
        </w:rPr>
        <w:t>ela Fern</w:t>
      </w:r>
      <w:proofErr w:type="spellStart"/>
      <w:r w:rsidR="00A004DF">
        <w:rPr>
          <w:rFonts w:ascii="Book Antiqua" w:hAnsi="Book Antiqua"/>
          <w:i/>
          <w:lang w:val="es-PR"/>
        </w:rPr>
        <w:t>ández</w:t>
      </w:r>
      <w:proofErr w:type="spellEnd"/>
    </w:p>
    <w:p w14:paraId="0C9F4CAF" w14:textId="77777777" w:rsidR="00946F62" w:rsidRDefault="00946F62" w:rsidP="00946F62">
      <w:pPr>
        <w:jc w:val="center"/>
        <w:rPr>
          <w:rFonts w:ascii="Book Antiqua" w:hAnsi="Book Antiqua"/>
          <w:lang w:val="es-ES_tradnl"/>
        </w:rPr>
      </w:pPr>
    </w:p>
    <w:p w14:paraId="564D800F" w14:textId="794A2986" w:rsidR="0020620B" w:rsidRPr="001B1F07" w:rsidRDefault="0020620B" w:rsidP="00946F62">
      <w:pPr>
        <w:jc w:val="center"/>
        <w:rPr>
          <w:rFonts w:ascii="Book Antiqua" w:hAnsi="Book Antiqua"/>
          <w:lang w:val="es-PR"/>
        </w:rPr>
      </w:pPr>
      <w:r>
        <w:rPr>
          <w:rFonts w:ascii="Book Antiqua" w:hAnsi="Book Antiqua"/>
          <w:lang w:val="es-ES_tradnl"/>
        </w:rPr>
        <w:t xml:space="preserve">Referido a </w:t>
      </w:r>
      <w:r w:rsidR="001B1F07">
        <w:rPr>
          <w:rFonts w:ascii="Book Antiqua" w:hAnsi="Book Antiqua"/>
          <w:lang w:val="es-ES_tradnl"/>
        </w:rPr>
        <w:t xml:space="preserve">la </w:t>
      </w:r>
      <w:proofErr w:type="spellStart"/>
      <w:r w:rsidR="001B1F07">
        <w:rPr>
          <w:rFonts w:ascii="Book Antiqua" w:hAnsi="Book Antiqua"/>
          <w:lang w:val="es-ES_tradnl"/>
        </w:rPr>
        <w:t>Comisi</w:t>
      </w:r>
      <w:r w:rsidR="001B1F07" w:rsidRPr="001B1F07">
        <w:rPr>
          <w:rFonts w:ascii="Book Antiqua" w:hAnsi="Book Antiqua"/>
          <w:lang w:val="es-PR"/>
        </w:rPr>
        <w:t>ón</w:t>
      </w:r>
      <w:proofErr w:type="spellEnd"/>
      <w:r w:rsidR="001B1F07" w:rsidRPr="001B1F07">
        <w:rPr>
          <w:rFonts w:ascii="Book Antiqua" w:hAnsi="Book Antiqua"/>
          <w:lang w:val="es-PR"/>
        </w:rPr>
        <w:t xml:space="preserve"> d</w:t>
      </w:r>
      <w:r w:rsidR="001B1F07">
        <w:rPr>
          <w:rFonts w:ascii="Book Antiqua" w:hAnsi="Book Antiqua"/>
          <w:lang w:val="es-PR"/>
        </w:rPr>
        <w:t>e Asuntos Internos</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5D98B8D3" w14:textId="0B3C72AD" w:rsidR="00F87D90" w:rsidRPr="008546AC" w:rsidRDefault="00F87D90" w:rsidP="00F87D90">
      <w:pPr>
        <w:ind w:left="720" w:hanging="720"/>
        <w:jc w:val="both"/>
        <w:rPr>
          <w:rFonts w:ascii="Book Antiqua" w:hAnsi="Book Antiqua"/>
          <w:lang w:val="es-ES_tradnl"/>
        </w:rPr>
      </w:pPr>
      <w:r>
        <w:rPr>
          <w:rFonts w:ascii="Book Antiqua" w:hAnsi="Book Antiqua"/>
          <w:lang w:val="es-ES_tradnl"/>
        </w:rPr>
        <w:t xml:space="preserve">Para enmendar </w:t>
      </w:r>
      <w:r w:rsidR="00C34D04">
        <w:rPr>
          <w:rFonts w:ascii="Book Antiqua" w:hAnsi="Book Antiqua"/>
          <w:lang w:val="es-ES_tradnl"/>
        </w:rPr>
        <w:t xml:space="preserve">los Artículos 2 y </w:t>
      </w:r>
      <w:r w:rsidR="00221CFA">
        <w:rPr>
          <w:rFonts w:ascii="Book Antiqua" w:hAnsi="Book Antiqua"/>
          <w:lang w:val="es-ES_tradnl"/>
        </w:rPr>
        <w:t xml:space="preserve">7 de </w:t>
      </w:r>
      <w:r w:rsidR="00091740" w:rsidRPr="00091740">
        <w:rPr>
          <w:rFonts w:ascii="Book Antiqua" w:hAnsi="Book Antiqua"/>
          <w:lang w:val="es-419"/>
        </w:rPr>
        <w:t>la Ley Núm</w:t>
      </w:r>
      <w:r w:rsidR="009A4F84">
        <w:rPr>
          <w:rFonts w:ascii="Book Antiqua" w:hAnsi="Book Antiqua"/>
          <w:lang w:val="es-419"/>
        </w:rPr>
        <w:t>.</w:t>
      </w:r>
      <w:r w:rsidR="00091740" w:rsidRPr="00091740">
        <w:rPr>
          <w:rFonts w:ascii="Book Antiqua" w:hAnsi="Book Antiqua"/>
          <w:lang w:val="es-419"/>
        </w:rPr>
        <w:t xml:space="preserve"> 27</w:t>
      </w:r>
      <w:r w:rsidR="00190C36">
        <w:rPr>
          <w:rFonts w:ascii="Book Antiqua" w:hAnsi="Book Antiqua"/>
          <w:lang w:val="es-419"/>
        </w:rPr>
        <w:t xml:space="preserve"> de </w:t>
      </w:r>
      <w:r w:rsidR="00A92B63">
        <w:rPr>
          <w:rFonts w:ascii="Book Antiqua" w:hAnsi="Book Antiqua"/>
          <w:lang w:val="es-419"/>
        </w:rPr>
        <w:t xml:space="preserve">8 de diciembre de </w:t>
      </w:r>
      <w:r w:rsidR="00091740" w:rsidRPr="00091740">
        <w:rPr>
          <w:rFonts w:ascii="Book Antiqua" w:hAnsi="Book Antiqua"/>
          <w:lang w:val="es-419"/>
        </w:rPr>
        <w:t xml:space="preserve">1990, conocida como “Ley de procedimiento y concesión de inmunidad a testigos”, </w:t>
      </w:r>
      <w:r w:rsidRPr="008546AC">
        <w:rPr>
          <w:rFonts w:ascii="Book Antiqua" w:eastAsia="SimSun" w:hAnsi="Book Antiqua"/>
          <w:bCs/>
          <w:lang w:val="es-ES"/>
        </w:rPr>
        <w:t xml:space="preserve">a los fines de </w:t>
      </w:r>
      <w:r w:rsidR="00104301">
        <w:rPr>
          <w:rFonts w:ascii="Book Antiqua" w:eastAsia="SimSun" w:hAnsi="Book Antiqua"/>
          <w:bCs/>
          <w:lang w:val="es-ES"/>
        </w:rPr>
        <w:t xml:space="preserve">agregar definiciones, </w:t>
      </w:r>
      <w:r w:rsidR="00212AF4">
        <w:rPr>
          <w:rFonts w:ascii="Book Antiqua" w:eastAsia="SimSun" w:hAnsi="Book Antiqua"/>
          <w:bCs/>
          <w:lang w:val="es-ES"/>
        </w:rPr>
        <w:t>y disponer que la Asamblea Legislativa podrá oto</w:t>
      </w:r>
      <w:r w:rsidR="009C56D8">
        <w:rPr>
          <w:rFonts w:ascii="Book Antiqua" w:eastAsia="SimSun" w:hAnsi="Book Antiqua"/>
          <w:bCs/>
          <w:lang w:val="es-ES"/>
        </w:rPr>
        <w:t>rgar inmunidad de uso y de uso derivativo penal, civil o administrativa</w:t>
      </w:r>
      <w:r w:rsidR="004618C5">
        <w:rPr>
          <w:rFonts w:ascii="Book Antiqua" w:eastAsia="SimSun" w:hAnsi="Book Antiqua"/>
          <w:bCs/>
          <w:lang w:val="es-ES"/>
        </w:rPr>
        <w:t>, no así transaccional</w:t>
      </w:r>
      <w:r w:rsidR="009A4F84">
        <w:rPr>
          <w:rFonts w:ascii="Book Antiqua" w:eastAsia="SimSun" w:hAnsi="Book Antiqua"/>
          <w:bCs/>
          <w:lang w:val="es-ES"/>
        </w:rPr>
        <w:t>, a los testigos compelidos a testificar o entregar prueba en los procesos legislativos</w:t>
      </w:r>
      <w:r w:rsidRPr="008546AC">
        <w:rPr>
          <w:rFonts w:ascii="Book Antiqua" w:hAnsi="Book Antiqua"/>
          <w:lang w:val="es-ES_tradnl"/>
        </w:rPr>
        <w:t>; y para otros fines relacionados.</w:t>
      </w:r>
    </w:p>
    <w:p w14:paraId="25F66F29" w14:textId="77777777" w:rsidR="0020620B" w:rsidRDefault="0020620B" w:rsidP="0020620B">
      <w:pPr>
        <w:ind w:left="360" w:hanging="360"/>
        <w:jc w:val="both"/>
        <w:rPr>
          <w:rFonts w:ascii="Book Antiqua" w:hAnsi="Book Antiqua"/>
          <w:lang w:val="es-ES_tradnl"/>
        </w:rPr>
      </w:pPr>
    </w:p>
    <w:p w14:paraId="731D1AB6" w14:textId="128D56BF" w:rsidR="0076444C" w:rsidRDefault="0020620B" w:rsidP="00BE1634">
      <w:pPr>
        <w:spacing w:before="120" w:after="120"/>
        <w:ind w:firstLine="360"/>
        <w:jc w:val="center"/>
        <w:rPr>
          <w:rFonts w:ascii="Book Antiqua" w:hAnsi="Book Antiqua"/>
          <w:lang w:val="es-ES_tradnl"/>
        </w:rPr>
      </w:pPr>
      <w:r>
        <w:rPr>
          <w:rFonts w:ascii="Book Antiqua" w:hAnsi="Book Antiqua"/>
          <w:lang w:val="es-ES_tradnl"/>
        </w:rPr>
        <w:t>EXPOSICIÓN DE MOTIVOS</w:t>
      </w:r>
    </w:p>
    <w:p w14:paraId="4D1CC660" w14:textId="0F67E836" w:rsidR="009A4F84" w:rsidRDefault="009A4F84" w:rsidP="009A4F84">
      <w:pPr>
        <w:ind w:firstLine="720"/>
        <w:jc w:val="both"/>
        <w:rPr>
          <w:rFonts w:ascii="Book Antiqua" w:hAnsi="Book Antiqua"/>
          <w:lang w:val="es-PR"/>
        </w:rPr>
      </w:pPr>
      <w:r w:rsidRPr="009A4F84">
        <w:rPr>
          <w:rFonts w:ascii="Book Antiqua" w:hAnsi="Book Antiqua"/>
          <w:lang w:val="es-PR"/>
        </w:rPr>
        <w:t xml:space="preserve">La facultad investigativa de la Asamblea Legislativa constituye uno de los pilares esenciales del sistema republicano de gobierno. A través de sus comisiones y procedimientos de supervisión, el Poder Legislativo ejerce un rol indispensable en la fiscalización de la gestión pública, la identificación de fallas estructurales y la formulación de política pública informada. Para que estas investigaciones cumplan su función democrática, es necesario que los testigos comparezcan y declaren con franqueza, aun cuando la información solicitada pudiera exponerlos a riesgos legales. Precisamente por ello, desde 1990 la Ley Núm. 27 </w:t>
      </w:r>
      <w:r w:rsidR="000C6140" w:rsidRPr="000C6140">
        <w:rPr>
          <w:rFonts w:ascii="Book Antiqua" w:hAnsi="Book Antiqua"/>
          <w:lang w:val="es-419"/>
        </w:rPr>
        <w:t>de 8 de diciembre de 1990</w:t>
      </w:r>
      <w:r w:rsidR="000C6140">
        <w:rPr>
          <w:rFonts w:ascii="Book Antiqua" w:hAnsi="Book Antiqua"/>
          <w:lang w:val="es-419"/>
        </w:rPr>
        <w:t xml:space="preserve"> </w:t>
      </w:r>
      <w:r w:rsidRPr="009A4F84">
        <w:rPr>
          <w:rFonts w:ascii="Book Antiqua" w:hAnsi="Book Antiqua"/>
          <w:lang w:val="es-PR"/>
        </w:rPr>
        <w:t>ha provisto un mecanismo para conceder inmunidad a testigos compelidos a declarar, armonizando el deber de colaborar con la Asamblea Legislativa con la protección constitucional contra la autoincriminación.</w:t>
      </w:r>
    </w:p>
    <w:p w14:paraId="0F484D47" w14:textId="77777777" w:rsidR="009A4F84" w:rsidRPr="009A4F84" w:rsidRDefault="009A4F84" w:rsidP="009A4F84">
      <w:pPr>
        <w:ind w:firstLine="720"/>
        <w:jc w:val="both"/>
        <w:rPr>
          <w:rFonts w:ascii="Book Antiqua" w:hAnsi="Book Antiqua"/>
          <w:lang w:val="es-PR"/>
        </w:rPr>
      </w:pPr>
    </w:p>
    <w:p w14:paraId="63F34204" w14:textId="77777777" w:rsidR="009A4F84" w:rsidRDefault="009A4F84" w:rsidP="009A4F84">
      <w:pPr>
        <w:ind w:firstLine="720"/>
        <w:jc w:val="both"/>
        <w:rPr>
          <w:rFonts w:ascii="Book Antiqua" w:hAnsi="Book Antiqua"/>
          <w:lang w:val="es-PR"/>
        </w:rPr>
      </w:pPr>
      <w:r w:rsidRPr="009A4F84">
        <w:rPr>
          <w:rFonts w:ascii="Book Antiqua" w:hAnsi="Book Antiqua"/>
          <w:lang w:val="es-PR"/>
        </w:rPr>
        <w:t xml:space="preserve">Sin embargo, la experiencia acumulada en más de tres décadas de investigaciones legislativas ha evidenciado la necesidad de clarificar y actualizar el alcance de las inmunidades que pueden concederse bajo dicho estatuto. La jurisprudencia y la doctrina </w:t>
      </w:r>
      <w:r w:rsidRPr="009A4F84">
        <w:rPr>
          <w:rFonts w:ascii="Book Antiqua" w:hAnsi="Book Antiqua"/>
          <w:lang w:val="es-PR"/>
        </w:rPr>
        <w:lastRenderedPageBreak/>
        <w:t>han sido consistentes en delimitar que la Asamblea Legislativa no puede, por su propia autoridad, otorgar inmunidad transaccional que impida o extinga procesos penales. Esa facultad corresponde exclusivamente al Ministerio Público y a los tribunales, conforme a la separación de poderes y a la estructura constitucional del Estado Libre Asociado. No obstante, la ley vigente contiene lenguaje que, por su antigüedad o ambigüedad, podría prestarse a interpretaciones erróneas sobre la amplitud de la inmunidad legislativa.</w:t>
      </w:r>
    </w:p>
    <w:p w14:paraId="28EA4E6C" w14:textId="77777777" w:rsidR="009A4F84" w:rsidRPr="009A4F84" w:rsidRDefault="009A4F84" w:rsidP="009A4F84">
      <w:pPr>
        <w:ind w:firstLine="720"/>
        <w:jc w:val="both"/>
        <w:rPr>
          <w:rFonts w:ascii="Book Antiqua" w:hAnsi="Book Antiqua"/>
          <w:lang w:val="es-PR"/>
        </w:rPr>
      </w:pPr>
    </w:p>
    <w:p w14:paraId="063877F0" w14:textId="77777777" w:rsidR="009A4F84" w:rsidRDefault="009A4F84" w:rsidP="009A4F84">
      <w:pPr>
        <w:ind w:firstLine="720"/>
        <w:jc w:val="both"/>
        <w:rPr>
          <w:rFonts w:ascii="Book Antiqua" w:hAnsi="Book Antiqua"/>
          <w:lang w:val="es-PR"/>
        </w:rPr>
      </w:pPr>
      <w:r w:rsidRPr="009A4F84">
        <w:rPr>
          <w:rFonts w:ascii="Book Antiqua" w:hAnsi="Book Antiqua"/>
          <w:lang w:val="es-PR"/>
        </w:rPr>
        <w:t>Este proyecto de ley atiende esa necesidad de precisión normativa. Las enmiendas propuestas incorporan definiciones claras y actualizadas, y establecen expresamente que la Asamblea Legislativa podrá conceder únicamente inmunidad de uso o inmunidad de uso derivativo, tanto en el ámbito penal como en el civil o administrativo. Estas modalidades de inmunidad garantizan que ningún testimonio compelido, ni evidencia derivada de este, pueda ser utilizada en perjuicio del testigo, sin menoscabar la facultad del Estado para procesar conductas delictivas basadas en evidencia independiente. De esta manera, se protege el derecho constitucional del testigo y, a la vez, se preserva la integridad del sistema de justicia.</w:t>
      </w:r>
    </w:p>
    <w:p w14:paraId="157FB011" w14:textId="77777777" w:rsidR="009A4F84" w:rsidRPr="009A4F84" w:rsidRDefault="009A4F84" w:rsidP="009A4F84">
      <w:pPr>
        <w:ind w:firstLine="720"/>
        <w:jc w:val="both"/>
        <w:rPr>
          <w:rFonts w:ascii="Book Antiqua" w:hAnsi="Book Antiqua"/>
          <w:lang w:val="es-PR"/>
        </w:rPr>
      </w:pPr>
    </w:p>
    <w:p w14:paraId="2CD5A1D4" w14:textId="11A1CA29" w:rsidR="009A4F84" w:rsidRPr="009A4F84" w:rsidRDefault="009A4F84" w:rsidP="009A4F84">
      <w:pPr>
        <w:ind w:firstLine="720"/>
        <w:jc w:val="both"/>
        <w:rPr>
          <w:rFonts w:ascii="Book Antiqua" w:hAnsi="Book Antiqua"/>
          <w:lang w:val="es-PR"/>
        </w:rPr>
      </w:pPr>
      <w:r w:rsidRPr="009A4F84">
        <w:rPr>
          <w:rFonts w:ascii="Book Antiqua" w:hAnsi="Book Antiqua"/>
          <w:lang w:val="es-PR"/>
        </w:rPr>
        <w:t>Asimismo, el proyecto elimina cualquier referencia a la inmunidad transaccional dentro del procedimiento legislativo. Con ello se reafirma que la Asamblea Legislativa no puede detener, impedir o extinguir procesos penales, ni sustituir la función acusatoria del Ministerio Público. Esta aclaración fortalece la separación de poderes, evita conflictos institucionales y asegura que las investigaciones legislativas se conduzcan dentro de los límites constitucionales que rigen su autoridad.</w:t>
      </w:r>
    </w:p>
    <w:p w14:paraId="0517FD1B" w14:textId="2D33DD53" w:rsidR="0084191C" w:rsidRPr="00AE47CB" w:rsidRDefault="0020620B" w:rsidP="0084191C">
      <w:pPr>
        <w:spacing w:before="240" w:line="480" w:lineRule="auto"/>
        <w:rPr>
          <w:rFonts w:ascii="Book Antiqua" w:hAnsi="Book Antiqua"/>
          <w:i/>
          <w:lang w:val="es-ES_tradnl"/>
        </w:rPr>
      </w:pPr>
      <w:r w:rsidRPr="00AE47CB">
        <w:rPr>
          <w:rFonts w:ascii="Book Antiqua" w:hAnsi="Book Antiqua"/>
          <w:i/>
          <w:lang w:val="es-ES_tradnl"/>
        </w:rPr>
        <w:t>DECRÉTASE POR LA ASAMBLEA LEGISLATIVA DE PUERTO RICO:</w:t>
      </w:r>
    </w:p>
    <w:p w14:paraId="124CEA2E" w14:textId="77777777" w:rsidR="0084191C" w:rsidRPr="00AE47CB" w:rsidRDefault="0084191C" w:rsidP="0020620B">
      <w:pPr>
        <w:spacing w:line="480" w:lineRule="auto"/>
        <w:jc w:val="both"/>
        <w:rPr>
          <w:rFonts w:ascii="Book Antiqua" w:hAnsi="Book Antiqua"/>
          <w:lang w:val="es-ES_tradnl"/>
        </w:rPr>
        <w:sectPr w:rsidR="0084191C" w:rsidRPr="00AE47CB">
          <w:headerReference w:type="even" r:id="rId8"/>
          <w:headerReference w:type="default" r:id="rId9"/>
          <w:type w:val="continuous"/>
          <w:pgSz w:w="12240" w:h="15840" w:code="1"/>
          <w:pgMar w:top="1440" w:right="1440" w:bottom="1440" w:left="1440" w:header="720" w:footer="720" w:gutter="0"/>
          <w:cols w:space="720"/>
          <w:titlePg/>
        </w:sectPr>
      </w:pPr>
    </w:p>
    <w:p w14:paraId="70F9EAE3" w14:textId="3BA36E1F" w:rsidR="004F1326" w:rsidRPr="00D84739" w:rsidRDefault="00BB2634" w:rsidP="005D41B7">
      <w:pPr>
        <w:spacing w:line="480" w:lineRule="auto"/>
        <w:ind w:firstLine="720"/>
        <w:jc w:val="both"/>
        <w:rPr>
          <w:rFonts w:ascii="Book Antiqua" w:hAnsi="Book Antiqua"/>
          <w:lang w:val="es-PR"/>
        </w:rPr>
      </w:pPr>
      <w:r w:rsidRPr="00AE47CB">
        <w:rPr>
          <w:rFonts w:ascii="Book Antiqua" w:hAnsi="Book Antiqua"/>
          <w:lang w:val="es-PR"/>
        </w:rPr>
        <w:t xml:space="preserve">Sección 1.- </w:t>
      </w:r>
      <w:r w:rsidR="00ED7B88">
        <w:rPr>
          <w:rFonts w:ascii="Book Antiqua" w:hAnsi="Book Antiqua"/>
          <w:lang w:val="es-PR"/>
        </w:rPr>
        <w:t xml:space="preserve">Se enmienda </w:t>
      </w:r>
      <w:r w:rsidR="007F235A">
        <w:rPr>
          <w:rFonts w:ascii="Book Antiqua" w:hAnsi="Book Antiqua"/>
          <w:lang w:val="es-PR"/>
        </w:rPr>
        <w:t xml:space="preserve">el Artículo 2 de </w:t>
      </w:r>
      <w:r w:rsidR="00ED7B88">
        <w:rPr>
          <w:rFonts w:ascii="Book Antiqua" w:hAnsi="Book Antiqua"/>
          <w:lang w:val="es-PR"/>
        </w:rPr>
        <w:t xml:space="preserve">la </w:t>
      </w:r>
      <w:r w:rsidR="00ED7B88" w:rsidRPr="00ED7B88">
        <w:rPr>
          <w:rFonts w:ascii="Book Antiqua" w:hAnsi="Book Antiqua"/>
          <w:lang w:val="es-419"/>
        </w:rPr>
        <w:t>Ley Núm</w:t>
      </w:r>
      <w:r w:rsidR="00ED7B88">
        <w:rPr>
          <w:rFonts w:ascii="Book Antiqua" w:hAnsi="Book Antiqua"/>
          <w:lang w:val="es-419"/>
        </w:rPr>
        <w:t xml:space="preserve">. </w:t>
      </w:r>
      <w:r w:rsidR="00ED7B88" w:rsidRPr="00ED7B88">
        <w:rPr>
          <w:rFonts w:ascii="Book Antiqua" w:hAnsi="Book Antiqua"/>
          <w:lang w:val="es-419"/>
        </w:rPr>
        <w:t>27 de 8 de diciembre de 1990, conocida como “Ley de procedimiento y concesión de inmunidad a testigos”</w:t>
      </w:r>
      <w:r w:rsidR="004026F7">
        <w:rPr>
          <w:rFonts w:ascii="Book Antiqua" w:hAnsi="Book Antiqua"/>
          <w:lang w:val="es-419"/>
        </w:rPr>
        <w:t>, para que se lea como sigue</w:t>
      </w:r>
      <w:r w:rsidR="00D84739" w:rsidRPr="00D84739">
        <w:rPr>
          <w:rFonts w:ascii="Book Antiqua" w:hAnsi="Book Antiqua"/>
          <w:lang w:val="es-PR"/>
        </w:rPr>
        <w:t>:</w:t>
      </w:r>
    </w:p>
    <w:p w14:paraId="15BB2653" w14:textId="77777777" w:rsidR="0009675B" w:rsidRPr="0009675B" w:rsidRDefault="0009675B" w:rsidP="0009675B">
      <w:pPr>
        <w:spacing w:line="480" w:lineRule="auto"/>
        <w:ind w:firstLine="720"/>
        <w:jc w:val="both"/>
        <w:rPr>
          <w:rFonts w:ascii="Book Antiqua" w:hAnsi="Book Antiqua"/>
          <w:lang w:val="es-PR"/>
        </w:rPr>
      </w:pPr>
      <w:r w:rsidRPr="0009675B">
        <w:rPr>
          <w:rFonts w:ascii="Book Antiqua" w:hAnsi="Book Antiqua"/>
          <w:lang w:val="es-PR"/>
        </w:rPr>
        <w:t xml:space="preserve">“Artículo 2. — Definiciones. </w:t>
      </w:r>
    </w:p>
    <w:p w14:paraId="47B9EEEF" w14:textId="77777777" w:rsidR="0009675B" w:rsidRPr="0009675B" w:rsidRDefault="0009675B" w:rsidP="0009675B">
      <w:pPr>
        <w:spacing w:line="480" w:lineRule="auto"/>
        <w:ind w:firstLine="720"/>
        <w:jc w:val="both"/>
        <w:rPr>
          <w:rFonts w:ascii="Book Antiqua" w:hAnsi="Book Antiqua"/>
          <w:lang w:val="es-PR"/>
        </w:rPr>
      </w:pPr>
      <w:r w:rsidRPr="0009675B">
        <w:rPr>
          <w:rFonts w:ascii="Book Antiqua" w:hAnsi="Book Antiqua"/>
          <w:lang w:val="es-PR"/>
        </w:rPr>
        <w:t xml:space="preserve">Las siguientes expresiones contenidas en esta ley, tendrán el significado que a continuación se indica: </w:t>
      </w:r>
    </w:p>
    <w:p w14:paraId="43100F51" w14:textId="77777777" w:rsidR="0009675B" w:rsidRPr="0009675B" w:rsidRDefault="0009675B" w:rsidP="002920BE">
      <w:pPr>
        <w:numPr>
          <w:ilvl w:val="0"/>
          <w:numId w:val="5"/>
        </w:numPr>
        <w:spacing w:line="480" w:lineRule="auto"/>
        <w:ind w:left="360" w:firstLine="0"/>
        <w:jc w:val="both"/>
        <w:rPr>
          <w:rFonts w:ascii="Book Antiqua" w:hAnsi="Book Antiqua"/>
          <w:lang w:val="es-PR"/>
        </w:rPr>
      </w:pPr>
      <w:r w:rsidRPr="0009675B">
        <w:rPr>
          <w:rFonts w:ascii="Book Antiqua" w:hAnsi="Book Antiqua"/>
          <w:lang w:val="es-PR"/>
        </w:rPr>
        <w:t xml:space="preserve">“Agencia” — Significará cualquier departamento, oficina, corporación pública, municipio, comisión, junta o instrumentalidad gubernamental del Estado Libre </w:t>
      </w:r>
      <w:r w:rsidRPr="0009675B">
        <w:rPr>
          <w:rFonts w:ascii="Book Antiqua" w:hAnsi="Book Antiqua"/>
          <w:lang w:val="es-PR"/>
        </w:rPr>
        <w:lastRenderedPageBreak/>
        <w:t>Asociado de Puerto Rico que tenga ella, o alguno de sus funcionarios, facultad de ley para investigar y expedir citaciones a testigos.</w:t>
      </w:r>
    </w:p>
    <w:p w14:paraId="5A287954" w14:textId="77777777" w:rsidR="0009675B" w:rsidRPr="0009675B" w:rsidRDefault="0009675B" w:rsidP="002920BE">
      <w:pPr>
        <w:spacing w:line="480" w:lineRule="auto"/>
        <w:ind w:left="360"/>
        <w:jc w:val="both"/>
        <w:rPr>
          <w:rFonts w:ascii="Book Antiqua" w:hAnsi="Book Antiqua"/>
          <w:lang w:val="es-PR"/>
        </w:rPr>
      </w:pPr>
      <w:r w:rsidRPr="0009675B">
        <w:rPr>
          <w:rFonts w:ascii="Book Antiqua" w:hAnsi="Book Antiqua"/>
          <w:lang w:val="es-PR"/>
        </w:rPr>
        <w:t xml:space="preserve">(b) “Cámara” — significará la Cámara de Representantes o el Senado del Estado Libre Asociado de Puerto Rico. </w:t>
      </w:r>
    </w:p>
    <w:p w14:paraId="5DC382BA" w14:textId="77777777" w:rsidR="0009675B" w:rsidRPr="0009675B" w:rsidRDefault="0009675B" w:rsidP="002920BE">
      <w:pPr>
        <w:spacing w:line="480" w:lineRule="auto"/>
        <w:ind w:left="360"/>
        <w:jc w:val="both"/>
        <w:rPr>
          <w:rFonts w:ascii="Book Antiqua" w:hAnsi="Book Antiqua"/>
          <w:lang w:val="es-PR"/>
        </w:rPr>
      </w:pPr>
      <w:r w:rsidRPr="0009675B">
        <w:rPr>
          <w:rFonts w:ascii="Book Antiqua" w:hAnsi="Book Antiqua"/>
          <w:lang w:val="es-PR"/>
        </w:rPr>
        <w:t>(c) “</w:t>
      </w:r>
      <w:proofErr w:type="gramStart"/>
      <w:r w:rsidRPr="0009675B">
        <w:rPr>
          <w:rFonts w:ascii="Book Antiqua" w:hAnsi="Book Antiqua"/>
          <w:lang w:val="es-PR"/>
        </w:rPr>
        <w:t>Funcionario</w:t>
      </w:r>
      <w:proofErr w:type="gramEnd"/>
      <w:r w:rsidRPr="0009675B">
        <w:rPr>
          <w:rFonts w:ascii="Book Antiqua" w:hAnsi="Book Antiqua"/>
          <w:lang w:val="es-PR"/>
        </w:rPr>
        <w:t>” — significará toda persona, ya sea fiscal, magistrado, juez, agente, oficial o empleado del Estado Libre Asociado de Puerto Rico autorizado a expedir citaciones a personas que comparezcan ante su presencia a ofrecer testimonio o suministrar documentación o información.</w:t>
      </w:r>
    </w:p>
    <w:p w14:paraId="307AF309" w14:textId="77777777" w:rsidR="0009675B" w:rsidRPr="0009675B" w:rsidRDefault="0009675B" w:rsidP="002920BE">
      <w:pPr>
        <w:spacing w:line="480" w:lineRule="auto"/>
        <w:ind w:left="360"/>
        <w:jc w:val="both"/>
        <w:rPr>
          <w:rFonts w:ascii="Book Antiqua" w:hAnsi="Book Antiqua"/>
          <w:lang w:val="es-PR"/>
        </w:rPr>
      </w:pPr>
      <w:r w:rsidRPr="0009675B">
        <w:rPr>
          <w:rFonts w:ascii="Book Antiqua" w:hAnsi="Book Antiqua"/>
          <w:lang w:val="es-PR"/>
        </w:rPr>
        <w:t xml:space="preserve">(d) “Inmunidad administrativa” — significará la protección que contra las acciones administrativas concede el Estado a cualquier testigo </w:t>
      </w:r>
      <w:proofErr w:type="gramStart"/>
      <w:r w:rsidRPr="0009675B">
        <w:rPr>
          <w:rFonts w:ascii="Book Antiqua" w:hAnsi="Book Antiqua"/>
          <w:lang w:val="es-PR"/>
        </w:rPr>
        <w:t>en relación a</w:t>
      </w:r>
      <w:proofErr w:type="gramEnd"/>
      <w:r w:rsidRPr="0009675B">
        <w:rPr>
          <w:rFonts w:ascii="Book Antiqua" w:hAnsi="Book Antiqua"/>
          <w:lang w:val="es-PR"/>
        </w:rPr>
        <w:t xml:space="preserve"> los hechos sobre los cuales fue obligado a declarar. </w:t>
      </w:r>
    </w:p>
    <w:p w14:paraId="77CA7576" w14:textId="77777777" w:rsidR="0009675B" w:rsidRPr="0009675B" w:rsidRDefault="0009675B" w:rsidP="002920BE">
      <w:pPr>
        <w:spacing w:line="480" w:lineRule="auto"/>
        <w:ind w:left="360"/>
        <w:jc w:val="both"/>
        <w:rPr>
          <w:rFonts w:ascii="Book Antiqua" w:hAnsi="Book Antiqua"/>
          <w:lang w:val="es-PR"/>
        </w:rPr>
      </w:pPr>
      <w:r w:rsidRPr="0009675B">
        <w:rPr>
          <w:rFonts w:ascii="Book Antiqua" w:hAnsi="Book Antiqua"/>
          <w:lang w:val="es-PR"/>
        </w:rPr>
        <w:t>(e) “Inmunidad civil” — significará la protección contra las acciones civiles por parte del Estado, relacionadas con los hechos sobre los cuales el testigo fue obligado a declarar.</w:t>
      </w:r>
    </w:p>
    <w:p w14:paraId="2D091DDD" w14:textId="4D2F103A" w:rsidR="0009675B" w:rsidRPr="0009675B" w:rsidRDefault="0009675B" w:rsidP="002920BE">
      <w:pPr>
        <w:spacing w:line="480" w:lineRule="auto"/>
        <w:ind w:left="360"/>
        <w:jc w:val="both"/>
        <w:rPr>
          <w:rFonts w:ascii="Book Antiqua" w:hAnsi="Book Antiqua"/>
          <w:i/>
          <w:iCs/>
          <w:lang w:val="es-PR"/>
        </w:rPr>
      </w:pPr>
      <w:r w:rsidRPr="0009675B">
        <w:rPr>
          <w:rFonts w:ascii="Book Antiqua" w:hAnsi="Book Antiqua"/>
          <w:lang w:val="es-419"/>
        </w:rPr>
        <w:t xml:space="preserve">(f) </w:t>
      </w:r>
      <w:r w:rsidRPr="0009675B">
        <w:rPr>
          <w:rFonts w:ascii="Book Antiqua" w:hAnsi="Book Antiqua"/>
          <w:i/>
          <w:iCs/>
          <w:lang w:val="es-419"/>
        </w:rPr>
        <w:t xml:space="preserve">“Inmunidad de uso”- </w:t>
      </w:r>
      <w:r w:rsidR="009A4F84">
        <w:rPr>
          <w:rFonts w:ascii="Book Antiqua" w:hAnsi="Book Antiqua"/>
          <w:i/>
          <w:iCs/>
          <w:lang w:val="es-419"/>
        </w:rPr>
        <w:t>s</w:t>
      </w:r>
      <w:r w:rsidRPr="0009675B">
        <w:rPr>
          <w:rFonts w:ascii="Book Antiqua" w:hAnsi="Book Antiqua"/>
          <w:i/>
          <w:iCs/>
          <w:lang w:val="es-419"/>
        </w:rPr>
        <w:t>ignificar</w:t>
      </w:r>
      <w:r w:rsidRPr="0009675B">
        <w:rPr>
          <w:rFonts w:ascii="Book Antiqua" w:hAnsi="Book Antiqua"/>
          <w:i/>
          <w:iCs/>
          <w:lang w:val="es-PR"/>
        </w:rPr>
        <w:t xml:space="preserve">á la protección concedida a un testigo con el alcance de que ninguna manifestación hecha o documento presentado por dicho testigo constituirá prueba en su contra en ningún proceso criminal, civil o administrativo que se le formare. </w:t>
      </w:r>
    </w:p>
    <w:p w14:paraId="51CB73A3" w14:textId="31BF38A0" w:rsidR="0009675B" w:rsidRPr="0009675B" w:rsidRDefault="0009675B" w:rsidP="002920BE">
      <w:pPr>
        <w:spacing w:line="480" w:lineRule="auto"/>
        <w:ind w:left="360"/>
        <w:jc w:val="both"/>
        <w:rPr>
          <w:rFonts w:ascii="Book Antiqua" w:hAnsi="Book Antiqua"/>
          <w:i/>
          <w:iCs/>
          <w:lang w:val="es-PR"/>
        </w:rPr>
      </w:pPr>
      <w:r w:rsidRPr="0009675B">
        <w:rPr>
          <w:rFonts w:ascii="Book Antiqua" w:hAnsi="Book Antiqua"/>
          <w:i/>
          <w:iCs/>
          <w:lang w:val="es-419"/>
        </w:rPr>
        <w:t xml:space="preserve">(g) “Inmunidad de uso derivativo”- </w:t>
      </w:r>
      <w:r w:rsidR="009A4F84">
        <w:rPr>
          <w:rFonts w:ascii="Book Antiqua" w:hAnsi="Book Antiqua"/>
          <w:i/>
          <w:iCs/>
          <w:lang w:val="es-419"/>
        </w:rPr>
        <w:t>s</w:t>
      </w:r>
      <w:r w:rsidRPr="0009675B">
        <w:rPr>
          <w:rFonts w:ascii="Book Antiqua" w:hAnsi="Book Antiqua"/>
          <w:i/>
          <w:iCs/>
          <w:lang w:val="es-419"/>
        </w:rPr>
        <w:t>ignificar</w:t>
      </w:r>
      <w:r w:rsidRPr="0009675B">
        <w:rPr>
          <w:rFonts w:ascii="Book Antiqua" w:hAnsi="Book Antiqua"/>
          <w:i/>
          <w:iCs/>
          <w:lang w:val="es-PR"/>
        </w:rPr>
        <w:t>á la protección concedida a un testigo con el alcance de que el gobierno no podrá usar como prueba en un proceso criminal, civil o administrativo manifestaciones hechas o documentos presentados por dicho testigo en los casos en que el gobierno no hubiera podido conseguir dicha evidencia sin haber</w:t>
      </w:r>
      <w:r w:rsidR="009A4F84">
        <w:rPr>
          <w:rFonts w:ascii="Book Antiqua" w:hAnsi="Book Antiqua"/>
          <w:i/>
          <w:iCs/>
          <w:lang w:val="es-PR"/>
        </w:rPr>
        <w:t>se</w:t>
      </w:r>
      <w:r w:rsidRPr="0009675B">
        <w:rPr>
          <w:rFonts w:ascii="Book Antiqua" w:hAnsi="Book Antiqua"/>
          <w:i/>
          <w:iCs/>
          <w:lang w:val="es-PR"/>
        </w:rPr>
        <w:t xml:space="preserve"> compelido el testimonio. </w:t>
      </w:r>
    </w:p>
    <w:p w14:paraId="05201194" w14:textId="77777777" w:rsidR="0009675B" w:rsidRPr="0009675B" w:rsidRDefault="0009675B" w:rsidP="002920BE">
      <w:pPr>
        <w:spacing w:line="480" w:lineRule="auto"/>
        <w:ind w:left="360"/>
        <w:jc w:val="both"/>
        <w:rPr>
          <w:rFonts w:ascii="Book Antiqua" w:hAnsi="Book Antiqua"/>
          <w:lang w:val="es-PR"/>
        </w:rPr>
      </w:pPr>
      <w:r w:rsidRPr="0009675B">
        <w:rPr>
          <w:rFonts w:ascii="Book Antiqua" w:hAnsi="Book Antiqua"/>
          <w:i/>
          <w:iCs/>
          <w:lang w:val="es-419"/>
        </w:rPr>
        <w:lastRenderedPageBreak/>
        <w:t>(h)</w:t>
      </w:r>
      <w:r w:rsidRPr="0009675B">
        <w:rPr>
          <w:rFonts w:ascii="Book Antiqua" w:hAnsi="Book Antiqua"/>
          <w:lang w:val="es-419"/>
        </w:rPr>
        <w:t xml:space="preserve"> “Inmunidad disciplinaria”- </w:t>
      </w:r>
      <w:r w:rsidRPr="0009675B">
        <w:rPr>
          <w:rFonts w:ascii="Book Antiqua" w:hAnsi="Book Antiqua"/>
          <w:lang w:val="es-PR"/>
        </w:rPr>
        <w:t xml:space="preserve">significará la protección contra acciones disciplinarias ante el Tribunal Supremo o cualquier otra Junta con facultades de disciplinar a sus miembros con relación a la conducta del abogado o cualquier otra profesión u oficio, relacionada con los hechos sobre los cuales fue obligado a declarar. </w:t>
      </w:r>
    </w:p>
    <w:p w14:paraId="3A4F1AAE" w14:textId="77777777" w:rsidR="0009675B" w:rsidRPr="0009675B" w:rsidRDefault="0009675B" w:rsidP="002920BE">
      <w:pPr>
        <w:spacing w:line="480" w:lineRule="auto"/>
        <w:ind w:left="360"/>
        <w:jc w:val="both"/>
        <w:rPr>
          <w:rFonts w:ascii="Book Antiqua" w:hAnsi="Book Antiqua"/>
          <w:lang w:val="es-PR"/>
        </w:rPr>
      </w:pPr>
      <w:r w:rsidRPr="0009675B">
        <w:rPr>
          <w:rFonts w:ascii="Book Antiqua" w:hAnsi="Book Antiqua"/>
          <w:b/>
          <w:bCs/>
          <w:lang w:val="es-PR"/>
        </w:rPr>
        <w:t>[(g)]</w:t>
      </w:r>
      <w:r w:rsidRPr="0009675B">
        <w:rPr>
          <w:rFonts w:ascii="Book Antiqua" w:hAnsi="Book Antiqua"/>
          <w:lang w:val="es-PR"/>
        </w:rPr>
        <w:t xml:space="preserve"> </w:t>
      </w:r>
      <w:r w:rsidRPr="0009675B">
        <w:rPr>
          <w:rFonts w:ascii="Book Antiqua" w:hAnsi="Book Antiqua"/>
          <w:i/>
          <w:iCs/>
          <w:lang w:val="es-PR"/>
        </w:rPr>
        <w:t>(i)</w:t>
      </w:r>
      <w:r w:rsidRPr="0009675B">
        <w:rPr>
          <w:rFonts w:ascii="Book Antiqua" w:hAnsi="Book Antiqua"/>
          <w:lang w:val="es-PR"/>
        </w:rPr>
        <w:t xml:space="preserve"> “Inmunidad transaccional” — significará la protección contra cualquier acción de naturaleza penal con relación a los hechos sobre los cuales el testigo fue obligado a declarar. </w:t>
      </w:r>
    </w:p>
    <w:p w14:paraId="07BF5CBB" w14:textId="77777777" w:rsidR="0009675B" w:rsidRPr="0009675B" w:rsidRDefault="0009675B" w:rsidP="002920BE">
      <w:pPr>
        <w:spacing w:line="480" w:lineRule="auto"/>
        <w:ind w:left="360"/>
        <w:jc w:val="both"/>
        <w:rPr>
          <w:rFonts w:ascii="Book Antiqua" w:hAnsi="Book Antiqua"/>
          <w:lang w:val="es-PR"/>
        </w:rPr>
      </w:pPr>
      <w:r w:rsidRPr="0009675B">
        <w:rPr>
          <w:rFonts w:ascii="Book Antiqua" w:hAnsi="Book Antiqua"/>
          <w:b/>
          <w:bCs/>
          <w:lang w:val="es-PR"/>
        </w:rPr>
        <w:t>[(h)]</w:t>
      </w:r>
      <w:r w:rsidRPr="0009675B">
        <w:rPr>
          <w:rFonts w:ascii="Book Antiqua" w:hAnsi="Book Antiqua"/>
          <w:lang w:val="es-PR"/>
        </w:rPr>
        <w:t xml:space="preserve"> </w:t>
      </w:r>
      <w:r w:rsidRPr="0009675B">
        <w:rPr>
          <w:rFonts w:ascii="Book Antiqua" w:hAnsi="Book Antiqua"/>
          <w:i/>
          <w:iCs/>
          <w:lang w:val="es-PR"/>
        </w:rPr>
        <w:t xml:space="preserve">(j) </w:t>
      </w:r>
      <w:r w:rsidRPr="0009675B">
        <w:rPr>
          <w:rFonts w:ascii="Book Antiqua" w:hAnsi="Book Antiqua"/>
          <w:lang w:val="es-PR"/>
        </w:rPr>
        <w:t xml:space="preserve">“Orden” — significará la dictada por la sala competente del Tribunal de Primera Instancia, bajo el Artículo 4 de esta ley, obligando a un testigo a declarar o a suministrar la información requerida por la agencia o funcionario, a pesar de su reclamo del derecho contra la autoincriminación. </w:t>
      </w:r>
    </w:p>
    <w:p w14:paraId="53552B67" w14:textId="068296BE" w:rsidR="0009675B" w:rsidRPr="0009675B" w:rsidRDefault="0009675B" w:rsidP="002920BE">
      <w:pPr>
        <w:spacing w:line="480" w:lineRule="auto"/>
        <w:ind w:left="360"/>
        <w:jc w:val="both"/>
        <w:rPr>
          <w:rFonts w:ascii="Book Antiqua" w:hAnsi="Book Antiqua"/>
          <w:lang w:val="es-PR"/>
        </w:rPr>
      </w:pPr>
      <w:r w:rsidRPr="0009675B">
        <w:rPr>
          <w:rFonts w:ascii="Book Antiqua" w:hAnsi="Book Antiqua"/>
          <w:b/>
          <w:bCs/>
          <w:lang w:val="es-PR"/>
        </w:rPr>
        <w:t>[(i)]</w:t>
      </w:r>
      <w:r w:rsidRPr="0009675B">
        <w:rPr>
          <w:rFonts w:ascii="Book Antiqua" w:hAnsi="Book Antiqua"/>
          <w:lang w:val="es-PR"/>
        </w:rPr>
        <w:t xml:space="preserve"> </w:t>
      </w:r>
      <w:r w:rsidRPr="0009675B">
        <w:rPr>
          <w:rFonts w:ascii="Book Antiqua" w:hAnsi="Book Antiqua"/>
          <w:i/>
          <w:iCs/>
          <w:lang w:val="es-PR"/>
        </w:rPr>
        <w:t>(k)</w:t>
      </w:r>
      <w:r w:rsidRPr="0009675B">
        <w:rPr>
          <w:rFonts w:ascii="Book Antiqua" w:hAnsi="Book Antiqua"/>
          <w:lang w:val="es-PR"/>
        </w:rPr>
        <w:t xml:space="preserve"> “Resolución” — significará la aprobada por cualquier Cámara bajo el Artículo </w:t>
      </w:r>
      <w:r w:rsidR="003B2D3B" w:rsidRPr="003B2D3B">
        <w:rPr>
          <w:rFonts w:ascii="Book Antiqua" w:hAnsi="Book Antiqua"/>
          <w:b/>
          <w:bCs/>
          <w:lang w:val="es-PR"/>
        </w:rPr>
        <w:t>[</w:t>
      </w:r>
      <w:r w:rsidRPr="003B2D3B">
        <w:rPr>
          <w:rFonts w:ascii="Book Antiqua" w:hAnsi="Book Antiqua"/>
          <w:b/>
          <w:bCs/>
          <w:lang w:val="es-PR"/>
        </w:rPr>
        <w:t>7(c)</w:t>
      </w:r>
      <w:r w:rsidR="003B2D3B" w:rsidRPr="003B2D3B">
        <w:rPr>
          <w:rFonts w:ascii="Book Antiqua" w:hAnsi="Book Antiqua"/>
          <w:b/>
          <w:bCs/>
          <w:lang w:val="es-PR"/>
        </w:rPr>
        <w:t>]</w:t>
      </w:r>
      <w:r w:rsidRPr="0009675B">
        <w:rPr>
          <w:rFonts w:ascii="Book Antiqua" w:hAnsi="Book Antiqua"/>
          <w:lang w:val="es-PR"/>
        </w:rPr>
        <w:t xml:space="preserve"> </w:t>
      </w:r>
      <w:r w:rsidR="003B2D3B">
        <w:rPr>
          <w:rFonts w:ascii="Book Antiqua" w:hAnsi="Book Antiqua"/>
          <w:i/>
          <w:iCs/>
          <w:lang w:val="es-PR"/>
        </w:rPr>
        <w:t xml:space="preserve">7 (3) </w:t>
      </w:r>
      <w:r w:rsidRPr="0009675B">
        <w:rPr>
          <w:rFonts w:ascii="Book Antiqua" w:hAnsi="Book Antiqua"/>
          <w:lang w:val="es-PR"/>
        </w:rPr>
        <w:t xml:space="preserve">de esta ley. </w:t>
      </w:r>
    </w:p>
    <w:p w14:paraId="056EF479" w14:textId="77777777" w:rsidR="0009675B" w:rsidRPr="0009675B" w:rsidRDefault="0009675B" w:rsidP="002920BE">
      <w:pPr>
        <w:spacing w:line="480" w:lineRule="auto"/>
        <w:ind w:left="360"/>
        <w:jc w:val="both"/>
        <w:rPr>
          <w:rFonts w:ascii="Book Antiqua" w:hAnsi="Book Antiqua"/>
          <w:lang w:val="es-PR"/>
        </w:rPr>
      </w:pPr>
      <w:r w:rsidRPr="0009675B">
        <w:rPr>
          <w:rFonts w:ascii="Book Antiqua" w:hAnsi="Book Antiqua"/>
          <w:b/>
          <w:bCs/>
          <w:lang w:val="es-PR"/>
        </w:rPr>
        <w:t>[(j)]</w:t>
      </w:r>
      <w:r w:rsidRPr="0009675B">
        <w:rPr>
          <w:rFonts w:ascii="Book Antiqua" w:hAnsi="Book Antiqua"/>
          <w:lang w:val="es-PR"/>
        </w:rPr>
        <w:t xml:space="preserve"> </w:t>
      </w:r>
      <w:r w:rsidRPr="0009675B">
        <w:rPr>
          <w:rFonts w:ascii="Book Antiqua" w:hAnsi="Book Antiqua"/>
          <w:i/>
          <w:iCs/>
          <w:lang w:val="es-PR"/>
        </w:rPr>
        <w:t xml:space="preserve">(l) </w:t>
      </w:r>
      <w:r w:rsidRPr="0009675B">
        <w:rPr>
          <w:rFonts w:ascii="Book Antiqua" w:hAnsi="Book Antiqua"/>
          <w:lang w:val="es-PR"/>
        </w:rPr>
        <w:t>“Testigo” — significará cualquier persona obligada a testificar o a suministrar documentación o información, a pesar de su reclamo del privilegio contra la autoincriminación, a cambio de inmunidad.”</w:t>
      </w:r>
    </w:p>
    <w:p w14:paraId="2C8488D5" w14:textId="77777777" w:rsidR="00685DD2" w:rsidRDefault="009B06D6" w:rsidP="005665A7">
      <w:pPr>
        <w:spacing w:line="480" w:lineRule="auto"/>
        <w:ind w:firstLine="720"/>
        <w:jc w:val="both"/>
        <w:rPr>
          <w:rFonts w:ascii="Book Antiqua" w:hAnsi="Book Antiqua"/>
          <w:lang w:val="es-PR"/>
        </w:rPr>
      </w:pPr>
      <w:r w:rsidRPr="00AE47CB">
        <w:rPr>
          <w:rFonts w:ascii="Book Antiqua" w:hAnsi="Book Antiqua"/>
          <w:lang w:val="es-PR"/>
        </w:rPr>
        <w:t xml:space="preserve">Sección </w:t>
      </w:r>
      <w:r w:rsidR="005538F9">
        <w:rPr>
          <w:rFonts w:ascii="Book Antiqua" w:hAnsi="Book Antiqua"/>
          <w:lang w:val="es-PR"/>
        </w:rPr>
        <w:t>2</w:t>
      </w:r>
      <w:r w:rsidRPr="00AE47CB">
        <w:rPr>
          <w:rFonts w:ascii="Book Antiqua" w:hAnsi="Book Antiqua"/>
          <w:lang w:val="es-PR"/>
        </w:rPr>
        <w:t>.</w:t>
      </w:r>
      <w:proofErr w:type="gramStart"/>
      <w:r w:rsidRPr="00AE47CB">
        <w:rPr>
          <w:rFonts w:ascii="Book Antiqua" w:hAnsi="Book Antiqua"/>
          <w:lang w:val="es-PR"/>
        </w:rPr>
        <w:t xml:space="preserve">- </w:t>
      </w:r>
      <w:r w:rsidR="008C2355" w:rsidRPr="00AE47CB">
        <w:rPr>
          <w:rFonts w:ascii="Book Antiqua" w:hAnsi="Book Antiqua"/>
          <w:lang w:val="es-PR"/>
        </w:rPr>
        <w:t xml:space="preserve"> </w:t>
      </w:r>
      <w:r w:rsidR="005665A7" w:rsidRPr="005665A7">
        <w:rPr>
          <w:rFonts w:ascii="Book Antiqua" w:hAnsi="Book Antiqua"/>
          <w:lang w:val="es-PR"/>
        </w:rPr>
        <w:t>Se</w:t>
      </w:r>
      <w:proofErr w:type="gramEnd"/>
      <w:r w:rsidR="005665A7" w:rsidRPr="005665A7">
        <w:rPr>
          <w:rFonts w:ascii="Book Antiqua" w:hAnsi="Book Antiqua"/>
          <w:lang w:val="es-PR"/>
        </w:rPr>
        <w:t xml:space="preserve"> enmienda el Artículo </w:t>
      </w:r>
      <w:r w:rsidR="005665A7">
        <w:rPr>
          <w:rFonts w:ascii="Book Antiqua" w:hAnsi="Book Antiqua"/>
          <w:lang w:val="es-PR"/>
        </w:rPr>
        <w:t>7</w:t>
      </w:r>
      <w:r w:rsidR="005665A7" w:rsidRPr="005665A7">
        <w:rPr>
          <w:rFonts w:ascii="Book Antiqua" w:hAnsi="Book Antiqua"/>
          <w:lang w:val="es-PR"/>
        </w:rPr>
        <w:t xml:space="preserve"> de la </w:t>
      </w:r>
      <w:r w:rsidR="005665A7" w:rsidRPr="005665A7">
        <w:rPr>
          <w:rFonts w:ascii="Book Antiqua" w:hAnsi="Book Antiqua"/>
          <w:lang w:val="es-419"/>
        </w:rPr>
        <w:t>Ley Núm. 27 de 8 de diciembre de 1990, conocida como “Ley de procedimiento y concesión de inmunidad a testigos”, para que se lea como sigue</w:t>
      </w:r>
      <w:r w:rsidR="005665A7" w:rsidRPr="005665A7">
        <w:rPr>
          <w:rFonts w:ascii="Book Antiqua" w:hAnsi="Book Antiqua"/>
          <w:lang w:val="es-PR"/>
        </w:rPr>
        <w:t>:</w:t>
      </w:r>
    </w:p>
    <w:p w14:paraId="37C15726" w14:textId="77777777" w:rsidR="00AA0DD1" w:rsidRPr="00AA0DD1" w:rsidRDefault="00AA0DD1" w:rsidP="00AA0DD1">
      <w:pPr>
        <w:spacing w:line="480" w:lineRule="auto"/>
        <w:ind w:firstLine="720"/>
        <w:jc w:val="both"/>
        <w:rPr>
          <w:rFonts w:ascii="Book Antiqua" w:hAnsi="Book Antiqua"/>
          <w:lang w:val="es-419"/>
        </w:rPr>
      </w:pPr>
      <w:r w:rsidRPr="00AA0DD1">
        <w:rPr>
          <w:rFonts w:ascii="Book Antiqua" w:hAnsi="Book Antiqua"/>
          <w:lang w:val="es-419"/>
        </w:rPr>
        <w:t xml:space="preserve">“Artículo 7. — Procedimientos Legislativos. </w:t>
      </w:r>
    </w:p>
    <w:p w14:paraId="0F391676" w14:textId="67CC5649" w:rsidR="00AA0DD1" w:rsidRPr="002F771B" w:rsidRDefault="00AA0DD1" w:rsidP="00AA0DD1">
      <w:pPr>
        <w:spacing w:line="480" w:lineRule="auto"/>
        <w:ind w:firstLine="720"/>
        <w:jc w:val="both"/>
        <w:rPr>
          <w:rFonts w:ascii="Book Antiqua" w:hAnsi="Book Antiqua"/>
          <w:i/>
          <w:iCs/>
          <w:lang w:val="es-PR"/>
        </w:rPr>
      </w:pPr>
      <w:r w:rsidRPr="00AA0DD1">
        <w:rPr>
          <w:rFonts w:ascii="Book Antiqua" w:hAnsi="Book Antiqua"/>
          <w:lang w:val="es-419"/>
        </w:rPr>
        <w:t xml:space="preserve"> (1) Ningún</w:t>
      </w:r>
      <w:r w:rsidRPr="00AA0DD1">
        <w:rPr>
          <w:rFonts w:ascii="Book Antiqua" w:hAnsi="Book Antiqua"/>
          <w:i/>
          <w:iCs/>
          <w:lang w:val="es-419"/>
        </w:rPr>
        <w:t xml:space="preserve"> </w:t>
      </w:r>
      <w:r w:rsidRPr="00AA0DD1">
        <w:rPr>
          <w:rFonts w:ascii="Book Antiqua" w:hAnsi="Book Antiqua"/>
          <w:lang w:val="es-419"/>
        </w:rPr>
        <w:t xml:space="preserve">testigo bajo juramento ante cualesquiera o ambas Cámaras de la Asamblea Legislativa, o Comisiones de éstas, </w:t>
      </w:r>
      <w:r w:rsidR="00232C53">
        <w:rPr>
          <w:rFonts w:ascii="Book Antiqua" w:hAnsi="Book Antiqua"/>
          <w:i/>
          <w:iCs/>
          <w:lang w:val="es-419"/>
        </w:rPr>
        <w:t xml:space="preserve">al que se le haya </w:t>
      </w:r>
      <w:r w:rsidR="00232C53">
        <w:rPr>
          <w:rFonts w:ascii="Book Antiqua" w:hAnsi="Book Antiqua"/>
          <w:i/>
          <w:iCs/>
          <w:lang w:val="es-PR"/>
        </w:rPr>
        <w:t xml:space="preserve">concedido inmunidad de uso o </w:t>
      </w:r>
      <w:r w:rsidR="00232C53">
        <w:rPr>
          <w:rFonts w:ascii="Book Antiqua" w:hAnsi="Book Antiqua"/>
          <w:i/>
          <w:iCs/>
          <w:lang w:val="es-PR"/>
        </w:rPr>
        <w:lastRenderedPageBreak/>
        <w:t>de uso derivativo</w:t>
      </w:r>
      <w:r w:rsidR="00CB3A06">
        <w:rPr>
          <w:rFonts w:ascii="Book Antiqua" w:hAnsi="Book Antiqua"/>
          <w:i/>
          <w:iCs/>
          <w:lang w:val="es-PR"/>
        </w:rPr>
        <w:t>,</w:t>
      </w:r>
      <w:r w:rsidR="00232C53">
        <w:rPr>
          <w:rFonts w:ascii="Book Antiqua" w:hAnsi="Book Antiqua"/>
          <w:i/>
          <w:iCs/>
          <w:lang w:val="es-PR"/>
        </w:rPr>
        <w:t xml:space="preserve"> penal, civil o administrativa, </w:t>
      </w:r>
      <w:r w:rsidRPr="00AA0DD1">
        <w:rPr>
          <w:rFonts w:ascii="Book Antiqua" w:hAnsi="Book Antiqua"/>
          <w:lang w:val="es-419"/>
        </w:rPr>
        <w:t xml:space="preserve">podrá negarse a declarar o a presentar cualquier documento o información que se le requiera invocando su privilegio contra la autoincriminación. </w:t>
      </w:r>
      <w:r w:rsidR="002F771B" w:rsidRPr="002F771B">
        <w:rPr>
          <w:rFonts w:ascii="Book Antiqua" w:hAnsi="Book Antiqua"/>
          <w:b/>
          <w:bCs/>
          <w:lang w:val="es-PR"/>
        </w:rPr>
        <w:t>[</w:t>
      </w:r>
      <w:r w:rsidRPr="002F771B">
        <w:rPr>
          <w:rFonts w:ascii="Book Antiqua" w:hAnsi="Book Antiqua"/>
          <w:b/>
          <w:bCs/>
          <w:lang w:val="es-419"/>
        </w:rPr>
        <w:t>Pero</w:t>
      </w:r>
      <w:r w:rsidRPr="002F771B">
        <w:rPr>
          <w:rFonts w:ascii="Book Antiqua" w:hAnsi="Book Antiqua"/>
          <w:b/>
          <w:bCs/>
          <w:i/>
          <w:iCs/>
          <w:lang w:val="es-419"/>
        </w:rPr>
        <w:t xml:space="preserve">, </w:t>
      </w:r>
      <w:r w:rsidRPr="002F771B">
        <w:rPr>
          <w:rFonts w:ascii="Book Antiqua" w:hAnsi="Book Antiqua"/>
          <w:b/>
          <w:bCs/>
          <w:lang w:val="es-419"/>
        </w:rPr>
        <w:t>ningún testimonio o información obtenida cuando el testigo así compelido declarare, ni cualquier otra evidencia obtenida directa o indirectamente a partir de tal testimonio o información, podrá ser utilizada contra el testigo en ningún procedimiento criminal en su contra, excepto en un procesamiento por perjurio por prestar falso testimonio al declarar así compelido.</w:t>
      </w:r>
      <w:r w:rsidR="002F771B" w:rsidRPr="002F771B">
        <w:rPr>
          <w:rFonts w:ascii="Book Antiqua" w:hAnsi="Book Antiqua"/>
          <w:b/>
          <w:bCs/>
          <w:lang w:val="es-419"/>
        </w:rPr>
        <w:t>]</w:t>
      </w:r>
      <w:r w:rsidRPr="00AA0DD1">
        <w:rPr>
          <w:rFonts w:ascii="Book Antiqua" w:hAnsi="Book Antiqua"/>
          <w:lang w:val="es-419"/>
        </w:rPr>
        <w:t xml:space="preserve"> Si luego de la declaración así prestada se instara una acción criminal contra el testigo, el ministerio público tendrá que establecer, más allá de duda razonable, que ni el conocimiento del delito, ni la evidencia de cargo fue obtenida, directa o indirectamente,</w:t>
      </w:r>
      <w:r w:rsidR="00CB3A06">
        <w:rPr>
          <w:rFonts w:ascii="Book Antiqua" w:hAnsi="Book Antiqua"/>
          <w:lang w:val="es-419"/>
        </w:rPr>
        <w:t xml:space="preserve"> </w:t>
      </w:r>
      <w:r w:rsidR="00CB3A06" w:rsidRPr="00CB3A06">
        <w:rPr>
          <w:rFonts w:ascii="Book Antiqua" w:hAnsi="Book Antiqua"/>
          <w:i/>
          <w:iCs/>
          <w:lang w:val="es-419"/>
        </w:rPr>
        <w:t>según sea el caso,</w:t>
      </w:r>
      <w:r w:rsidRPr="00AA0DD1">
        <w:rPr>
          <w:rFonts w:ascii="Book Antiqua" w:hAnsi="Book Antiqua"/>
          <w:lang w:val="es-419"/>
        </w:rPr>
        <w:t xml:space="preserve"> mediante el testimonio o información suministrada por el testigo así compelido. </w:t>
      </w:r>
      <w:r w:rsidR="002F771B">
        <w:rPr>
          <w:rFonts w:ascii="Book Antiqua" w:hAnsi="Book Antiqua"/>
          <w:i/>
          <w:iCs/>
          <w:lang w:val="es-PR"/>
        </w:rPr>
        <w:t>Se exceptúa de esta norma todo procesamiento del testigo por perjurio al declarar así compelido.</w:t>
      </w:r>
    </w:p>
    <w:p w14:paraId="1C1F758D" w14:textId="77777777" w:rsidR="00AA0DD1" w:rsidRPr="00AA0DD1" w:rsidRDefault="00AA0DD1" w:rsidP="00AA0DD1">
      <w:pPr>
        <w:spacing w:line="480" w:lineRule="auto"/>
        <w:ind w:firstLine="720"/>
        <w:jc w:val="both"/>
        <w:rPr>
          <w:rFonts w:ascii="Book Antiqua" w:hAnsi="Book Antiqua"/>
          <w:lang w:val="es-419"/>
        </w:rPr>
      </w:pPr>
      <w:r w:rsidRPr="00AA0DD1">
        <w:rPr>
          <w:rFonts w:ascii="Book Antiqua" w:hAnsi="Book Antiqua"/>
          <w:lang w:val="es-419"/>
        </w:rPr>
        <w:t xml:space="preserve">(2) El testigo que se niegue a declarar, contestar alguna pregunta o presentar el documento o información que se le requiera, a pesar de lo dispuesto en el Inciso (1) de este Artículo incurrirá en desacato civil y en el delito de desacato. En el procedimiento de desacato, la inmunidad concedida al testigo bajo el Inciso (1) será prueba suficiente contra cualquier defensa al amparo del privilegio contra la autoincriminación. </w:t>
      </w:r>
    </w:p>
    <w:p w14:paraId="7DED5D0A" w14:textId="630A60A5" w:rsidR="00AA0DD1" w:rsidRPr="00AA0DD1" w:rsidRDefault="00AA0DD1" w:rsidP="00AA0DD1">
      <w:pPr>
        <w:spacing w:line="480" w:lineRule="auto"/>
        <w:ind w:firstLine="720"/>
        <w:jc w:val="both"/>
        <w:rPr>
          <w:rFonts w:ascii="Book Antiqua" w:hAnsi="Book Antiqua"/>
          <w:lang w:val="es-419"/>
        </w:rPr>
      </w:pPr>
      <w:r w:rsidRPr="00AA0DD1">
        <w:rPr>
          <w:rFonts w:ascii="Book Antiqua" w:hAnsi="Book Antiqua"/>
          <w:lang w:val="es-419"/>
        </w:rPr>
        <w:t xml:space="preserve">(3) </w:t>
      </w:r>
      <w:r w:rsidR="002F771B" w:rsidRPr="002F771B">
        <w:rPr>
          <w:rFonts w:ascii="Book Antiqua" w:hAnsi="Book Antiqua"/>
          <w:b/>
          <w:bCs/>
          <w:lang w:val="es-PR"/>
        </w:rPr>
        <w:t>[</w:t>
      </w:r>
      <w:r w:rsidRPr="002F771B">
        <w:rPr>
          <w:rFonts w:ascii="Book Antiqua" w:hAnsi="Book Antiqua"/>
          <w:b/>
          <w:bCs/>
          <w:lang w:val="es-419"/>
        </w:rPr>
        <w:t>Cuando el testigo insista en no declarar, contestar o presentar la evidencia requerida, a pesar de lo dispuesto en el Inciso (1) de este Artículo,</w:t>
      </w:r>
      <w:r w:rsidR="002F771B" w:rsidRPr="002F771B">
        <w:rPr>
          <w:rFonts w:ascii="Book Antiqua" w:hAnsi="Book Antiqua"/>
          <w:b/>
          <w:bCs/>
          <w:lang w:val="es-419"/>
        </w:rPr>
        <w:t>]</w:t>
      </w:r>
      <w:r w:rsidRPr="00AA0DD1">
        <w:rPr>
          <w:rFonts w:ascii="Book Antiqua" w:hAnsi="Book Antiqua"/>
          <w:lang w:val="es-419"/>
        </w:rPr>
        <w:t xml:space="preserve"> </w:t>
      </w:r>
      <w:r w:rsidR="002F771B">
        <w:rPr>
          <w:rFonts w:ascii="Book Antiqua" w:hAnsi="Book Antiqua"/>
          <w:i/>
          <w:iCs/>
          <w:lang w:val="es-419"/>
        </w:rPr>
        <w:t>Para conceder la inmunidad de uso o la inmunidad de uso derivativo</w:t>
      </w:r>
      <w:r w:rsidR="00CB3A06">
        <w:rPr>
          <w:rFonts w:ascii="Book Antiqua" w:hAnsi="Book Antiqua"/>
          <w:i/>
          <w:iCs/>
          <w:lang w:val="es-419"/>
        </w:rPr>
        <w:t>, penal, civil o administrativa</w:t>
      </w:r>
      <w:r w:rsidR="002F771B">
        <w:rPr>
          <w:rFonts w:ascii="Book Antiqua" w:hAnsi="Book Antiqua"/>
          <w:i/>
          <w:iCs/>
          <w:lang w:val="es-419"/>
        </w:rPr>
        <w:t xml:space="preserve">, </w:t>
      </w:r>
      <w:r w:rsidRPr="00AA0DD1">
        <w:rPr>
          <w:rFonts w:ascii="Book Antiqua" w:hAnsi="Book Antiqua"/>
          <w:lang w:val="es-419"/>
        </w:rPr>
        <w:t xml:space="preserve">la Cámara correspondiente o ambas Cámaras en el caso de una Sesión o Comisión o Subcomisión Conjunta de ambos Cuerpos, </w:t>
      </w:r>
      <w:r w:rsidR="002F771B" w:rsidRPr="002F771B">
        <w:rPr>
          <w:rFonts w:ascii="Book Antiqua" w:hAnsi="Book Antiqua"/>
          <w:b/>
          <w:bCs/>
          <w:lang w:val="es-419"/>
        </w:rPr>
        <w:t>[</w:t>
      </w:r>
      <w:r w:rsidRPr="002F771B">
        <w:rPr>
          <w:rFonts w:ascii="Book Antiqua" w:hAnsi="Book Antiqua"/>
          <w:b/>
          <w:bCs/>
          <w:lang w:val="es-419"/>
        </w:rPr>
        <w:t>podrá aprobar</w:t>
      </w:r>
      <w:r w:rsidR="002F771B" w:rsidRPr="002F771B">
        <w:rPr>
          <w:rFonts w:ascii="Book Antiqua" w:hAnsi="Book Antiqua"/>
          <w:b/>
          <w:bCs/>
          <w:lang w:val="es-419"/>
        </w:rPr>
        <w:t>]</w:t>
      </w:r>
      <w:r w:rsidRPr="00AA0DD1">
        <w:rPr>
          <w:rFonts w:ascii="Book Antiqua" w:hAnsi="Book Antiqua"/>
          <w:lang w:val="es-419"/>
        </w:rPr>
        <w:t xml:space="preserve"> </w:t>
      </w:r>
      <w:r w:rsidR="002F771B">
        <w:rPr>
          <w:rFonts w:ascii="Book Antiqua" w:hAnsi="Book Antiqua"/>
          <w:i/>
          <w:iCs/>
          <w:lang w:val="es-419"/>
        </w:rPr>
        <w:t>aprobar</w:t>
      </w:r>
      <w:r w:rsidR="002F771B">
        <w:rPr>
          <w:rFonts w:ascii="Book Antiqua" w:hAnsi="Book Antiqua"/>
          <w:i/>
          <w:iCs/>
          <w:lang w:val="es-PR"/>
        </w:rPr>
        <w:t xml:space="preserve">á </w:t>
      </w:r>
      <w:r w:rsidRPr="00AA0DD1">
        <w:rPr>
          <w:rFonts w:ascii="Book Antiqua" w:hAnsi="Book Antiqua"/>
          <w:lang w:val="es-419"/>
        </w:rPr>
        <w:t xml:space="preserve">una resolución </w:t>
      </w:r>
      <w:r w:rsidR="00CB3A06" w:rsidRPr="00CB3A06">
        <w:rPr>
          <w:rFonts w:ascii="Book Antiqua" w:hAnsi="Book Antiqua"/>
          <w:b/>
          <w:bCs/>
          <w:lang w:val="es-PR"/>
        </w:rPr>
        <w:t>[</w:t>
      </w:r>
      <w:r w:rsidRPr="00CB3A06">
        <w:rPr>
          <w:rFonts w:ascii="Book Antiqua" w:hAnsi="Book Antiqua"/>
          <w:b/>
          <w:bCs/>
          <w:lang w:val="es-419"/>
        </w:rPr>
        <w:t xml:space="preserve">concediendo al </w:t>
      </w:r>
      <w:r w:rsidRPr="00CB3A06">
        <w:rPr>
          <w:rFonts w:ascii="Book Antiqua" w:hAnsi="Book Antiqua"/>
          <w:b/>
          <w:bCs/>
          <w:lang w:val="es-419"/>
        </w:rPr>
        <w:lastRenderedPageBreak/>
        <w:t>testigo</w:t>
      </w:r>
      <w:r w:rsidRPr="00CB3A06">
        <w:rPr>
          <w:rFonts w:ascii="Book Antiqua" w:hAnsi="Book Antiqua"/>
          <w:b/>
          <w:bCs/>
          <w:i/>
          <w:iCs/>
          <w:lang w:val="es-419"/>
        </w:rPr>
        <w:t xml:space="preserve"> </w:t>
      </w:r>
      <w:r w:rsidRPr="00CB3A06">
        <w:rPr>
          <w:rFonts w:ascii="Book Antiqua" w:hAnsi="Book Antiqua"/>
          <w:b/>
          <w:bCs/>
          <w:lang w:val="es-419"/>
        </w:rPr>
        <w:t xml:space="preserve"> inmunidad transaccional,</w:t>
      </w:r>
      <w:r w:rsidR="00CB3A06">
        <w:rPr>
          <w:rFonts w:ascii="Book Antiqua" w:hAnsi="Book Antiqua"/>
          <w:b/>
          <w:bCs/>
          <w:lang w:val="es-419"/>
        </w:rPr>
        <w:t xml:space="preserve"> </w:t>
      </w:r>
      <w:r w:rsidRPr="00CB3A06">
        <w:rPr>
          <w:rFonts w:ascii="Book Antiqua" w:hAnsi="Book Antiqua"/>
          <w:b/>
          <w:bCs/>
          <w:lang w:val="es-419"/>
        </w:rPr>
        <w:t>civil o administración a todas,</w:t>
      </w:r>
      <w:r w:rsidR="00CB3A06" w:rsidRPr="00CB3A06">
        <w:rPr>
          <w:rFonts w:ascii="Book Antiqua" w:hAnsi="Book Antiqua"/>
          <w:b/>
          <w:bCs/>
          <w:lang w:val="es-419"/>
        </w:rPr>
        <w:t>]</w:t>
      </w:r>
      <w:r w:rsidR="00CB3A06">
        <w:rPr>
          <w:rFonts w:ascii="Book Antiqua" w:hAnsi="Book Antiqua"/>
          <w:lang w:val="es-419"/>
        </w:rPr>
        <w:t xml:space="preserve"> </w:t>
      </w:r>
      <w:proofErr w:type="spellStart"/>
      <w:r w:rsidR="00CB3A06">
        <w:rPr>
          <w:rFonts w:ascii="Book Antiqua" w:hAnsi="Book Antiqua"/>
          <w:i/>
          <w:iCs/>
          <w:lang w:val="es-419"/>
        </w:rPr>
        <w:t>concedi</w:t>
      </w:r>
      <w:r w:rsidR="00CB3A06">
        <w:rPr>
          <w:rFonts w:ascii="Book Antiqua" w:hAnsi="Book Antiqua"/>
          <w:i/>
          <w:iCs/>
          <w:lang w:val="es-PR"/>
        </w:rPr>
        <w:t>éndola</w:t>
      </w:r>
      <w:proofErr w:type="spellEnd"/>
      <w:r w:rsidRPr="00AA0DD1">
        <w:rPr>
          <w:rFonts w:ascii="Book Antiqua" w:hAnsi="Book Antiqua"/>
          <w:lang w:val="es-419"/>
        </w:rPr>
        <w:t xml:space="preserve"> siempre que sea con el voto de la mayoría de los miembros de la Cámara correspondiente o de ambas Cámaras en los casos de investigaciones conjuntas. La resolución podrá, además, autorizar al </w:t>
      </w:r>
      <w:proofErr w:type="gramStart"/>
      <w:r w:rsidRPr="00AA0DD1">
        <w:rPr>
          <w:rFonts w:ascii="Book Antiqua" w:hAnsi="Book Antiqua"/>
          <w:lang w:val="es-419"/>
        </w:rPr>
        <w:t>Presidente</w:t>
      </w:r>
      <w:proofErr w:type="gramEnd"/>
      <w:r w:rsidRPr="00AA0DD1">
        <w:rPr>
          <w:rFonts w:ascii="Book Antiqua" w:hAnsi="Book Antiqua"/>
          <w:lang w:val="es-419"/>
        </w:rPr>
        <w:t xml:space="preserve"> de la Cámara </w:t>
      </w:r>
      <w:r w:rsidR="002529F4" w:rsidRPr="002529F4">
        <w:rPr>
          <w:rFonts w:ascii="Book Antiqua" w:hAnsi="Book Antiqua"/>
          <w:b/>
          <w:bCs/>
          <w:lang w:val="es-PR"/>
        </w:rPr>
        <w:t>[</w:t>
      </w:r>
      <w:r w:rsidRPr="002529F4">
        <w:rPr>
          <w:rFonts w:ascii="Book Antiqua" w:hAnsi="Book Antiqua"/>
          <w:b/>
          <w:bCs/>
          <w:lang w:val="es-419"/>
        </w:rPr>
        <w:t>correspondientes</w:t>
      </w:r>
      <w:r w:rsidR="002529F4" w:rsidRPr="002529F4">
        <w:rPr>
          <w:rFonts w:ascii="Book Antiqua" w:hAnsi="Book Antiqua"/>
          <w:b/>
          <w:bCs/>
          <w:lang w:val="es-419"/>
        </w:rPr>
        <w:t>]</w:t>
      </w:r>
      <w:r w:rsidRPr="00AA0DD1">
        <w:rPr>
          <w:rFonts w:ascii="Book Antiqua" w:hAnsi="Book Antiqua"/>
          <w:lang w:val="es-419"/>
        </w:rPr>
        <w:t xml:space="preserve"> </w:t>
      </w:r>
      <w:r w:rsidR="002529F4">
        <w:rPr>
          <w:rFonts w:ascii="Book Antiqua" w:hAnsi="Book Antiqua"/>
          <w:i/>
          <w:iCs/>
          <w:lang w:val="es-419"/>
        </w:rPr>
        <w:t xml:space="preserve">correspondiente </w:t>
      </w:r>
      <w:r w:rsidRPr="00AA0DD1">
        <w:rPr>
          <w:rFonts w:ascii="Book Antiqua" w:hAnsi="Book Antiqua"/>
          <w:lang w:val="es-419"/>
        </w:rPr>
        <w:t xml:space="preserve">a solicitar del Tribunal Supremo inmunidad disciplinaria para el testigo, si éste fuera un abogado debidamente admitido al ejercicio de la profesión por el Tribunal Supremo. En caso de otras profesiones debidamente reglamentadas por ley, el </w:t>
      </w:r>
      <w:proofErr w:type="gramStart"/>
      <w:r w:rsidRPr="00AA0DD1">
        <w:rPr>
          <w:rFonts w:ascii="Book Antiqua" w:hAnsi="Book Antiqua"/>
          <w:lang w:val="es-419"/>
        </w:rPr>
        <w:t>Presidente</w:t>
      </w:r>
      <w:proofErr w:type="gramEnd"/>
      <w:r w:rsidRPr="00AA0DD1">
        <w:rPr>
          <w:rFonts w:ascii="Book Antiqua" w:hAnsi="Book Antiqua"/>
          <w:lang w:val="es-419"/>
        </w:rPr>
        <w:t xml:space="preserve"> de la Cámara correspondiente, acudirá al organismo que corresponda. </w:t>
      </w:r>
      <w:r w:rsidRPr="00AA0DD1">
        <w:rPr>
          <w:rFonts w:ascii="Book Antiqua" w:hAnsi="Book Antiqua"/>
          <w:b/>
          <w:bCs/>
          <w:lang w:val="es-419"/>
        </w:rPr>
        <w:t>[Si bajo este procedimiento el testigo obtiene inmunidad transaccional, civil o administrativa, se terminará todo procedimiento ya iniciado y no se iniciará procedimiento alguno afectado por la inmunidad.]</w:t>
      </w:r>
      <w:r w:rsidRPr="00AA0DD1">
        <w:rPr>
          <w:rFonts w:ascii="Book Antiqua" w:hAnsi="Book Antiqua"/>
          <w:lang w:val="es-419"/>
        </w:rPr>
        <w:t>”</w:t>
      </w:r>
    </w:p>
    <w:p w14:paraId="70027BB9" w14:textId="13047560" w:rsidR="00A50EFD" w:rsidRPr="00AE47CB" w:rsidRDefault="00A50EFD" w:rsidP="005665A7">
      <w:pPr>
        <w:spacing w:line="480" w:lineRule="auto"/>
        <w:ind w:firstLine="720"/>
        <w:jc w:val="both"/>
        <w:rPr>
          <w:rFonts w:ascii="Book Antiqua" w:eastAsia="SimSun" w:hAnsi="Book Antiqua"/>
          <w:lang w:val="es-ES"/>
        </w:rPr>
      </w:pPr>
      <w:r w:rsidRPr="00AE47CB">
        <w:rPr>
          <w:rFonts w:ascii="Book Antiqua" w:eastAsia="SimSun" w:hAnsi="Book Antiqua"/>
          <w:lang w:val="es-ES"/>
        </w:rPr>
        <w:t xml:space="preserve">Sección </w:t>
      </w:r>
      <w:r w:rsidR="005538F9">
        <w:rPr>
          <w:rFonts w:ascii="Book Antiqua" w:eastAsia="SimSun" w:hAnsi="Book Antiqua"/>
          <w:lang w:val="es-ES"/>
        </w:rPr>
        <w:t>3</w:t>
      </w:r>
      <w:r w:rsidRPr="00AE47CB">
        <w:rPr>
          <w:rFonts w:ascii="Book Antiqua" w:eastAsia="SimSun" w:hAnsi="Book Antiqua"/>
          <w:lang w:val="es-ES"/>
        </w:rPr>
        <w:t>.</w:t>
      </w:r>
      <w:r w:rsidR="007C04A5" w:rsidRPr="00AE47CB">
        <w:rPr>
          <w:rFonts w:ascii="Book Antiqua" w:eastAsia="SimSun" w:hAnsi="Book Antiqua"/>
          <w:lang w:val="es-ES"/>
        </w:rPr>
        <w:t>-</w:t>
      </w:r>
      <w:r w:rsidRPr="00AE47CB">
        <w:rPr>
          <w:rFonts w:ascii="Book Antiqua" w:eastAsia="SimSun" w:hAnsi="Book Antiqua"/>
          <w:lang w:val="es-ES"/>
        </w:rPr>
        <w:t xml:space="preserve"> Separabilidad</w:t>
      </w:r>
      <w:r w:rsidR="00B24CEA">
        <w:rPr>
          <w:rFonts w:ascii="Book Antiqua" w:eastAsia="SimSun" w:hAnsi="Book Antiqua"/>
          <w:lang w:val="es-ES"/>
        </w:rPr>
        <w:t>.</w:t>
      </w:r>
    </w:p>
    <w:p w14:paraId="6611C15F" w14:textId="5675C55A" w:rsidR="00A50EFD" w:rsidRDefault="00A50EFD" w:rsidP="00A50EFD">
      <w:pPr>
        <w:spacing w:line="480" w:lineRule="auto"/>
        <w:ind w:firstLine="720"/>
        <w:jc w:val="both"/>
        <w:rPr>
          <w:rFonts w:ascii="Book Antiqua" w:eastAsia="SimSun" w:hAnsi="Book Antiqua"/>
          <w:lang w:val="es-ES"/>
        </w:rPr>
      </w:pPr>
      <w:r w:rsidRPr="00AE47CB">
        <w:rPr>
          <w:rFonts w:ascii="Book Antiqua" w:eastAsia="SimSun" w:hAnsi="Book Antiqua"/>
          <w:lang w:val="es-ES"/>
        </w:rPr>
        <w:t xml:space="preserve">Si cualquier artículo, parte, párrafo o sección de esta Ley fuese declarado nulo, inválido o declarado inconstitucional por un Tribunal con jurisdicción competente, la sentencia dictada a tal efecto sólo afectará aquella parte, artículo, párrafo o sección cuya nulidad o invalidez haya sido declarada. </w:t>
      </w:r>
    </w:p>
    <w:p w14:paraId="70CCCEE5" w14:textId="6DBECE8C" w:rsidR="0020620B" w:rsidRPr="00AE47CB" w:rsidRDefault="008E6A4D" w:rsidP="008E6A4D">
      <w:pPr>
        <w:spacing w:line="480" w:lineRule="auto"/>
        <w:jc w:val="both"/>
        <w:rPr>
          <w:rFonts w:ascii="Book Antiqua" w:hAnsi="Book Antiqua"/>
          <w:lang w:val="es-PR"/>
        </w:rPr>
      </w:pPr>
      <w:r w:rsidRPr="00AE47CB">
        <w:rPr>
          <w:rFonts w:ascii="Book Antiqua" w:hAnsi="Book Antiqua"/>
          <w:lang w:val="es-ES"/>
        </w:rPr>
        <w:t xml:space="preserve">            </w:t>
      </w:r>
      <w:r w:rsidR="00946F62" w:rsidRPr="00AE47CB">
        <w:rPr>
          <w:rFonts w:ascii="Book Antiqua" w:hAnsi="Book Antiqua"/>
          <w:lang w:val="es-PR"/>
        </w:rPr>
        <w:t xml:space="preserve">Sección </w:t>
      </w:r>
      <w:r w:rsidR="005538F9">
        <w:rPr>
          <w:rFonts w:ascii="Book Antiqua" w:hAnsi="Book Antiqua"/>
          <w:lang w:val="es-PR"/>
        </w:rPr>
        <w:t>4</w:t>
      </w:r>
      <w:r w:rsidR="00946F62" w:rsidRPr="00AE47CB">
        <w:rPr>
          <w:rFonts w:ascii="Book Antiqua" w:hAnsi="Book Antiqua"/>
          <w:lang w:val="es-PR"/>
        </w:rPr>
        <w:t>.-</w:t>
      </w:r>
      <w:r w:rsidR="0020620B" w:rsidRPr="00AE47CB">
        <w:rPr>
          <w:rFonts w:ascii="Book Antiqua" w:hAnsi="Book Antiqua"/>
          <w:lang w:val="es-PR"/>
        </w:rPr>
        <w:t xml:space="preserve">Vigencia. </w:t>
      </w:r>
    </w:p>
    <w:p w14:paraId="7C2A2B36" w14:textId="4113EAB4" w:rsidR="0020620B" w:rsidRPr="00AE47CB" w:rsidRDefault="009A318F" w:rsidP="00316438">
      <w:pPr>
        <w:spacing w:line="480" w:lineRule="auto"/>
        <w:ind w:firstLine="720"/>
        <w:jc w:val="both"/>
        <w:rPr>
          <w:rFonts w:ascii="Book Antiqua" w:eastAsia="SimSun" w:hAnsi="Book Antiqua"/>
          <w:lang w:val="es-ES"/>
        </w:rPr>
      </w:pPr>
      <w:r w:rsidRPr="00AE47CB">
        <w:rPr>
          <w:rFonts w:ascii="Book Antiqua" w:hAnsi="Book Antiqua"/>
          <w:lang w:val="es-PR"/>
        </w:rPr>
        <w:t xml:space="preserve"> </w:t>
      </w:r>
      <w:r w:rsidR="00316438" w:rsidRPr="00AE47CB">
        <w:rPr>
          <w:rFonts w:ascii="Book Antiqua" w:eastAsia="SimSun" w:hAnsi="Book Antiqua"/>
          <w:lang w:val="es-ES"/>
        </w:rPr>
        <w:t>Esta Ley comenzará a regir inmediatamente después de su aprobación.</w:t>
      </w:r>
    </w:p>
    <w:sectPr w:rsidR="0020620B" w:rsidRPr="00AE47CB">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8DC19" w14:textId="77777777" w:rsidR="000B5591" w:rsidRDefault="000B5591">
      <w:r>
        <w:separator/>
      </w:r>
    </w:p>
  </w:endnote>
  <w:endnote w:type="continuationSeparator" w:id="0">
    <w:p w14:paraId="64B94185" w14:textId="77777777" w:rsidR="000B5591" w:rsidRDefault="000B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CC388A" w:rsidRDefault="00CC38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9A0FB" w14:textId="77777777" w:rsidR="000B5591" w:rsidRDefault="000B5591">
      <w:r>
        <w:separator/>
      </w:r>
    </w:p>
  </w:footnote>
  <w:footnote w:type="continuationSeparator" w:id="0">
    <w:p w14:paraId="34556B8A" w14:textId="77777777" w:rsidR="000B5591" w:rsidRDefault="000B5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04038893"/>
      <w:docPartObj>
        <w:docPartGallery w:val="Page Numbers (Top of Page)"/>
        <w:docPartUnique/>
      </w:docPartObj>
    </w:sdtPr>
    <w:sdtEndPr>
      <w:rPr>
        <w:rStyle w:val="Nmerodepgina"/>
      </w:rPr>
    </w:sdtEndPr>
    <w:sdtContent>
      <w:p w14:paraId="3C2A1192" w14:textId="1963EFC2" w:rsidR="0084191C" w:rsidRDefault="0084191C" w:rsidP="0084191C">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12F3C52" w14:textId="77777777" w:rsidR="0084191C" w:rsidRDefault="0084191C" w:rsidP="0084191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951237037"/>
      <w:docPartObj>
        <w:docPartGallery w:val="Page Numbers (Top of Page)"/>
        <w:docPartUnique/>
      </w:docPartObj>
    </w:sdtPr>
    <w:sdtEndPr>
      <w:rPr>
        <w:rStyle w:val="Nmerodepgina"/>
      </w:rPr>
    </w:sdtEndPr>
    <w:sdtContent>
      <w:p w14:paraId="30EF3F51" w14:textId="18259BAE" w:rsidR="0084191C" w:rsidRDefault="0084191C" w:rsidP="0084191C">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22FEEF2F" w14:textId="06D4E8AF" w:rsidR="00F042CB" w:rsidRDefault="00F042CB" w:rsidP="0084191C">
    <w:pPr>
      <w:pStyle w:val="Encabezado"/>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CC388A" w:rsidRDefault="00CC388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Encabezado"/>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CC388A" w:rsidRDefault="00CC388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CC388A" w:rsidRDefault="00CC38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66CF1"/>
    <w:multiLevelType w:val="hybridMultilevel"/>
    <w:tmpl w:val="08C60EDE"/>
    <w:lvl w:ilvl="0" w:tplc="A8AC5F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7D27032"/>
    <w:multiLevelType w:val="hybridMultilevel"/>
    <w:tmpl w:val="5F92DE46"/>
    <w:lvl w:ilvl="0" w:tplc="34BEE0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68516C"/>
    <w:multiLevelType w:val="hybridMultilevel"/>
    <w:tmpl w:val="D86A0674"/>
    <w:lvl w:ilvl="0" w:tplc="9B58FD2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3AED6577"/>
    <w:multiLevelType w:val="hybridMultilevel"/>
    <w:tmpl w:val="3ABA6200"/>
    <w:lvl w:ilvl="0" w:tplc="7DC809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E911FB"/>
    <w:multiLevelType w:val="hybridMultilevel"/>
    <w:tmpl w:val="A75863C6"/>
    <w:lvl w:ilvl="0" w:tplc="5B1A64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1871542">
    <w:abstractNumId w:val="1"/>
  </w:num>
  <w:num w:numId="2" w16cid:durableId="1700279446">
    <w:abstractNumId w:val="4"/>
  </w:num>
  <w:num w:numId="3" w16cid:durableId="1852839992">
    <w:abstractNumId w:val="3"/>
  </w:num>
  <w:num w:numId="4" w16cid:durableId="373580955">
    <w:abstractNumId w:val="0"/>
  </w:num>
  <w:num w:numId="5" w16cid:durableId="695930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1034C"/>
    <w:rsid w:val="00016E7F"/>
    <w:rsid w:val="000170EC"/>
    <w:rsid w:val="00020BBB"/>
    <w:rsid w:val="00023FC2"/>
    <w:rsid w:val="00035A1E"/>
    <w:rsid w:val="0003679B"/>
    <w:rsid w:val="000371C5"/>
    <w:rsid w:val="00053FB6"/>
    <w:rsid w:val="00054DB0"/>
    <w:rsid w:val="00056024"/>
    <w:rsid w:val="00056354"/>
    <w:rsid w:val="00061E00"/>
    <w:rsid w:val="00061F10"/>
    <w:rsid w:val="00062EE6"/>
    <w:rsid w:val="000632CE"/>
    <w:rsid w:val="00065ABC"/>
    <w:rsid w:val="00071469"/>
    <w:rsid w:val="00071810"/>
    <w:rsid w:val="00076C60"/>
    <w:rsid w:val="000770CB"/>
    <w:rsid w:val="00077748"/>
    <w:rsid w:val="00086FD2"/>
    <w:rsid w:val="00091740"/>
    <w:rsid w:val="00095AE1"/>
    <w:rsid w:val="0009675B"/>
    <w:rsid w:val="000A1A00"/>
    <w:rsid w:val="000A2683"/>
    <w:rsid w:val="000A33E7"/>
    <w:rsid w:val="000A3876"/>
    <w:rsid w:val="000A557C"/>
    <w:rsid w:val="000A5CF7"/>
    <w:rsid w:val="000A6B6C"/>
    <w:rsid w:val="000B0DBB"/>
    <w:rsid w:val="000B37A5"/>
    <w:rsid w:val="000B5591"/>
    <w:rsid w:val="000C1E41"/>
    <w:rsid w:val="000C38AE"/>
    <w:rsid w:val="000C5431"/>
    <w:rsid w:val="000C6140"/>
    <w:rsid w:val="000D083F"/>
    <w:rsid w:val="000D24DB"/>
    <w:rsid w:val="000D59CA"/>
    <w:rsid w:val="000E3BBC"/>
    <w:rsid w:val="000E4E1D"/>
    <w:rsid w:val="000E5CE1"/>
    <w:rsid w:val="000E6204"/>
    <w:rsid w:val="000E73E2"/>
    <w:rsid w:val="000E7988"/>
    <w:rsid w:val="000F1F73"/>
    <w:rsid w:val="000F4780"/>
    <w:rsid w:val="001001C0"/>
    <w:rsid w:val="00102121"/>
    <w:rsid w:val="00103D25"/>
    <w:rsid w:val="00104301"/>
    <w:rsid w:val="00105304"/>
    <w:rsid w:val="00111E71"/>
    <w:rsid w:val="00117EFE"/>
    <w:rsid w:val="00120113"/>
    <w:rsid w:val="0012430E"/>
    <w:rsid w:val="00127C6A"/>
    <w:rsid w:val="001363FE"/>
    <w:rsid w:val="00140A95"/>
    <w:rsid w:val="001444BD"/>
    <w:rsid w:val="00144FDD"/>
    <w:rsid w:val="00145A7C"/>
    <w:rsid w:val="00147386"/>
    <w:rsid w:val="00152B32"/>
    <w:rsid w:val="00157AB2"/>
    <w:rsid w:val="00167E78"/>
    <w:rsid w:val="0017132B"/>
    <w:rsid w:val="00174B9B"/>
    <w:rsid w:val="00183E34"/>
    <w:rsid w:val="00190C36"/>
    <w:rsid w:val="001A1295"/>
    <w:rsid w:val="001A3767"/>
    <w:rsid w:val="001A4074"/>
    <w:rsid w:val="001A4C83"/>
    <w:rsid w:val="001A6037"/>
    <w:rsid w:val="001A698E"/>
    <w:rsid w:val="001A731A"/>
    <w:rsid w:val="001B1F07"/>
    <w:rsid w:val="001B2EEB"/>
    <w:rsid w:val="001B469B"/>
    <w:rsid w:val="001B6625"/>
    <w:rsid w:val="001B6D9E"/>
    <w:rsid w:val="001B7615"/>
    <w:rsid w:val="001C5A7B"/>
    <w:rsid w:val="001C6347"/>
    <w:rsid w:val="001C7745"/>
    <w:rsid w:val="001D3B7F"/>
    <w:rsid w:val="001D725C"/>
    <w:rsid w:val="001E1B03"/>
    <w:rsid w:val="001E348E"/>
    <w:rsid w:val="001E665E"/>
    <w:rsid w:val="001E6A6D"/>
    <w:rsid w:val="001F254F"/>
    <w:rsid w:val="001F2A38"/>
    <w:rsid w:val="001F2AA8"/>
    <w:rsid w:val="001F4CA3"/>
    <w:rsid w:val="001F612A"/>
    <w:rsid w:val="001F6D3E"/>
    <w:rsid w:val="001F6E41"/>
    <w:rsid w:val="00203AB8"/>
    <w:rsid w:val="0020620B"/>
    <w:rsid w:val="0021129D"/>
    <w:rsid w:val="00211396"/>
    <w:rsid w:val="00211744"/>
    <w:rsid w:val="00212AF4"/>
    <w:rsid w:val="00221CFA"/>
    <w:rsid w:val="00221FDB"/>
    <w:rsid w:val="0022682C"/>
    <w:rsid w:val="00226AE6"/>
    <w:rsid w:val="0022708D"/>
    <w:rsid w:val="002313AD"/>
    <w:rsid w:val="00232C53"/>
    <w:rsid w:val="002351C2"/>
    <w:rsid w:val="00241AD3"/>
    <w:rsid w:val="0024380A"/>
    <w:rsid w:val="00245B34"/>
    <w:rsid w:val="002469A3"/>
    <w:rsid w:val="002529F4"/>
    <w:rsid w:val="00256DB3"/>
    <w:rsid w:val="00262F67"/>
    <w:rsid w:val="00263355"/>
    <w:rsid w:val="00264AB3"/>
    <w:rsid w:val="00270752"/>
    <w:rsid w:val="002718EB"/>
    <w:rsid w:val="00271F3D"/>
    <w:rsid w:val="00273792"/>
    <w:rsid w:val="00277C09"/>
    <w:rsid w:val="00277EDC"/>
    <w:rsid w:val="0028006E"/>
    <w:rsid w:val="00281F35"/>
    <w:rsid w:val="002844EE"/>
    <w:rsid w:val="002920BE"/>
    <w:rsid w:val="00293D35"/>
    <w:rsid w:val="002964BC"/>
    <w:rsid w:val="002B42D8"/>
    <w:rsid w:val="002C25C2"/>
    <w:rsid w:val="002C67D9"/>
    <w:rsid w:val="002D4988"/>
    <w:rsid w:val="002D4AC8"/>
    <w:rsid w:val="002D7460"/>
    <w:rsid w:val="002E5A43"/>
    <w:rsid w:val="002F0E05"/>
    <w:rsid w:val="002F5656"/>
    <w:rsid w:val="002F771B"/>
    <w:rsid w:val="0030000D"/>
    <w:rsid w:val="00311C6C"/>
    <w:rsid w:val="00316438"/>
    <w:rsid w:val="00320D78"/>
    <w:rsid w:val="00321126"/>
    <w:rsid w:val="0032336E"/>
    <w:rsid w:val="00326B10"/>
    <w:rsid w:val="0032799A"/>
    <w:rsid w:val="0033143E"/>
    <w:rsid w:val="003446B6"/>
    <w:rsid w:val="00344ECD"/>
    <w:rsid w:val="00346827"/>
    <w:rsid w:val="0035361D"/>
    <w:rsid w:val="0037593C"/>
    <w:rsid w:val="00380FE5"/>
    <w:rsid w:val="00387045"/>
    <w:rsid w:val="0039038A"/>
    <w:rsid w:val="0039202B"/>
    <w:rsid w:val="003924DD"/>
    <w:rsid w:val="003943DC"/>
    <w:rsid w:val="00394FCB"/>
    <w:rsid w:val="00395A9A"/>
    <w:rsid w:val="003963F4"/>
    <w:rsid w:val="003A45C5"/>
    <w:rsid w:val="003B0EAE"/>
    <w:rsid w:val="003B173B"/>
    <w:rsid w:val="003B2D3B"/>
    <w:rsid w:val="003B4ED6"/>
    <w:rsid w:val="003B5254"/>
    <w:rsid w:val="003B75A6"/>
    <w:rsid w:val="003B7A96"/>
    <w:rsid w:val="003B7F6A"/>
    <w:rsid w:val="003C0ABF"/>
    <w:rsid w:val="003C465C"/>
    <w:rsid w:val="003C4FAF"/>
    <w:rsid w:val="003C511D"/>
    <w:rsid w:val="003C596C"/>
    <w:rsid w:val="003C7A6E"/>
    <w:rsid w:val="003E3C9F"/>
    <w:rsid w:val="003F081B"/>
    <w:rsid w:val="003F6D9E"/>
    <w:rsid w:val="003F708A"/>
    <w:rsid w:val="004026F7"/>
    <w:rsid w:val="00403918"/>
    <w:rsid w:val="00405E93"/>
    <w:rsid w:val="004061CA"/>
    <w:rsid w:val="00413E03"/>
    <w:rsid w:val="00415689"/>
    <w:rsid w:val="00416378"/>
    <w:rsid w:val="00420105"/>
    <w:rsid w:val="00425D20"/>
    <w:rsid w:val="00430829"/>
    <w:rsid w:val="004357B0"/>
    <w:rsid w:val="00442610"/>
    <w:rsid w:val="004440CB"/>
    <w:rsid w:val="0044414A"/>
    <w:rsid w:val="00457CA3"/>
    <w:rsid w:val="004618C5"/>
    <w:rsid w:val="0046433D"/>
    <w:rsid w:val="004676D6"/>
    <w:rsid w:val="004713D2"/>
    <w:rsid w:val="00471899"/>
    <w:rsid w:val="004719C1"/>
    <w:rsid w:val="00477FB9"/>
    <w:rsid w:val="00481E40"/>
    <w:rsid w:val="004846F3"/>
    <w:rsid w:val="00486B23"/>
    <w:rsid w:val="004A172D"/>
    <w:rsid w:val="004B2D5E"/>
    <w:rsid w:val="004C38D7"/>
    <w:rsid w:val="004C48B4"/>
    <w:rsid w:val="004D3BDB"/>
    <w:rsid w:val="004E4AB8"/>
    <w:rsid w:val="004E7E71"/>
    <w:rsid w:val="004F1326"/>
    <w:rsid w:val="00503904"/>
    <w:rsid w:val="00505142"/>
    <w:rsid w:val="00510D9F"/>
    <w:rsid w:val="005119BD"/>
    <w:rsid w:val="00512A97"/>
    <w:rsid w:val="005141B8"/>
    <w:rsid w:val="00514DB8"/>
    <w:rsid w:val="0051534F"/>
    <w:rsid w:val="00516339"/>
    <w:rsid w:val="00521639"/>
    <w:rsid w:val="005239BE"/>
    <w:rsid w:val="00526EBD"/>
    <w:rsid w:val="00530582"/>
    <w:rsid w:val="00530CC6"/>
    <w:rsid w:val="00532BB7"/>
    <w:rsid w:val="005332E4"/>
    <w:rsid w:val="0053550C"/>
    <w:rsid w:val="005538F9"/>
    <w:rsid w:val="00555018"/>
    <w:rsid w:val="005552C1"/>
    <w:rsid w:val="00563672"/>
    <w:rsid w:val="005665A7"/>
    <w:rsid w:val="005723DC"/>
    <w:rsid w:val="005774B8"/>
    <w:rsid w:val="005852DA"/>
    <w:rsid w:val="005935A4"/>
    <w:rsid w:val="00594435"/>
    <w:rsid w:val="00597861"/>
    <w:rsid w:val="005A7F79"/>
    <w:rsid w:val="005B7BAD"/>
    <w:rsid w:val="005B7F48"/>
    <w:rsid w:val="005C1B3D"/>
    <w:rsid w:val="005D10F7"/>
    <w:rsid w:val="005D3104"/>
    <w:rsid w:val="005D41B7"/>
    <w:rsid w:val="005D74A7"/>
    <w:rsid w:val="005F5F0C"/>
    <w:rsid w:val="005F6B2C"/>
    <w:rsid w:val="0060228B"/>
    <w:rsid w:val="00611E1D"/>
    <w:rsid w:val="0061289D"/>
    <w:rsid w:val="00616BD6"/>
    <w:rsid w:val="00617469"/>
    <w:rsid w:val="006174CC"/>
    <w:rsid w:val="00617522"/>
    <w:rsid w:val="00617617"/>
    <w:rsid w:val="00620B08"/>
    <w:rsid w:val="006210DC"/>
    <w:rsid w:val="00621C41"/>
    <w:rsid w:val="00623039"/>
    <w:rsid w:val="00623454"/>
    <w:rsid w:val="006256F2"/>
    <w:rsid w:val="0062655E"/>
    <w:rsid w:val="0062771D"/>
    <w:rsid w:val="00634E0D"/>
    <w:rsid w:val="006360A7"/>
    <w:rsid w:val="0064349D"/>
    <w:rsid w:val="0064399F"/>
    <w:rsid w:val="0064491F"/>
    <w:rsid w:val="0064614E"/>
    <w:rsid w:val="00653EED"/>
    <w:rsid w:val="006606C5"/>
    <w:rsid w:val="00660FB6"/>
    <w:rsid w:val="006721E8"/>
    <w:rsid w:val="00675841"/>
    <w:rsid w:val="00675C45"/>
    <w:rsid w:val="00676E4D"/>
    <w:rsid w:val="00677E1A"/>
    <w:rsid w:val="006830CB"/>
    <w:rsid w:val="006851BE"/>
    <w:rsid w:val="00685549"/>
    <w:rsid w:val="00685DD2"/>
    <w:rsid w:val="0068660C"/>
    <w:rsid w:val="006A4C7F"/>
    <w:rsid w:val="006A5B78"/>
    <w:rsid w:val="006A6D0C"/>
    <w:rsid w:val="006B0911"/>
    <w:rsid w:val="006B3169"/>
    <w:rsid w:val="006B4C35"/>
    <w:rsid w:val="006B6D9A"/>
    <w:rsid w:val="006B7365"/>
    <w:rsid w:val="006B7EE6"/>
    <w:rsid w:val="006C15F1"/>
    <w:rsid w:val="006C1655"/>
    <w:rsid w:val="006C2D81"/>
    <w:rsid w:val="006C6DBB"/>
    <w:rsid w:val="006C7901"/>
    <w:rsid w:val="006C7DF8"/>
    <w:rsid w:val="006D0216"/>
    <w:rsid w:val="006D6F7A"/>
    <w:rsid w:val="006D7CEA"/>
    <w:rsid w:val="006E208F"/>
    <w:rsid w:val="006E2EC1"/>
    <w:rsid w:val="006E640B"/>
    <w:rsid w:val="006F0836"/>
    <w:rsid w:val="006F551E"/>
    <w:rsid w:val="006F61DC"/>
    <w:rsid w:val="007042F8"/>
    <w:rsid w:val="007104A8"/>
    <w:rsid w:val="0071125A"/>
    <w:rsid w:val="0071264F"/>
    <w:rsid w:val="00720261"/>
    <w:rsid w:val="00724C49"/>
    <w:rsid w:val="00727021"/>
    <w:rsid w:val="0073031C"/>
    <w:rsid w:val="0073404F"/>
    <w:rsid w:val="00743E31"/>
    <w:rsid w:val="007449B3"/>
    <w:rsid w:val="00744F26"/>
    <w:rsid w:val="007502E3"/>
    <w:rsid w:val="00750FC8"/>
    <w:rsid w:val="007533D0"/>
    <w:rsid w:val="00755069"/>
    <w:rsid w:val="0075643A"/>
    <w:rsid w:val="00760D06"/>
    <w:rsid w:val="0076444C"/>
    <w:rsid w:val="00765459"/>
    <w:rsid w:val="007908A0"/>
    <w:rsid w:val="00796ADF"/>
    <w:rsid w:val="007B0660"/>
    <w:rsid w:val="007B45C8"/>
    <w:rsid w:val="007B4EA0"/>
    <w:rsid w:val="007C04A5"/>
    <w:rsid w:val="007C3A28"/>
    <w:rsid w:val="007C7B0A"/>
    <w:rsid w:val="007D166C"/>
    <w:rsid w:val="007D16C1"/>
    <w:rsid w:val="007E3868"/>
    <w:rsid w:val="007E6846"/>
    <w:rsid w:val="007F235A"/>
    <w:rsid w:val="007F3F58"/>
    <w:rsid w:val="007F5779"/>
    <w:rsid w:val="007F6010"/>
    <w:rsid w:val="008147F4"/>
    <w:rsid w:val="00817E73"/>
    <w:rsid w:val="00820C41"/>
    <w:rsid w:val="0084191C"/>
    <w:rsid w:val="0084225E"/>
    <w:rsid w:val="00850256"/>
    <w:rsid w:val="00854629"/>
    <w:rsid w:val="00856EDA"/>
    <w:rsid w:val="008613E9"/>
    <w:rsid w:val="00861CC6"/>
    <w:rsid w:val="00870560"/>
    <w:rsid w:val="00884E40"/>
    <w:rsid w:val="00886F25"/>
    <w:rsid w:val="00890B53"/>
    <w:rsid w:val="00891F8B"/>
    <w:rsid w:val="00895F08"/>
    <w:rsid w:val="00896FA1"/>
    <w:rsid w:val="008A0A84"/>
    <w:rsid w:val="008A0AE3"/>
    <w:rsid w:val="008A0FC1"/>
    <w:rsid w:val="008A43C3"/>
    <w:rsid w:val="008A4BCC"/>
    <w:rsid w:val="008A4FFC"/>
    <w:rsid w:val="008B3B6B"/>
    <w:rsid w:val="008B67DD"/>
    <w:rsid w:val="008C2355"/>
    <w:rsid w:val="008D6A21"/>
    <w:rsid w:val="008D7219"/>
    <w:rsid w:val="008E6A4D"/>
    <w:rsid w:val="008F1BF3"/>
    <w:rsid w:val="008F3D49"/>
    <w:rsid w:val="008F5E92"/>
    <w:rsid w:val="0090059A"/>
    <w:rsid w:val="009043E4"/>
    <w:rsid w:val="00914200"/>
    <w:rsid w:val="00914D82"/>
    <w:rsid w:val="00917643"/>
    <w:rsid w:val="00926FA2"/>
    <w:rsid w:val="009274E8"/>
    <w:rsid w:val="009313E4"/>
    <w:rsid w:val="009321DF"/>
    <w:rsid w:val="0093686F"/>
    <w:rsid w:val="00941F47"/>
    <w:rsid w:val="00942FD4"/>
    <w:rsid w:val="00943722"/>
    <w:rsid w:val="00945C63"/>
    <w:rsid w:val="00946F62"/>
    <w:rsid w:val="00947C0D"/>
    <w:rsid w:val="00950733"/>
    <w:rsid w:val="00951997"/>
    <w:rsid w:val="00955398"/>
    <w:rsid w:val="00980DCA"/>
    <w:rsid w:val="009860A6"/>
    <w:rsid w:val="00990352"/>
    <w:rsid w:val="00996040"/>
    <w:rsid w:val="009A318F"/>
    <w:rsid w:val="009A3678"/>
    <w:rsid w:val="009A4F84"/>
    <w:rsid w:val="009A7FBB"/>
    <w:rsid w:val="009B06D6"/>
    <w:rsid w:val="009B49D4"/>
    <w:rsid w:val="009B79B1"/>
    <w:rsid w:val="009C51E2"/>
    <w:rsid w:val="009C56D8"/>
    <w:rsid w:val="009C6F24"/>
    <w:rsid w:val="009D6160"/>
    <w:rsid w:val="009E0F9A"/>
    <w:rsid w:val="009E3B6F"/>
    <w:rsid w:val="009E4238"/>
    <w:rsid w:val="009F237D"/>
    <w:rsid w:val="00A004DF"/>
    <w:rsid w:val="00A03405"/>
    <w:rsid w:val="00A037ED"/>
    <w:rsid w:val="00A05B95"/>
    <w:rsid w:val="00A06E82"/>
    <w:rsid w:val="00A108FD"/>
    <w:rsid w:val="00A1528A"/>
    <w:rsid w:val="00A23768"/>
    <w:rsid w:val="00A30CA4"/>
    <w:rsid w:val="00A30DC3"/>
    <w:rsid w:val="00A30F75"/>
    <w:rsid w:val="00A33918"/>
    <w:rsid w:val="00A33D4B"/>
    <w:rsid w:val="00A35257"/>
    <w:rsid w:val="00A35CEF"/>
    <w:rsid w:val="00A41611"/>
    <w:rsid w:val="00A47DDF"/>
    <w:rsid w:val="00A507DB"/>
    <w:rsid w:val="00A50EFD"/>
    <w:rsid w:val="00A514A2"/>
    <w:rsid w:val="00A5177F"/>
    <w:rsid w:val="00A5552B"/>
    <w:rsid w:val="00A56F54"/>
    <w:rsid w:val="00A620DC"/>
    <w:rsid w:val="00A7291B"/>
    <w:rsid w:val="00A7629F"/>
    <w:rsid w:val="00A832AF"/>
    <w:rsid w:val="00A9153C"/>
    <w:rsid w:val="00A92B63"/>
    <w:rsid w:val="00A933E6"/>
    <w:rsid w:val="00AA0DD1"/>
    <w:rsid w:val="00AA1D97"/>
    <w:rsid w:val="00AB06AA"/>
    <w:rsid w:val="00AB17A0"/>
    <w:rsid w:val="00AB1A37"/>
    <w:rsid w:val="00AB42FC"/>
    <w:rsid w:val="00AB4F75"/>
    <w:rsid w:val="00AC02BF"/>
    <w:rsid w:val="00AC4395"/>
    <w:rsid w:val="00AC51CC"/>
    <w:rsid w:val="00AC6343"/>
    <w:rsid w:val="00AD0F26"/>
    <w:rsid w:val="00AD42DA"/>
    <w:rsid w:val="00AE4545"/>
    <w:rsid w:val="00AE47CB"/>
    <w:rsid w:val="00AE7D25"/>
    <w:rsid w:val="00AF0CEE"/>
    <w:rsid w:val="00AF4E1F"/>
    <w:rsid w:val="00B0200E"/>
    <w:rsid w:val="00B053AC"/>
    <w:rsid w:val="00B05F25"/>
    <w:rsid w:val="00B10D2B"/>
    <w:rsid w:val="00B11138"/>
    <w:rsid w:val="00B13C12"/>
    <w:rsid w:val="00B1691D"/>
    <w:rsid w:val="00B2203C"/>
    <w:rsid w:val="00B2420C"/>
    <w:rsid w:val="00B24CEA"/>
    <w:rsid w:val="00B267C3"/>
    <w:rsid w:val="00B346EA"/>
    <w:rsid w:val="00B37A60"/>
    <w:rsid w:val="00B453D2"/>
    <w:rsid w:val="00B47487"/>
    <w:rsid w:val="00B55EB7"/>
    <w:rsid w:val="00B56FB3"/>
    <w:rsid w:val="00B667AD"/>
    <w:rsid w:val="00B76A4C"/>
    <w:rsid w:val="00B84C38"/>
    <w:rsid w:val="00B86C00"/>
    <w:rsid w:val="00B90E28"/>
    <w:rsid w:val="00B93DA4"/>
    <w:rsid w:val="00B947F6"/>
    <w:rsid w:val="00B95E51"/>
    <w:rsid w:val="00B9709B"/>
    <w:rsid w:val="00BA06E1"/>
    <w:rsid w:val="00BA07D0"/>
    <w:rsid w:val="00BA60E1"/>
    <w:rsid w:val="00BB21C4"/>
    <w:rsid w:val="00BB2634"/>
    <w:rsid w:val="00BC2C43"/>
    <w:rsid w:val="00BC4433"/>
    <w:rsid w:val="00BC52C9"/>
    <w:rsid w:val="00BC6C8D"/>
    <w:rsid w:val="00BC6F6D"/>
    <w:rsid w:val="00BD0A0C"/>
    <w:rsid w:val="00BD33A4"/>
    <w:rsid w:val="00BE1634"/>
    <w:rsid w:val="00BE2BDE"/>
    <w:rsid w:val="00BE30F6"/>
    <w:rsid w:val="00BE42CD"/>
    <w:rsid w:val="00BE7784"/>
    <w:rsid w:val="00BE7856"/>
    <w:rsid w:val="00BF16AA"/>
    <w:rsid w:val="00BF1F0B"/>
    <w:rsid w:val="00BF70D0"/>
    <w:rsid w:val="00C01960"/>
    <w:rsid w:val="00C047AD"/>
    <w:rsid w:val="00C04CE9"/>
    <w:rsid w:val="00C055A4"/>
    <w:rsid w:val="00C0568C"/>
    <w:rsid w:val="00C05BC1"/>
    <w:rsid w:val="00C064BE"/>
    <w:rsid w:val="00C06879"/>
    <w:rsid w:val="00C10EFB"/>
    <w:rsid w:val="00C13DCC"/>
    <w:rsid w:val="00C1478C"/>
    <w:rsid w:val="00C14B5D"/>
    <w:rsid w:val="00C2002B"/>
    <w:rsid w:val="00C22F70"/>
    <w:rsid w:val="00C25A36"/>
    <w:rsid w:val="00C25CCB"/>
    <w:rsid w:val="00C30C38"/>
    <w:rsid w:val="00C34D04"/>
    <w:rsid w:val="00C354B8"/>
    <w:rsid w:val="00C374F4"/>
    <w:rsid w:val="00C44A2C"/>
    <w:rsid w:val="00C46BB5"/>
    <w:rsid w:val="00C51BE7"/>
    <w:rsid w:val="00C52517"/>
    <w:rsid w:val="00C56DF3"/>
    <w:rsid w:val="00C57651"/>
    <w:rsid w:val="00C60921"/>
    <w:rsid w:val="00C62936"/>
    <w:rsid w:val="00C63BE6"/>
    <w:rsid w:val="00C653F2"/>
    <w:rsid w:val="00C679E6"/>
    <w:rsid w:val="00C85DCB"/>
    <w:rsid w:val="00C86D02"/>
    <w:rsid w:val="00C87EF7"/>
    <w:rsid w:val="00C908F9"/>
    <w:rsid w:val="00C94A22"/>
    <w:rsid w:val="00CA0917"/>
    <w:rsid w:val="00CA1099"/>
    <w:rsid w:val="00CA3AE2"/>
    <w:rsid w:val="00CB3A06"/>
    <w:rsid w:val="00CB4079"/>
    <w:rsid w:val="00CC388A"/>
    <w:rsid w:val="00CC3DD4"/>
    <w:rsid w:val="00CC3EFB"/>
    <w:rsid w:val="00CE32BC"/>
    <w:rsid w:val="00CF08F8"/>
    <w:rsid w:val="00CF45EB"/>
    <w:rsid w:val="00CF7212"/>
    <w:rsid w:val="00CF7887"/>
    <w:rsid w:val="00D02616"/>
    <w:rsid w:val="00D06C62"/>
    <w:rsid w:val="00D0748D"/>
    <w:rsid w:val="00D1019D"/>
    <w:rsid w:val="00D1065F"/>
    <w:rsid w:val="00D21B47"/>
    <w:rsid w:val="00D27BE0"/>
    <w:rsid w:val="00D32C38"/>
    <w:rsid w:val="00D34A34"/>
    <w:rsid w:val="00D373B1"/>
    <w:rsid w:val="00D417C2"/>
    <w:rsid w:val="00D41D74"/>
    <w:rsid w:val="00D43946"/>
    <w:rsid w:val="00D45E01"/>
    <w:rsid w:val="00D45FC1"/>
    <w:rsid w:val="00D50869"/>
    <w:rsid w:val="00D52411"/>
    <w:rsid w:val="00D54A7E"/>
    <w:rsid w:val="00D60498"/>
    <w:rsid w:val="00D60936"/>
    <w:rsid w:val="00D64904"/>
    <w:rsid w:val="00D70175"/>
    <w:rsid w:val="00D709EB"/>
    <w:rsid w:val="00D74120"/>
    <w:rsid w:val="00D74714"/>
    <w:rsid w:val="00D82F3F"/>
    <w:rsid w:val="00D84739"/>
    <w:rsid w:val="00D86AB0"/>
    <w:rsid w:val="00D921C6"/>
    <w:rsid w:val="00D93723"/>
    <w:rsid w:val="00D94AC0"/>
    <w:rsid w:val="00D94C96"/>
    <w:rsid w:val="00D95075"/>
    <w:rsid w:val="00D958C2"/>
    <w:rsid w:val="00DA660F"/>
    <w:rsid w:val="00DB5580"/>
    <w:rsid w:val="00DC0A52"/>
    <w:rsid w:val="00DD0F22"/>
    <w:rsid w:val="00DD5EB4"/>
    <w:rsid w:val="00DD63A7"/>
    <w:rsid w:val="00DE055E"/>
    <w:rsid w:val="00DE3564"/>
    <w:rsid w:val="00DF0B47"/>
    <w:rsid w:val="00DF1F62"/>
    <w:rsid w:val="00DF2691"/>
    <w:rsid w:val="00DF3826"/>
    <w:rsid w:val="00E02F3A"/>
    <w:rsid w:val="00E04854"/>
    <w:rsid w:val="00E04AB5"/>
    <w:rsid w:val="00E13B02"/>
    <w:rsid w:val="00E21A47"/>
    <w:rsid w:val="00E32DD6"/>
    <w:rsid w:val="00E4244B"/>
    <w:rsid w:val="00E4505B"/>
    <w:rsid w:val="00E505A0"/>
    <w:rsid w:val="00E50EEA"/>
    <w:rsid w:val="00E52F58"/>
    <w:rsid w:val="00E57A0D"/>
    <w:rsid w:val="00E65FEA"/>
    <w:rsid w:val="00E6726C"/>
    <w:rsid w:val="00E71058"/>
    <w:rsid w:val="00E730A6"/>
    <w:rsid w:val="00E7405F"/>
    <w:rsid w:val="00E770DC"/>
    <w:rsid w:val="00E825FD"/>
    <w:rsid w:val="00E85680"/>
    <w:rsid w:val="00E86A76"/>
    <w:rsid w:val="00E91A5F"/>
    <w:rsid w:val="00E920DD"/>
    <w:rsid w:val="00E938B0"/>
    <w:rsid w:val="00EB6E78"/>
    <w:rsid w:val="00EC0307"/>
    <w:rsid w:val="00EC26AA"/>
    <w:rsid w:val="00EC278D"/>
    <w:rsid w:val="00EC693C"/>
    <w:rsid w:val="00ED5497"/>
    <w:rsid w:val="00ED7A53"/>
    <w:rsid w:val="00ED7B88"/>
    <w:rsid w:val="00EE4273"/>
    <w:rsid w:val="00EE503D"/>
    <w:rsid w:val="00EF1959"/>
    <w:rsid w:val="00F01483"/>
    <w:rsid w:val="00F01F34"/>
    <w:rsid w:val="00F02004"/>
    <w:rsid w:val="00F042CB"/>
    <w:rsid w:val="00F10884"/>
    <w:rsid w:val="00F23BF9"/>
    <w:rsid w:val="00F242CD"/>
    <w:rsid w:val="00F33450"/>
    <w:rsid w:val="00F41A54"/>
    <w:rsid w:val="00F44EB6"/>
    <w:rsid w:val="00F47E59"/>
    <w:rsid w:val="00F52AF4"/>
    <w:rsid w:val="00F53927"/>
    <w:rsid w:val="00F55E82"/>
    <w:rsid w:val="00F573A7"/>
    <w:rsid w:val="00F575D2"/>
    <w:rsid w:val="00F60A20"/>
    <w:rsid w:val="00F61327"/>
    <w:rsid w:val="00F6782A"/>
    <w:rsid w:val="00F67EAB"/>
    <w:rsid w:val="00F67EC6"/>
    <w:rsid w:val="00F75F6D"/>
    <w:rsid w:val="00F835E1"/>
    <w:rsid w:val="00F8429A"/>
    <w:rsid w:val="00F848CC"/>
    <w:rsid w:val="00F86FB9"/>
    <w:rsid w:val="00F87945"/>
    <w:rsid w:val="00F87D90"/>
    <w:rsid w:val="00F911AC"/>
    <w:rsid w:val="00F92BFA"/>
    <w:rsid w:val="00FA087A"/>
    <w:rsid w:val="00FA3C6E"/>
    <w:rsid w:val="00FA7F8C"/>
    <w:rsid w:val="00FA7FEC"/>
    <w:rsid w:val="00FB4073"/>
    <w:rsid w:val="00FB4562"/>
    <w:rsid w:val="00FC0A95"/>
    <w:rsid w:val="00FC22F0"/>
    <w:rsid w:val="00FC3D9C"/>
    <w:rsid w:val="00FC6451"/>
    <w:rsid w:val="00FC7AA6"/>
    <w:rsid w:val="00FC7CFA"/>
    <w:rsid w:val="00FE1507"/>
    <w:rsid w:val="00FE2693"/>
    <w:rsid w:val="00FE71E0"/>
    <w:rsid w:val="00FE7B26"/>
    <w:rsid w:val="00FE7BCA"/>
    <w:rsid w:val="00FF0153"/>
    <w:rsid w:val="00FF0380"/>
    <w:rsid w:val="00FF1CC7"/>
    <w:rsid w:val="00FF4DD7"/>
    <w:rsid w:val="00FF51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9E44C"/>
  <w15:docId w15:val="{1DAD7850-33FE-8444-B7D2-1591FF011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9A4F8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9E423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4238"/>
    <w:rPr>
      <w:rFonts w:ascii="Segoe UI" w:hAnsi="Segoe UI" w:cs="Segoe UI"/>
      <w:sz w:val="18"/>
      <w:szCs w:val="18"/>
    </w:rPr>
  </w:style>
  <w:style w:type="character" w:customStyle="1" w:styleId="EncabezadoCar">
    <w:name w:val="Encabezado Car"/>
    <w:basedOn w:val="Fuentedeprrafopredeter"/>
    <w:link w:val="Encabezado"/>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Prrafodelista">
    <w:name w:val="List Paragraph"/>
    <w:basedOn w:val="Normal"/>
    <w:uiPriority w:val="34"/>
    <w:qFormat/>
    <w:rsid w:val="008A0FC1"/>
    <w:pPr>
      <w:ind w:left="720"/>
      <w:contextualSpacing/>
    </w:pPr>
  </w:style>
  <w:style w:type="character" w:customStyle="1" w:styleId="apple-converted-space">
    <w:name w:val="apple-converted-space"/>
    <w:basedOn w:val="Fuentedeprrafopredeter"/>
    <w:rsid w:val="008B3B6B"/>
  </w:style>
  <w:style w:type="character" w:customStyle="1" w:styleId="Ttulo2Car">
    <w:name w:val="Título 2 Car"/>
    <w:basedOn w:val="Fuentedeprrafopredeter"/>
    <w:link w:val="Ttulo2"/>
    <w:uiPriority w:val="9"/>
    <w:semiHidden/>
    <w:rsid w:val="009A4F8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942">
      <w:bodyDiv w:val="1"/>
      <w:marLeft w:val="0"/>
      <w:marRight w:val="0"/>
      <w:marTop w:val="0"/>
      <w:marBottom w:val="0"/>
      <w:divBdr>
        <w:top w:val="none" w:sz="0" w:space="0" w:color="auto"/>
        <w:left w:val="none" w:sz="0" w:space="0" w:color="auto"/>
        <w:bottom w:val="none" w:sz="0" w:space="0" w:color="auto"/>
        <w:right w:val="none" w:sz="0" w:space="0" w:color="auto"/>
      </w:divBdr>
      <w:divsChild>
        <w:div w:id="360056669">
          <w:marLeft w:val="0"/>
          <w:marRight w:val="0"/>
          <w:marTop w:val="0"/>
          <w:marBottom w:val="0"/>
          <w:divBdr>
            <w:top w:val="none" w:sz="0" w:space="0" w:color="auto"/>
            <w:left w:val="none" w:sz="0" w:space="0" w:color="auto"/>
            <w:bottom w:val="none" w:sz="0" w:space="0" w:color="auto"/>
            <w:right w:val="none" w:sz="0" w:space="0" w:color="auto"/>
          </w:divBdr>
          <w:divsChild>
            <w:div w:id="362436541">
              <w:marLeft w:val="0"/>
              <w:marRight w:val="0"/>
              <w:marTop w:val="0"/>
              <w:marBottom w:val="0"/>
              <w:divBdr>
                <w:top w:val="none" w:sz="0" w:space="0" w:color="auto"/>
                <w:left w:val="none" w:sz="0" w:space="0" w:color="auto"/>
                <w:bottom w:val="none" w:sz="0" w:space="0" w:color="auto"/>
                <w:right w:val="none" w:sz="0" w:space="0" w:color="auto"/>
              </w:divBdr>
              <w:divsChild>
                <w:div w:id="14895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68887">
      <w:bodyDiv w:val="1"/>
      <w:marLeft w:val="0"/>
      <w:marRight w:val="0"/>
      <w:marTop w:val="0"/>
      <w:marBottom w:val="0"/>
      <w:divBdr>
        <w:top w:val="none" w:sz="0" w:space="0" w:color="auto"/>
        <w:left w:val="none" w:sz="0" w:space="0" w:color="auto"/>
        <w:bottom w:val="none" w:sz="0" w:space="0" w:color="auto"/>
        <w:right w:val="none" w:sz="0" w:space="0" w:color="auto"/>
      </w:divBdr>
      <w:divsChild>
        <w:div w:id="351222398">
          <w:marLeft w:val="0"/>
          <w:marRight w:val="0"/>
          <w:marTop w:val="0"/>
          <w:marBottom w:val="0"/>
          <w:divBdr>
            <w:top w:val="none" w:sz="0" w:space="0" w:color="auto"/>
            <w:left w:val="none" w:sz="0" w:space="0" w:color="auto"/>
            <w:bottom w:val="none" w:sz="0" w:space="0" w:color="auto"/>
            <w:right w:val="none" w:sz="0" w:space="0" w:color="auto"/>
          </w:divBdr>
          <w:divsChild>
            <w:div w:id="1650986065">
              <w:marLeft w:val="0"/>
              <w:marRight w:val="0"/>
              <w:marTop w:val="0"/>
              <w:marBottom w:val="0"/>
              <w:divBdr>
                <w:top w:val="none" w:sz="0" w:space="0" w:color="auto"/>
                <w:left w:val="none" w:sz="0" w:space="0" w:color="auto"/>
                <w:bottom w:val="none" w:sz="0" w:space="0" w:color="auto"/>
                <w:right w:val="none" w:sz="0" w:space="0" w:color="auto"/>
              </w:divBdr>
              <w:divsChild>
                <w:div w:id="11993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7127">
      <w:bodyDiv w:val="1"/>
      <w:marLeft w:val="0"/>
      <w:marRight w:val="0"/>
      <w:marTop w:val="0"/>
      <w:marBottom w:val="0"/>
      <w:divBdr>
        <w:top w:val="none" w:sz="0" w:space="0" w:color="auto"/>
        <w:left w:val="none" w:sz="0" w:space="0" w:color="auto"/>
        <w:bottom w:val="none" w:sz="0" w:space="0" w:color="auto"/>
        <w:right w:val="none" w:sz="0" w:space="0" w:color="auto"/>
      </w:divBdr>
      <w:divsChild>
        <w:div w:id="516426166">
          <w:marLeft w:val="0"/>
          <w:marRight w:val="0"/>
          <w:marTop w:val="0"/>
          <w:marBottom w:val="0"/>
          <w:divBdr>
            <w:top w:val="none" w:sz="0" w:space="0" w:color="auto"/>
            <w:left w:val="none" w:sz="0" w:space="0" w:color="auto"/>
            <w:bottom w:val="none" w:sz="0" w:space="0" w:color="auto"/>
            <w:right w:val="none" w:sz="0" w:space="0" w:color="auto"/>
          </w:divBdr>
          <w:divsChild>
            <w:div w:id="1195920650">
              <w:marLeft w:val="0"/>
              <w:marRight w:val="0"/>
              <w:marTop w:val="0"/>
              <w:marBottom w:val="0"/>
              <w:divBdr>
                <w:top w:val="none" w:sz="0" w:space="0" w:color="auto"/>
                <w:left w:val="none" w:sz="0" w:space="0" w:color="auto"/>
                <w:bottom w:val="none" w:sz="0" w:space="0" w:color="auto"/>
                <w:right w:val="none" w:sz="0" w:space="0" w:color="auto"/>
              </w:divBdr>
              <w:divsChild>
                <w:div w:id="4159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60518">
      <w:bodyDiv w:val="1"/>
      <w:marLeft w:val="0"/>
      <w:marRight w:val="0"/>
      <w:marTop w:val="0"/>
      <w:marBottom w:val="0"/>
      <w:divBdr>
        <w:top w:val="none" w:sz="0" w:space="0" w:color="auto"/>
        <w:left w:val="none" w:sz="0" w:space="0" w:color="auto"/>
        <w:bottom w:val="none" w:sz="0" w:space="0" w:color="auto"/>
        <w:right w:val="none" w:sz="0" w:space="0" w:color="auto"/>
      </w:divBdr>
      <w:divsChild>
        <w:div w:id="1021585264">
          <w:marLeft w:val="0"/>
          <w:marRight w:val="0"/>
          <w:marTop w:val="0"/>
          <w:marBottom w:val="0"/>
          <w:divBdr>
            <w:top w:val="none" w:sz="0" w:space="0" w:color="auto"/>
            <w:left w:val="none" w:sz="0" w:space="0" w:color="auto"/>
            <w:bottom w:val="none" w:sz="0" w:space="0" w:color="auto"/>
            <w:right w:val="none" w:sz="0" w:space="0" w:color="auto"/>
          </w:divBdr>
          <w:divsChild>
            <w:div w:id="1647126769">
              <w:marLeft w:val="0"/>
              <w:marRight w:val="0"/>
              <w:marTop w:val="0"/>
              <w:marBottom w:val="0"/>
              <w:divBdr>
                <w:top w:val="none" w:sz="0" w:space="0" w:color="auto"/>
                <w:left w:val="none" w:sz="0" w:space="0" w:color="auto"/>
                <w:bottom w:val="none" w:sz="0" w:space="0" w:color="auto"/>
                <w:right w:val="none" w:sz="0" w:space="0" w:color="auto"/>
              </w:divBdr>
              <w:divsChild>
                <w:div w:id="9377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5704">
      <w:bodyDiv w:val="1"/>
      <w:marLeft w:val="0"/>
      <w:marRight w:val="0"/>
      <w:marTop w:val="0"/>
      <w:marBottom w:val="0"/>
      <w:divBdr>
        <w:top w:val="none" w:sz="0" w:space="0" w:color="auto"/>
        <w:left w:val="none" w:sz="0" w:space="0" w:color="auto"/>
        <w:bottom w:val="none" w:sz="0" w:space="0" w:color="auto"/>
        <w:right w:val="none" w:sz="0" w:space="0" w:color="auto"/>
      </w:divBdr>
      <w:divsChild>
        <w:div w:id="444497018">
          <w:marLeft w:val="0"/>
          <w:marRight w:val="0"/>
          <w:marTop w:val="0"/>
          <w:marBottom w:val="0"/>
          <w:divBdr>
            <w:top w:val="none" w:sz="0" w:space="0" w:color="auto"/>
            <w:left w:val="none" w:sz="0" w:space="0" w:color="auto"/>
            <w:bottom w:val="none" w:sz="0" w:space="0" w:color="auto"/>
            <w:right w:val="none" w:sz="0" w:space="0" w:color="auto"/>
          </w:divBdr>
          <w:divsChild>
            <w:div w:id="613513830">
              <w:marLeft w:val="0"/>
              <w:marRight w:val="0"/>
              <w:marTop w:val="0"/>
              <w:marBottom w:val="0"/>
              <w:divBdr>
                <w:top w:val="none" w:sz="0" w:space="0" w:color="auto"/>
                <w:left w:val="none" w:sz="0" w:space="0" w:color="auto"/>
                <w:bottom w:val="none" w:sz="0" w:space="0" w:color="auto"/>
                <w:right w:val="none" w:sz="0" w:space="0" w:color="auto"/>
              </w:divBdr>
              <w:divsChild>
                <w:div w:id="1897937631">
                  <w:marLeft w:val="0"/>
                  <w:marRight w:val="0"/>
                  <w:marTop w:val="0"/>
                  <w:marBottom w:val="0"/>
                  <w:divBdr>
                    <w:top w:val="none" w:sz="0" w:space="0" w:color="auto"/>
                    <w:left w:val="none" w:sz="0" w:space="0" w:color="auto"/>
                    <w:bottom w:val="none" w:sz="0" w:space="0" w:color="auto"/>
                    <w:right w:val="none" w:sz="0" w:space="0" w:color="auto"/>
                  </w:divBdr>
                </w:div>
              </w:divsChild>
            </w:div>
            <w:div w:id="1662661333">
              <w:marLeft w:val="0"/>
              <w:marRight w:val="0"/>
              <w:marTop w:val="0"/>
              <w:marBottom w:val="0"/>
              <w:divBdr>
                <w:top w:val="none" w:sz="0" w:space="0" w:color="auto"/>
                <w:left w:val="none" w:sz="0" w:space="0" w:color="auto"/>
                <w:bottom w:val="none" w:sz="0" w:space="0" w:color="auto"/>
                <w:right w:val="none" w:sz="0" w:space="0" w:color="auto"/>
              </w:divBdr>
              <w:divsChild>
                <w:div w:id="728695957">
                  <w:marLeft w:val="0"/>
                  <w:marRight w:val="0"/>
                  <w:marTop w:val="0"/>
                  <w:marBottom w:val="0"/>
                  <w:divBdr>
                    <w:top w:val="none" w:sz="0" w:space="0" w:color="auto"/>
                    <w:left w:val="none" w:sz="0" w:space="0" w:color="auto"/>
                    <w:bottom w:val="none" w:sz="0" w:space="0" w:color="auto"/>
                    <w:right w:val="none" w:sz="0" w:space="0" w:color="auto"/>
                  </w:divBdr>
                  <w:divsChild>
                    <w:div w:id="499469832">
                      <w:marLeft w:val="0"/>
                      <w:marRight w:val="0"/>
                      <w:marTop w:val="0"/>
                      <w:marBottom w:val="0"/>
                      <w:divBdr>
                        <w:top w:val="none" w:sz="0" w:space="0" w:color="auto"/>
                        <w:left w:val="none" w:sz="0" w:space="0" w:color="auto"/>
                        <w:bottom w:val="none" w:sz="0" w:space="0" w:color="auto"/>
                        <w:right w:val="none" w:sz="0" w:space="0" w:color="auto"/>
                      </w:divBdr>
                      <w:divsChild>
                        <w:div w:id="119839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6364">
                  <w:marLeft w:val="0"/>
                  <w:marRight w:val="0"/>
                  <w:marTop w:val="0"/>
                  <w:marBottom w:val="0"/>
                  <w:divBdr>
                    <w:top w:val="none" w:sz="0" w:space="0" w:color="auto"/>
                    <w:left w:val="none" w:sz="0" w:space="0" w:color="auto"/>
                    <w:bottom w:val="none" w:sz="0" w:space="0" w:color="auto"/>
                    <w:right w:val="none" w:sz="0" w:space="0" w:color="auto"/>
                  </w:divBdr>
                  <w:divsChild>
                    <w:div w:id="1999923067">
                      <w:marLeft w:val="0"/>
                      <w:marRight w:val="0"/>
                      <w:marTop w:val="0"/>
                      <w:marBottom w:val="0"/>
                      <w:divBdr>
                        <w:top w:val="none" w:sz="0" w:space="0" w:color="auto"/>
                        <w:left w:val="none" w:sz="0" w:space="0" w:color="auto"/>
                        <w:bottom w:val="none" w:sz="0" w:space="0" w:color="auto"/>
                        <w:right w:val="none" w:sz="0" w:space="0" w:color="auto"/>
                      </w:divBdr>
                      <w:divsChild>
                        <w:div w:id="12609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28206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96">
          <w:marLeft w:val="0"/>
          <w:marRight w:val="0"/>
          <w:marTop w:val="0"/>
          <w:marBottom w:val="0"/>
          <w:divBdr>
            <w:top w:val="none" w:sz="0" w:space="0" w:color="auto"/>
            <w:left w:val="none" w:sz="0" w:space="0" w:color="auto"/>
            <w:bottom w:val="none" w:sz="0" w:space="0" w:color="auto"/>
            <w:right w:val="none" w:sz="0" w:space="0" w:color="auto"/>
          </w:divBdr>
          <w:divsChild>
            <w:div w:id="259872777">
              <w:marLeft w:val="0"/>
              <w:marRight w:val="0"/>
              <w:marTop w:val="0"/>
              <w:marBottom w:val="0"/>
              <w:divBdr>
                <w:top w:val="none" w:sz="0" w:space="0" w:color="auto"/>
                <w:left w:val="none" w:sz="0" w:space="0" w:color="auto"/>
                <w:bottom w:val="none" w:sz="0" w:space="0" w:color="auto"/>
                <w:right w:val="none" w:sz="0" w:space="0" w:color="auto"/>
              </w:divBdr>
              <w:divsChild>
                <w:div w:id="186852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09149">
      <w:bodyDiv w:val="1"/>
      <w:marLeft w:val="0"/>
      <w:marRight w:val="0"/>
      <w:marTop w:val="0"/>
      <w:marBottom w:val="0"/>
      <w:divBdr>
        <w:top w:val="none" w:sz="0" w:space="0" w:color="auto"/>
        <w:left w:val="none" w:sz="0" w:space="0" w:color="auto"/>
        <w:bottom w:val="none" w:sz="0" w:space="0" w:color="auto"/>
        <w:right w:val="none" w:sz="0" w:space="0" w:color="auto"/>
      </w:divBdr>
      <w:divsChild>
        <w:div w:id="1862232359">
          <w:marLeft w:val="0"/>
          <w:marRight w:val="0"/>
          <w:marTop w:val="0"/>
          <w:marBottom w:val="0"/>
          <w:divBdr>
            <w:top w:val="none" w:sz="0" w:space="0" w:color="auto"/>
            <w:left w:val="none" w:sz="0" w:space="0" w:color="auto"/>
            <w:bottom w:val="none" w:sz="0" w:space="0" w:color="auto"/>
            <w:right w:val="none" w:sz="0" w:space="0" w:color="auto"/>
          </w:divBdr>
          <w:divsChild>
            <w:div w:id="1402872710">
              <w:marLeft w:val="0"/>
              <w:marRight w:val="0"/>
              <w:marTop w:val="0"/>
              <w:marBottom w:val="0"/>
              <w:divBdr>
                <w:top w:val="none" w:sz="0" w:space="0" w:color="auto"/>
                <w:left w:val="none" w:sz="0" w:space="0" w:color="auto"/>
                <w:bottom w:val="none" w:sz="0" w:space="0" w:color="auto"/>
                <w:right w:val="none" w:sz="0" w:space="0" w:color="auto"/>
              </w:divBdr>
              <w:divsChild>
                <w:div w:id="15330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9400">
      <w:bodyDiv w:val="1"/>
      <w:marLeft w:val="0"/>
      <w:marRight w:val="0"/>
      <w:marTop w:val="0"/>
      <w:marBottom w:val="0"/>
      <w:divBdr>
        <w:top w:val="none" w:sz="0" w:space="0" w:color="auto"/>
        <w:left w:val="none" w:sz="0" w:space="0" w:color="auto"/>
        <w:bottom w:val="none" w:sz="0" w:space="0" w:color="auto"/>
        <w:right w:val="none" w:sz="0" w:space="0" w:color="auto"/>
      </w:divBdr>
      <w:divsChild>
        <w:div w:id="16658032">
          <w:marLeft w:val="0"/>
          <w:marRight w:val="0"/>
          <w:marTop w:val="0"/>
          <w:marBottom w:val="0"/>
          <w:divBdr>
            <w:top w:val="none" w:sz="0" w:space="0" w:color="auto"/>
            <w:left w:val="none" w:sz="0" w:space="0" w:color="auto"/>
            <w:bottom w:val="none" w:sz="0" w:space="0" w:color="auto"/>
            <w:right w:val="none" w:sz="0" w:space="0" w:color="auto"/>
          </w:divBdr>
          <w:divsChild>
            <w:div w:id="463891607">
              <w:marLeft w:val="0"/>
              <w:marRight w:val="0"/>
              <w:marTop w:val="0"/>
              <w:marBottom w:val="0"/>
              <w:divBdr>
                <w:top w:val="none" w:sz="0" w:space="0" w:color="auto"/>
                <w:left w:val="none" w:sz="0" w:space="0" w:color="auto"/>
                <w:bottom w:val="none" w:sz="0" w:space="0" w:color="auto"/>
                <w:right w:val="none" w:sz="0" w:space="0" w:color="auto"/>
              </w:divBdr>
              <w:divsChild>
                <w:div w:id="13059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9433">
      <w:bodyDiv w:val="1"/>
      <w:marLeft w:val="0"/>
      <w:marRight w:val="0"/>
      <w:marTop w:val="0"/>
      <w:marBottom w:val="0"/>
      <w:divBdr>
        <w:top w:val="none" w:sz="0" w:space="0" w:color="auto"/>
        <w:left w:val="none" w:sz="0" w:space="0" w:color="auto"/>
        <w:bottom w:val="none" w:sz="0" w:space="0" w:color="auto"/>
        <w:right w:val="none" w:sz="0" w:space="0" w:color="auto"/>
      </w:divBdr>
      <w:divsChild>
        <w:div w:id="1567954923">
          <w:marLeft w:val="0"/>
          <w:marRight w:val="0"/>
          <w:marTop w:val="0"/>
          <w:marBottom w:val="0"/>
          <w:divBdr>
            <w:top w:val="none" w:sz="0" w:space="0" w:color="auto"/>
            <w:left w:val="none" w:sz="0" w:space="0" w:color="auto"/>
            <w:bottom w:val="none" w:sz="0" w:space="0" w:color="auto"/>
            <w:right w:val="none" w:sz="0" w:space="0" w:color="auto"/>
          </w:divBdr>
          <w:divsChild>
            <w:div w:id="1416126166">
              <w:marLeft w:val="0"/>
              <w:marRight w:val="0"/>
              <w:marTop w:val="0"/>
              <w:marBottom w:val="0"/>
              <w:divBdr>
                <w:top w:val="none" w:sz="0" w:space="0" w:color="auto"/>
                <w:left w:val="none" w:sz="0" w:space="0" w:color="auto"/>
                <w:bottom w:val="none" w:sz="0" w:space="0" w:color="auto"/>
                <w:right w:val="none" w:sz="0" w:space="0" w:color="auto"/>
              </w:divBdr>
              <w:divsChild>
                <w:div w:id="3732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97798">
      <w:bodyDiv w:val="1"/>
      <w:marLeft w:val="0"/>
      <w:marRight w:val="0"/>
      <w:marTop w:val="0"/>
      <w:marBottom w:val="0"/>
      <w:divBdr>
        <w:top w:val="none" w:sz="0" w:space="0" w:color="auto"/>
        <w:left w:val="none" w:sz="0" w:space="0" w:color="auto"/>
        <w:bottom w:val="none" w:sz="0" w:space="0" w:color="auto"/>
        <w:right w:val="none" w:sz="0" w:space="0" w:color="auto"/>
      </w:divBdr>
      <w:divsChild>
        <w:div w:id="1642081317">
          <w:marLeft w:val="0"/>
          <w:marRight w:val="0"/>
          <w:marTop w:val="0"/>
          <w:marBottom w:val="0"/>
          <w:divBdr>
            <w:top w:val="none" w:sz="0" w:space="0" w:color="auto"/>
            <w:left w:val="none" w:sz="0" w:space="0" w:color="auto"/>
            <w:bottom w:val="none" w:sz="0" w:space="0" w:color="auto"/>
            <w:right w:val="none" w:sz="0" w:space="0" w:color="auto"/>
          </w:divBdr>
          <w:divsChild>
            <w:div w:id="201287264">
              <w:marLeft w:val="0"/>
              <w:marRight w:val="0"/>
              <w:marTop w:val="0"/>
              <w:marBottom w:val="0"/>
              <w:divBdr>
                <w:top w:val="none" w:sz="0" w:space="0" w:color="auto"/>
                <w:left w:val="none" w:sz="0" w:space="0" w:color="auto"/>
                <w:bottom w:val="none" w:sz="0" w:space="0" w:color="auto"/>
                <w:right w:val="none" w:sz="0" w:space="0" w:color="auto"/>
              </w:divBdr>
              <w:divsChild>
                <w:div w:id="510295970">
                  <w:marLeft w:val="0"/>
                  <w:marRight w:val="0"/>
                  <w:marTop w:val="0"/>
                  <w:marBottom w:val="0"/>
                  <w:divBdr>
                    <w:top w:val="none" w:sz="0" w:space="0" w:color="auto"/>
                    <w:left w:val="none" w:sz="0" w:space="0" w:color="auto"/>
                    <w:bottom w:val="none" w:sz="0" w:space="0" w:color="auto"/>
                    <w:right w:val="none" w:sz="0" w:space="0" w:color="auto"/>
                  </w:divBdr>
                </w:div>
              </w:divsChild>
            </w:div>
            <w:div w:id="236979356">
              <w:marLeft w:val="0"/>
              <w:marRight w:val="0"/>
              <w:marTop w:val="0"/>
              <w:marBottom w:val="0"/>
              <w:divBdr>
                <w:top w:val="none" w:sz="0" w:space="0" w:color="auto"/>
                <w:left w:val="none" w:sz="0" w:space="0" w:color="auto"/>
                <w:bottom w:val="none" w:sz="0" w:space="0" w:color="auto"/>
                <w:right w:val="none" w:sz="0" w:space="0" w:color="auto"/>
              </w:divBdr>
              <w:divsChild>
                <w:div w:id="1068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140694">
      <w:bodyDiv w:val="1"/>
      <w:marLeft w:val="0"/>
      <w:marRight w:val="0"/>
      <w:marTop w:val="0"/>
      <w:marBottom w:val="0"/>
      <w:divBdr>
        <w:top w:val="none" w:sz="0" w:space="0" w:color="auto"/>
        <w:left w:val="none" w:sz="0" w:space="0" w:color="auto"/>
        <w:bottom w:val="none" w:sz="0" w:space="0" w:color="auto"/>
        <w:right w:val="none" w:sz="0" w:space="0" w:color="auto"/>
      </w:divBdr>
      <w:divsChild>
        <w:div w:id="854223760">
          <w:marLeft w:val="0"/>
          <w:marRight w:val="0"/>
          <w:marTop w:val="0"/>
          <w:marBottom w:val="0"/>
          <w:divBdr>
            <w:top w:val="none" w:sz="0" w:space="0" w:color="auto"/>
            <w:left w:val="none" w:sz="0" w:space="0" w:color="auto"/>
            <w:bottom w:val="none" w:sz="0" w:space="0" w:color="auto"/>
            <w:right w:val="none" w:sz="0" w:space="0" w:color="auto"/>
          </w:divBdr>
          <w:divsChild>
            <w:div w:id="1576042122">
              <w:marLeft w:val="0"/>
              <w:marRight w:val="0"/>
              <w:marTop w:val="0"/>
              <w:marBottom w:val="0"/>
              <w:divBdr>
                <w:top w:val="none" w:sz="0" w:space="0" w:color="auto"/>
                <w:left w:val="none" w:sz="0" w:space="0" w:color="auto"/>
                <w:bottom w:val="none" w:sz="0" w:space="0" w:color="auto"/>
                <w:right w:val="none" w:sz="0" w:space="0" w:color="auto"/>
              </w:divBdr>
              <w:divsChild>
                <w:div w:id="722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91194">
      <w:bodyDiv w:val="1"/>
      <w:marLeft w:val="0"/>
      <w:marRight w:val="0"/>
      <w:marTop w:val="0"/>
      <w:marBottom w:val="0"/>
      <w:divBdr>
        <w:top w:val="none" w:sz="0" w:space="0" w:color="auto"/>
        <w:left w:val="none" w:sz="0" w:space="0" w:color="auto"/>
        <w:bottom w:val="none" w:sz="0" w:space="0" w:color="auto"/>
        <w:right w:val="none" w:sz="0" w:space="0" w:color="auto"/>
      </w:divBdr>
      <w:divsChild>
        <w:div w:id="84957265">
          <w:marLeft w:val="0"/>
          <w:marRight w:val="0"/>
          <w:marTop w:val="0"/>
          <w:marBottom w:val="0"/>
          <w:divBdr>
            <w:top w:val="none" w:sz="0" w:space="0" w:color="auto"/>
            <w:left w:val="none" w:sz="0" w:space="0" w:color="auto"/>
            <w:bottom w:val="none" w:sz="0" w:space="0" w:color="auto"/>
            <w:right w:val="none" w:sz="0" w:space="0" w:color="auto"/>
          </w:divBdr>
          <w:divsChild>
            <w:div w:id="1685087072">
              <w:marLeft w:val="0"/>
              <w:marRight w:val="0"/>
              <w:marTop w:val="0"/>
              <w:marBottom w:val="0"/>
              <w:divBdr>
                <w:top w:val="none" w:sz="0" w:space="0" w:color="auto"/>
                <w:left w:val="none" w:sz="0" w:space="0" w:color="auto"/>
                <w:bottom w:val="none" w:sz="0" w:space="0" w:color="auto"/>
                <w:right w:val="none" w:sz="0" w:space="0" w:color="auto"/>
              </w:divBdr>
              <w:divsChild>
                <w:div w:id="16480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3188">
      <w:bodyDiv w:val="1"/>
      <w:marLeft w:val="0"/>
      <w:marRight w:val="0"/>
      <w:marTop w:val="0"/>
      <w:marBottom w:val="0"/>
      <w:divBdr>
        <w:top w:val="none" w:sz="0" w:space="0" w:color="auto"/>
        <w:left w:val="none" w:sz="0" w:space="0" w:color="auto"/>
        <w:bottom w:val="none" w:sz="0" w:space="0" w:color="auto"/>
        <w:right w:val="none" w:sz="0" w:space="0" w:color="auto"/>
      </w:divBdr>
      <w:divsChild>
        <w:div w:id="2001080062">
          <w:marLeft w:val="0"/>
          <w:marRight w:val="0"/>
          <w:marTop w:val="0"/>
          <w:marBottom w:val="0"/>
          <w:divBdr>
            <w:top w:val="none" w:sz="0" w:space="0" w:color="auto"/>
            <w:left w:val="none" w:sz="0" w:space="0" w:color="auto"/>
            <w:bottom w:val="none" w:sz="0" w:space="0" w:color="auto"/>
            <w:right w:val="none" w:sz="0" w:space="0" w:color="auto"/>
          </w:divBdr>
          <w:divsChild>
            <w:div w:id="597249846">
              <w:marLeft w:val="0"/>
              <w:marRight w:val="0"/>
              <w:marTop w:val="0"/>
              <w:marBottom w:val="0"/>
              <w:divBdr>
                <w:top w:val="none" w:sz="0" w:space="0" w:color="auto"/>
                <w:left w:val="none" w:sz="0" w:space="0" w:color="auto"/>
                <w:bottom w:val="none" w:sz="0" w:space="0" w:color="auto"/>
                <w:right w:val="none" w:sz="0" w:space="0" w:color="auto"/>
              </w:divBdr>
              <w:divsChild>
                <w:div w:id="48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12037">
      <w:bodyDiv w:val="1"/>
      <w:marLeft w:val="0"/>
      <w:marRight w:val="0"/>
      <w:marTop w:val="0"/>
      <w:marBottom w:val="0"/>
      <w:divBdr>
        <w:top w:val="none" w:sz="0" w:space="0" w:color="auto"/>
        <w:left w:val="none" w:sz="0" w:space="0" w:color="auto"/>
        <w:bottom w:val="none" w:sz="0" w:space="0" w:color="auto"/>
        <w:right w:val="none" w:sz="0" w:space="0" w:color="auto"/>
      </w:divBdr>
      <w:divsChild>
        <w:div w:id="1148549423">
          <w:marLeft w:val="0"/>
          <w:marRight w:val="0"/>
          <w:marTop w:val="0"/>
          <w:marBottom w:val="0"/>
          <w:divBdr>
            <w:top w:val="none" w:sz="0" w:space="0" w:color="auto"/>
            <w:left w:val="none" w:sz="0" w:space="0" w:color="auto"/>
            <w:bottom w:val="none" w:sz="0" w:space="0" w:color="auto"/>
            <w:right w:val="none" w:sz="0" w:space="0" w:color="auto"/>
          </w:divBdr>
          <w:divsChild>
            <w:div w:id="1314724033">
              <w:marLeft w:val="0"/>
              <w:marRight w:val="0"/>
              <w:marTop w:val="0"/>
              <w:marBottom w:val="0"/>
              <w:divBdr>
                <w:top w:val="none" w:sz="0" w:space="0" w:color="auto"/>
                <w:left w:val="none" w:sz="0" w:space="0" w:color="auto"/>
                <w:bottom w:val="none" w:sz="0" w:space="0" w:color="auto"/>
                <w:right w:val="none" w:sz="0" w:space="0" w:color="auto"/>
              </w:divBdr>
              <w:divsChild>
                <w:div w:id="201649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170">
      <w:bodyDiv w:val="1"/>
      <w:marLeft w:val="0"/>
      <w:marRight w:val="0"/>
      <w:marTop w:val="0"/>
      <w:marBottom w:val="0"/>
      <w:divBdr>
        <w:top w:val="none" w:sz="0" w:space="0" w:color="auto"/>
        <w:left w:val="none" w:sz="0" w:space="0" w:color="auto"/>
        <w:bottom w:val="none" w:sz="0" w:space="0" w:color="auto"/>
        <w:right w:val="none" w:sz="0" w:space="0" w:color="auto"/>
      </w:divBdr>
      <w:divsChild>
        <w:div w:id="1959750498">
          <w:marLeft w:val="0"/>
          <w:marRight w:val="0"/>
          <w:marTop w:val="0"/>
          <w:marBottom w:val="0"/>
          <w:divBdr>
            <w:top w:val="none" w:sz="0" w:space="0" w:color="auto"/>
            <w:left w:val="none" w:sz="0" w:space="0" w:color="auto"/>
            <w:bottom w:val="none" w:sz="0" w:space="0" w:color="auto"/>
            <w:right w:val="none" w:sz="0" w:space="0" w:color="auto"/>
          </w:divBdr>
          <w:divsChild>
            <w:div w:id="796026967">
              <w:marLeft w:val="0"/>
              <w:marRight w:val="0"/>
              <w:marTop w:val="0"/>
              <w:marBottom w:val="0"/>
              <w:divBdr>
                <w:top w:val="none" w:sz="0" w:space="0" w:color="auto"/>
                <w:left w:val="none" w:sz="0" w:space="0" w:color="auto"/>
                <w:bottom w:val="none" w:sz="0" w:space="0" w:color="auto"/>
                <w:right w:val="none" w:sz="0" w:space="0" w:color="auto"/>
              </w:divBdr>
              <w:divsChild>
                <w:div w:id="176010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852392">
      <w:bodyDiv w:val="1"/>
      <w:marLeft w:val="0"/>
      <w:marRight w:val="0"/>
      <w:marTop w:val="0"/>
      <w:marBottom w:val="0"/>
      <w:divBdr>
        <w:top w:val="none" w:sz="0" w:space="0" w:color="auto"/>
        <w:left w:val="none" w:sz="0" w:space="0" w:color="auto"/>
        <w:bottom w:val="none" w:sz="0" w:space="0" w:color="auto"/>
        <w:right w:val="none" w:sz="0" w:space="0" w:color="auto"/>
      </w:divBdr>
      <w:divsChild>
        <w:div w:id="620721859">
          <w:marLeft w:val="0"/>
          <w:marRight w:val="0"/>
          <w:marTop w:val="0"/>
          <w:marBottom w:val="0"/>
          <w:divBdr>
            <w:top w:val="none" w:sz="0" w:space="0" w:color="auto"/>
            <w:left w:val="none" w:sz="0" w:space="0" w:color="auto"/>
            <w:bottom w:val="none" w:sz="0" w:space="0" w:color="auto"/>
            <w:right w:val="none" w:sz="0" w:space="0" w:color="auto"/>
          </w:divBdr>
          <w:divsChild>
            <w:div w:id="1285161458">
              <w:marLeft w:val="0"/>
              <w:marRight w:val="0"/>
              <w:marTop w:val="0"/>
              <w:marBottom w:val="0"/>
              <w:divBdr>
                <w:top w:val="none" w:sz="0" w:space="0" w:color="auto"/>
                <w:left w:val="none" w:sz="0" w:space="0" w:color="auto"/>
                <w:bottom w:val="none" w:sz="0" w:space="0" w:color="auto"/>
                <w:right w:val="none" w:sz="0" w:space="0" w:color="auto"/>
              </w:divBdr>
              <w:divsChild>
                <w:div w:id="4180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578949">
      <w:bodyDiv w:val="1"/>
      <w:marLeft w:val="0"/>
      <w:marRight w:val="0"/>
      <w:marTop w:val="0"/>
      <w:marBottom w:val="0"/>
      <w:divBdr>
        <w:top w:val="none" w:sz="0" w:space="0" w:color="auto"/>
        <w:left w:val="none" w:sz="0" w:space="0" w:color="auto"/>
        <w:bottom w:val="none" w:sz="0" w:space="0" w:color="auto"/>
        <w:right w:val="none" w:sz="0" w:space="0" w:color="auto"/>
      </w:divBdr>
      <w:divsChild>
        <w:div w:id="289290435">
          <w:marLeft w:val="0"/>
          <w:marRight w:val="0"/>
          <w:marTop w:val="0"/>
          <w:marBottom w:val="0"/>
          <w:divBdr>
            <w:top w:val="none" w:sz="0" w:space="0" w:color="auto"/>
            <w:left w:val="none" w:sz="0" w:space="0" w:color="auto"/>
            <w:bottom w:val="none" w:sz="0" w:space="0" w:color="auto"/>
            <w:right w:val="none" w:sz="0" w:space="0" w:color="auto"/>
          </w:divBdr>
          <w:divsChild>
            <w:div w:id="1183861489">
              <w:marLeft w:val="0"/>
              <w:marRight w:val="0"/>
              <w:marTop w:val="0"/>
              <w:marBottom w:val="0"/>
              <w:divBdr>
                <w:top w:val="none" w:sz="0" w:space="0" w:color="auto"/>
                <w:left w:val="none" w:sz="0" w:space="0" w:color="auto"/>
                <w:bottom w:val="none" w:sz="0" w:space="0" w:color="auto"/>
                <w:right w:val="none" w:sz="0" w:space="0" w:color="auto"/>
              </w:divBdr>
              <w:divsChild>
                <w:div w:id="49796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47336">
      <w:bodyDiv w:val="1"/>
      <w:marLeft w:val="0"/>
      <w:marRight w:val="0"/>
      <w:marTop w:val="0"/>
      <w:marBottom w:val="0"/>
      <w:divBdr>
        <w:top w:val="none" w:sz="0" w:space="0" w:color="auto"/>
        <w:left w:val="none" w:sz="0" w:space="0" w:color="auto"/>
        <w:bottom w:val="none" w:sz="0" w:space="0" w:color="auto"/>
        <w:right w:val="none" w:sz="0" w:space="0" w:color="auto"/>
      </w:divBdr>
      <w:divsChild>
        <w:div w:id="1760829097">
          <w:marLeft w:val="0"/>
          <w:marRight w:val="0"/>
          <w:marTop w:val="0"/>
          <w:marBottom w:val="0"/>
          <w:divBdr>
            <w:top w:val="none" w:sz="0" w:space="0" w:color="auto"/>
            <w:left w:val="none" w:sz="0" w:space="0" w:color="auto"/>
            <w:bottom w:val="none" w:sz="0" w:space="0" w:color="auto"/>
            <w:right w:val="none" w:sz="0" w:space="0" w:color="auto"/>
          </w:divBdr>
          <w:divsChild>
            <w:div w:id="949775030">
              <w:marLeft w:val="0"/>
              <w:marRight w:val="0"/>
              <w:marTop w:val="0"/>
              <w:marBottom w:val="0"/>
              <w:divBdr>
                <w:top w:val="none" w:sz="0" w:space="0" w:color="auto"/>
                <w:left w:val="none" w:sz="0" w:space="0" w:color="auto"/>
                <w:bottom w:val="none" w:sz="0" w:space="0" w:color="auto"/>
                <w:right w:val="none" w:sz="0" w:space="0" w:color="auto"/>
              </w:divBdr>
              <w:divsChild>
                <w:div w:id="51577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63482">
      <w:bodyDiv w:val="1"/>
      <w:marLeft w:val="0"/>
      <w:marRight w:val="0"/>
      <w:marTop w:val="0"/>
      <w:marBottom w:val="0"/>
      <w:divBdr>
        <w:top w:val="none" w:sz="0" w:space="0" w:color="auto"/>
        <w:left w:val="none" w:sz="0" w:space="0" w:color="auto"/>
        <w:bottom w:val="none" w:sz="0" w:space="0" w:color="auto"/>
        <w:right w:val="none" w:sz="0" w:space="0" w:color="auto"/>
      </w:divBdr>
      <w:divsChild>
        <w:div w:id="1726954665">
          <w:marLeft w:val="0"/>
          <w:marRight w:val="0"/>
          <w:marTop w:val="0"/>
          <w:marBottom w:val="0"/>
          <w:divBdr>
            <w:top w:val="none" w:sz="0" w:space="0" w:color="auto"/>
            <w:left w:val="none" w:sz="0" w:space="0" w:color="auto"/>
            <w:bottom w:val="none" w:sz="0" w:space="0" w:color="auto"/>
            <w:right w:val="none" w:sz="0" w:space="0" w:color="auto"/>
          </w:divBdr>
          <w:divsChild>
            <w:div w:id="1235505257">
              <w:marLeft w:val="0"/>
              <w:marRight w:val="0"/>
              <w:marTop w:val="0"/>
              <w:marBottom w:val="0"/>
              <w:divBdr>
                <w:top w:val="none" w:sz="0" w:space="0" w:color="auto"/>
                <w:left w:val="none" w:sz="0" w:space="0" w:color="auto"/>
                <w:bottom w:val="none" w:sz="0" w:space="0" w:color="auto"/>
                <w:right w:val="none" w:sz="0" w:space="0" w:color="auto"/>
              </w:divBdr>
              <w:divsChild>
                <w:div w:id="10190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4439">
      <w:bodyDiv w:val="1"/>
      <w:marLeft w:val="0"/>
      <w:marRight w:val="0"/>
      <w:marTop w:val="0"/>
      <w:marBottom w:val="0"/>
      <w:divBdr>
        <w:top w:val="none" w:sz="0" w:space="0" w:color="auto"/>
        <w:left w:val="none" w:sz="0" w:space="0" w:color="auto"/>
        <w:bottom w:val="none" w:sz="0" w:space="0" w:color="auto"/>
        <w:right w:val="none" w:sz="0" w:space="0" w:color="auto"/>
      </w:divBdr>
      <w:divsChild>
        <w:div w:id="2122414213">
          <w:marLeft w:val="0"/>
          <w:marRight w:val="0"/>
          <w:marTop w:val="0"/>
          <w:marBottom w:val="0"/>
          <w:divBdr>
            <w:top w:val="none" w:sz="0" w:space="0" w:color="auto"/>
            <w:left w:val="none" w:sz="0" w:space="0" w:color="auto"/>
            <w:bottom w:val="none" w:sz="0" w:space="0" w:color="auto"/>
            <w:right w:val="none" w:sz="0" w:space="0" w:color="auto"/>
          </w:divBdr>
          <w:divsChild>
            <w:div w:id="1688873940">
              <w:marLeft w:val="0"/>
              <w:marRight w:val="0"/>
              <w:marTop w:val="0"/>
              <w:marBottom w:val="0"/>
              <w:divBdr>
                <w:top w:val="none" w:sz="0" w:space="0" w:color="auto"/>
                <w:left w:val="none" w:sz="0" w:space="0" w:color="auto"/>
                <w:bottom w:val="none" w:sz="0" w:space="0" w:color="auto"/>
                <w:right w:val="none" w:sz="0" w:space="0" w:color="auto"/>
              </w:divBdr>
              <w:divsChild>
                <w:div w:id="13776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74277">
      <w:bodyDiv w:val="1"/>
      <w:marLeft w:val="0"/>
      <w:marRight w:val="0"/>
      <w:marTop w:val="0"/>
      <w:marBottom w:val="0"/>
      <w:divBdr>
        <w:top w:val="none" w:sz="0" w:space="0" w:color="auto"/>
        <w:left w:val="none" w:sz="0" w:space="0" w:color="auto"/>
        <w:bottom w:val="none" w:sz="0" w:space="0" w:color="auto"/>
        <w:right w:val="none" w:sz="0" w:space="0" w:color="auto"/>
      </w:divBdr>
      <w:divsChild>
        <w:div w:id="463233036">
          <w:marLeft w:val="0"/>
          <w:marRight w:val="0"/>
          <w:marTop w:val="0"/>
          <w:marBottom w:val="0"/>
          <w:divBdr>
            <w:top w:val="none" w:sz="0" w:space="0" w:color="auto"/>
            <w:left w:val="none" w:sz="0" w:space="0" w:color="auto"/>
            <w:bottom w:val="none" w:sz="0" w:space="0" w:color="auto"/>
            <w:right w:val="none" w:sz="0" w:space="0" w:color="auto"/>
          </w:divBdr>
          <w:divsChild>
            <w:div w:id="1889367095">
              <w:marLeft w:val="0"/>
              <w:marRight w:val="0"/>
              <w:marTop w:val="0"/>
              <w:marBottom w:val="0"/>
              <w:divBdr>
                <w:top w:val="none" w:sz="0" w:space="0" w:color="auto"/>
                <w:left w:val="none" w:sz="0" w:space="0" w:color="auto"/>
                <w:bottom w:val="none" w:sz="0" w:space="0" w:color="auto"/>
                <w:right w:val="none" w:sz="0" w:space="0" w:color="auto"/>
              </w:divBdr>
              <w:divsChild>
                <w:div w:id="9753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4392">
      <w:bodyDiv w:val="1"/>
      <w:marLeft w:val="0"/>
      <w:marRight w:val="0"/>
      <w:marTop w:val="0"/>
      <w:marBottom w:val="0"/>
      <w:divBdr>
        <w:top w:val="none" w:sz="0" w:space="0" w:color="auto"/>
        <w:left w:val="none" w:sz="0" w:space="0" w:color="auto"/>
        <w:bottom w:val="none" w:sz="0" w:space="0" w:color="auto"/>
        <w:right w:val="none" w:sz="0" w:space="0" w:color="auto"/>
      </w:divBdr>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3560">
      <w:bodyDiv w:val="1"/>
      <w:marLeft w:val="0"/>
      <w:marRight w:val="0"/>
      <w:marTop w:val="0"/>
      <w:marBottom w:val="0"/>
      <w:divBdr>
        <w:top w:val="none" w:sz="0" w:space="0" w:color="auto"/>
        <w:left w:val="none" w:sz="0" w:space="0" w:color="auto"/>
        <w:bottom w:val="none" w:sz="0" w:space="0" w:color="auto"/>
        <w:right w:val="none" w:sz="0" w:space="0" w:color="auto"/>
      </w:divBdr>
      <w:divsChild>
        <w:div w:id="1691299305">
          <w:marLeft w:val="0"/>
          <w:marRight w:val="0"/>
          <w:marTop w:val="0"/>
          <w:marBottom w:val="0"/>
          <w:divBdr>
            <w:top w:val="none" w:sz="0" w:space="0" w:color="auto"/>
            <w:left w:val="none" w:sz="0" w:space="0" w:color="auto"/>
            <w:bottom w:val="none" w:sz="0" w:space="0" w:color="auto"/>
            <w:right w:val="none" w:sz="0" w:space="0" w:color="auto"/>
          </w:divBdr>
          <w:divsChild>
            <w:div w:id="1693803373">
              <w:marLeft w:val="0"/>
              <w:marRight w:val="0"/>
              <w:marTop w:val="0"/>
              <w:marBottom w:val="0"/>
              <w:divBdr>
                <w:top w:val="none" w:sz="0" w:space="0" w:color="auto"/>
                <w:left w:val="none" w:sz="0" w:space="0" w:color="auto"/>
                <w:bottom w:val="none" w:sz="0" w:space="0" w:color="auto"/>
                <w:right w:val="none" w:sz="0" w:space="0" w:color="auto"/>
              </w:divBdr>
              <w:divsChild>
                <w:div w:id="8475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097814">
      <w:bodyDiv w:val="1"/>
      <w:marLeft w:val="0"/>
      <w:marRight w:val="0"/>
      <w:marTop w:val="0"/>
      <w:marBottom w:val="0"/>
      <w:divBdr>
        <w:top w:val="none" w:sz="0" w:space="0" w:color="auto"/>
        <w:left w:val="none" w:sz="0" w:space="0" w:color="auto"/>
        <w:bottom w:val="none" w:sz="0" w:space="0" w:color="auto"/>
        <w:right w:val="none" w:sz="0" w:space="0" w:color="auto"/>
      </w:divBdr>
      <w:divsChild>
        <w:div w:id="757946900">
          <w:marLeft w:val="0"/>
          <w:marRight w:val="0"/>
          <w:marTop w:val="0"/>
          <w:marBottom w:val="0"/>
          <w:divBdr>
            <w:top w:val="none" w:sz="0" w:space="0" w:color="auto"/>
            <w:left w:val="none" w:sz="0" w:space="0" w:color="auto"/>
            <w:bottom w:val="none" w:sz="0" w:space="0" w:color="auto"/>
            <w:right w:val="none" w:sz="0" w:space="0" w:color="auto"/>
          </w:divBdr>
          <w:divsChild>
            <w:div w:id="55015183">
              <w:marLeft w:val="0"/>
              <w:marRight w:val="0"/>
              <w:marTop w:val="0"/>
              <w:marBottom w:val="0"/>
              <w:divBdr>
                <w:top w:val="none" w:sz="0" w:space="0" w:color="auto"/>
                <w:left w:val="none" w:sz="0" w:space="0" w:color="auto"/>
                <w:bottom w:val="none" w:sz="0" w:space="0" w:color="auto"/>
                <w:right w:val="none" w:sz="0" w:space="0" w:color="auto"/>
              </w:divBdr>
              <w:divsChild>
                <w:div w:id="4053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1248">
      <w:bodyDiv w:val="1"/>
      <w:marLeft w:val="0"/>
      <w:marRight w:val="0"/>
      <w:marTop w:val="0"/>
      <w:marBottom w:val="0"/>
      <w:divBdr>
        <w:top w:val="none" w:sz="0" w:space="0" w:color="auto"/>
        <w:left w:val="none" w:sz="0" w:space="0" w:color="auto"/>
        <w:bottom w:val="none" w:sz="0" w:space="0" w:color="auto"/>
        <w:right w:val="none" w:sz="0" w:space="0" w:color="auto"/>
      </w:divBdr>
      <w:divsChild>
        <w:div w:id="2065904513">
          <w:marLeft w:val="0"/>
          <w:marRight w:val="0"/>
          <w:marTop w:val="0"/>
          <w:marBottom w:val="0"/>
          <w:divBdr>
            <w:top w:val="none" w:sz="0" w:space="0" w:color="auto"/>
            <w:left w:val="none" w:sz="0" w:space="0" w:color="auto"/>
            <w:bottom w:val="none" w:sz="0" w:space="0" w:color="auto"/>
            <w:right w:val="none" w:sz="0" w:space="0" w:color="auto"/>
          </w:divBdr>
          <w:divsChild>
            <w:div w:id="1259097820">
              <w:marLeft w:val="0"/>
              <w:marRight w:val="0"/>
              <w:marTop w:val="0"/>
              <w:marBottom w:val="0"/>
              <w:divBdr>
                <w:top w:val="none" w:sz="0" w:space="0" w:color="auto"/>
                <w:left w:val="none" w:sz="0" w:space="0" w:color="auto"/>
                <w:bottom w:val="none" w:sz="0" w:space="0" w:color="auto"/>
                <w:right w:val="none" w:sz="0" w:space="0" w:color="auto"/>
              </w:divBdr>
              <w:divsChild>
                <w:div w:id="11860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25426">
      <w:bodyDiv w:val="1"/>
      <w:marLeft w:val="0"/>
      <w:marRight w:val="0"/>
      <w:marTop w:val="0"/>
      <w:marBottom w:val="0"/>
      <w:divBdr>
        <w:top w:val="none" w:sz="0" w:space="0" w:color="auto"/>
        <w:left w:val="none" w:sz="0" w:space="0" w:color="auto"/>
        <w:bottom w:val="none" w:sz="0" w:space="0" w:color="auto"/>
        <w:right w:val="none" w:sz="0" w:space="0" w:color="auto"/>
      </w:divBdr>
      <w:divsChild>
        <w:div w:id="244531601">
          <w:marLeft w:val="0"/>
          <w:marRight w:val="0"/>
          <w:marTop w:val="0"/>
          <w:marBottom w:val="0"/>
          <w:divBdr>
            <w:top w:val="none" w:sz="0" w:space="0" w:color="auto"/>
            <w:left w:val="none" w:sz="0" w:space="0" w:color="auto"/>
            <w:bottom w:val="none" w:sz="0" w:space="0" w:color="auto"/>
            <w:right w:val="none" w:sz="0" w:space="0" w:color="auto"/>
          </w:divBdr>
          <w:divsChild>
            <w:div w:id="75056830">
              <w:marLeft w:val="0"/>
              <w:marRight w:val="0"/>
              <w:marTop w:val="0"/>
              <w:marBottom w:val="0"/>
              <w:divBdr>
                <w:top w:val="none" w:sz="0" w:space="0" w:color="auto"/>
                <w:left w:val="none" w:sz="0" w:space="0" w:color="auto"/>
                <w:bottom w:val="none" w:sz="0" w:space="0" w:color="auto"/>
                <w:right w:val="none" w:sz="0" w:space="0" w:color="auto"/>
              </w:divBdr>
              <w:divsChild>
                <w:div w:id="150577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27377">
      <w:bodyDiv w:val="1"/>
      <w:marLeft w:val="0"/>
      <w:marRight w:val="0"/>
      <w:marTop w:val="0"/>
      <w:marBottom w:val="0"/>
      <w:divBdr>
        <w:top w:val="none" w:sz="0" w:space="0" w:color="auto"/>
        <w:left w:val="none" w:sz="0" w:space="0" w:color="auto"/>
        <w:bottom w:val="none" w:sz="0" w:space="0" w:color="auto"/>
        <w:right w:val="none" w:sz="0" w:space="0" w:color="auto"/>
      </w:divBdr>
      <w:divsChild>
        <w:div w:id="1087312880">
          <w:marLeft w:val="0"/>
          <w:marRight w:val="0"/>
          <w:marTop w:val="0"/>
          <w:marBottom w:val="0"/>
          <w:divBdr>
            <w:top w:val="none" w:sz="0" w:space="0" w:color="auto"/>
            <w:left w:val="none" w:sz="0" w:space="0" w:color="auto"/>
            <w:bottom w:val="none" w:sz="0" w:space="0" w:color="auto"/>
            <w:right w:val="none" w:sz="0" w:space="0" w:color="auto"/>
          </w:divBdr>
          <w:divsChild>
            <w:div w:id="1705014001">
              <w:marLeft w:val="0"/>
              <w:marRight w:val="0"/>
              <w:marTop w:val="0"/>
              <w:marBottom w:val="0"/>
              <w:divBdr>
                <w:top w:val="none" w:sz="0" w:space="0" w:color="auto"/>
                <w:left w:val="none" w:sz="0" w:space="0" w:color="auto"/>
                <w:bottom w:val="none" w:sz="0" w:space="0" w:color="auto"/>
                <w:right w:val="none" w:sz="0" w:space="0" w:color="auto"/>
              </w:divBdr>
              <w:divsChild>
                <w:div w:id="1903325912">
                  <w:marLeft w:val="0"/>
                  <w:marRight w:val="0"/>
                  <w:marTop w:val="0"/>
                  <w:marBottom w:val="0"/>
                  <w:divBdr>
                    <w:top w:val="none" w:sz="0" w:space="0" w:color="auto"/>
                    <w:left w:val="none" w:sz="0" w:space="0" w:color="auto"/>
                    <w:bottom w:val="none" w:sz="0" w:space="0" w:color="auto"/>
                    <w:right w:val="none" w:sz="0" w:space="0" w:color="auto"/>
                  </w:divBdr>
                  <w:divsChild>
                    <w:div w:id="18631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01171">
      <w:bodyDiv w:val="1"/>
      <w:marLeft w:val="0"/>
      <w:marRight w:val="0"/>
      <w:marTop w:val="0"/>
      <w:marBottom w:val="0"/>
      <w:divBdr>
        <w:top w:val="none" w:sz="0" w:space="0" w:color="auto"/>
        <w:left w:val="none" w:sz="0" w:space="0" w:color="auto"/>
        <w:bottom w:val="none" w:sz="0" w:space="0" w:color="auto"/>
        <w:right w:val="none" w:sz="0" w:space="0" w:color="auto"/>
      </w:divBdr>
      <w:divsChild>
        <w:div w:id="1941251785">
          <w:marLeft w:val="0"/>
          <w:marRight w:val="0"/>
          <w:marTop w:val="0"/>
          <w:marBottom w:val="0"/>
          <w:divBdr>
            <w:top w:val="none" w:sz="0" w:space="0" w:color="auto"/>
            <w:left w:val="none" w:sz="0" w:space="0" w:color="auto"/>
            <w:bottom w:val="none" w:sz="0" w:space="0" w:color="auto"/>
            <w:right w:val="none" w:sz="0" w:space="0" w:color="auto"/>
          </w:divBdr>
          <w:divsChild>
            <w:div w:id="500313928">
              <w:marLeft w:val="0"/>
              <w:marRight w:val="0"/>
              <w:marTop w:val="0"/>
              <w:marBottom w:val="0"/>
              <w:divBdr>
                <w:top w:val="none" w:sz="0" w:space="0" w:color="auto"/>
                <w:left w:val="none" w:sz="0" w:space="0" w:color="auto"/>
                <w:bottom w:val="none" w:sz="0" w:space="0" w:color="auto"/>
                <w:right w:val="none" w:sz="0" w:space="0" w:color="auto"/>
              </w:divBdr>
              <w:divsChild>
                <w:div w:id="196414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5195">
      <w:bodyDiv w:val="1"/>
      <w:marLeft w:val="0"/>
      <w:marRight w:val="0"/>
      <w:marTop w:val="0"/>
      <w:marBottom w:val="0"/>
      <w:divBdr>
        <w:top w:val="none" w:sz="0" w:space="0" w:color="auto"/>
        <w:left w:val="none" w:sz="0" w:space="0" w:color="auto"/>
        <w:bottom w:val="none" w:sz="0" w:space="0" w:color="auto"/>
        <w:right w:val="none" w:sz="0" w:space="0" w:color="auto"/>
      </w:divBdr>
      <w:divsChild>
        <w:div w:id="877546321">
          <w:marLeft w:val="0"/>
          <w:marRight w:val="0"/>
          <w:marTop w:val="0"/>
          <w:marBottom w:val="0"/>
          <w:divBdr>
            <w:top w:val="none" w:sz="0" w:space="0" w:color="auto"/>
            <w:left w:val="none" w:sz="0" w:space="0" w:color="auto"/>
            <w:bottom w:val="none" w:sz="0" w:space="0" w:color="auto"/>
            <w:right w:val="none" w:sz="0" w:space="0" w:color="auto"/>
          </w:divBdr>
          <w:divsChild>
            <w:div w:id="910122502">
              <w:marLeft w:val="0"/>
              <w:marRight w:val="0"/>
              <w:marTop w:val="0"/>
              <w:marBottom w:val="0"/>
              <w:divBdr>
                <w:top w:val="none" w:sz="0" w:space="0" w:color="auto"/>
                <w:left w:val="none" w:sz="0" w:space="0" w:color="auto"/>
                <w:bottom w:val="none" w:sz="0" w:space="0" w:color="auto"/>
                <w:right w:val="none" w:sz="0" w:space="0" w:color="auto"/>
              </w:divBdr>
              <w:divsChild>
                <w:div w:id="153788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586328">
      <w:bodyDiv w:val="1"/>
      <w:marLeft w:val="0"/>
      <w:marRight w:val="0"/>
      <w:marTop w:val="0"/>
      <w:marBottom w:val="0"/>
      <w:divBdr>
        <w:top w:val="none" w:sz="0" w:space="0" w:color="auto"/>
        <w:left w:val="none" w:sz="0" w:space="0" w:color="auto"/>
        <w:bottom w:val="none" w:sz="0" w:space="0" w:color="auto"/>
        <w:right w:val="none" w:sz="0" w:space="0" w:color="auto"/>
      </w:divBdr>
    </w:div>
    <w:div w:id="2032796400">
      <w:bodyDiv w:val="1"/>
      <w:marLeft w:val="0"/>
      <w:marRight w:val="0"/>
      <w:marTop w:val="0"/>
      <w:marBottom w:val="0"/>
      <w:divBdr>
        <w:top w:val="none" w:sz="0" w:space="0" w:color="auto"/>
        <w:left w:val="none" w:sz="0" w:space="0" w:color="auto"/>
        <w:bottom w:val="none" w:sz="0" w:space="0" w:color="auto"/>
        <w:right w:val="none" w:sz="0" w:space="0" w:color="auto"/>
      </w:divBdr>
      <w:divsChild>
        <w:div w:id="366301376">
          <w:marLeft w:val="0"/>
          <w:marRight w:val="0"/>
          <w:marTop w:val="0"/>
          <w:marBottom w:val="0"/>
          <w:divBdr>
            <w:top w:val="none" w:sz="0" w:space="0" w:color="auto"/>
            <w:left w:val="none" w:sz="0" w:space="0" w:color="auto"/>
            <w:bottom w:val="none" w:sz="0" w:space="0" w:color="auto"/>
            <w:right w:val="none" w:sz="0" w:space="0" w:color="auto"/>
          </w:divBdr>
          <w:divsChild>
            <w:div w:id="526337543">
              <w:marLeft w:val="0"/>
              <w:marRight w:val="0"/>
              <w:marTop w:val="0"/>
              <w:marBottom w:val="0"/>
              <w:divBdr>
                <w:top w:val="none" w:sz="0" w:space="0" w:color="auto"/>
                <w:left w:val="none" w:sz="0" w:space="0" w:color="auto"/>
                <w:bottom w:val="none" w:sz="0" w:space="0" w:color="auto"/>
                <w:right w:val="none" w:sz="0" w:space="0" w:color="auto"/>
              </w:divBdr>
              <w:divsChild>
                <w:div w:id="15874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70236">
      <w:bodyDiv w:val="1"/>
      <w:marLeft w:val="0"/>
      <w:marRight w:val="0"/>
      <w:marTop w:val="0"/>
      <w:marBottom w:val="0"/>
      <w:divBdr>
        <w:top w:val="none" w:sz="0" w:space="0" w:color="auto"/>
        <w:left w:val="none" w:sz="0" w:space="0" w:color="auto"/>
        <w:bottom w:val="none" w:sz="0" w:space="0" w:color="auto"/>
        <w:right w:val="none" w:sz="0" w:space="0" w:color="auto"/>
      </w:divBdr>
      <w:divsChild>
        <w:div w:id="2139495559">
          <w:marLeft w:val="0"/>
          <w:marRight w:val="0"/>
          <w:marTop w:val="0"/>
          <w:marBottom w:val="0"/>
          <w:divBdr>
            <w:top w:val="none" w:sz="0" w:space="0" w:color="auto"/>
            <w:left w:val="none" w:sz="0" w:space="0" w:color="auto"/>
            <w:bottom w:val="none" w:sz="0" w:space="0" w:color="auto"/>
            <w:right w:val="none" w:sz="0" w:space="0" w:color="auto"/>
          </w:divBdr>
          <w:divsChild>
            <w:div w:id="1879775777">
              <w:marLeft w:val="0"/>
              <w:marRight w:val="0"/>
              <w:marTop w:val="0"/>
              <w:marBottom w:val="0"/>
              <w:divBdr>
                <w:top w:val="none" w:sz="0" w:space="0" w:color="auto"/>
                <w:left w:val="none" w:sz="0" w:space="0" w:color="auto"/>
                <w:bottom w:val="none" w:sz="0" w:space="0" w:color="auto"/>
                <w:right w:val="none" w:sz="0" w:space="0" w:color="auto"/>
              </w:divBdr>
              <w:divsChild>
                <w:div w:id="19328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9286">
      <w:bodyDiv w:val="1"/>
      <w:marLeft w:val="0"/>
      <w:marRight w:val="0"/>
      <w:marTop w:val="0"/>
      <w:marBottom w:val="0"/>
      <w:divBdr>
        <w:top w:val="none" w:sz="0" w:space="0" w:color="auto"/>
        <w:left w:val="none" w:sz="0" w:space="0" w:color="auto"/>
        <w:bottom w:val="none" w:sz="0" w:space="0" w:color="auto"/>
        <w:right w:val="none" w:sz="0" w:space="0" w:color="auto"/>
      </w:divBdr>
      <w:divsChild>
        <w:div w:id="1090467190">
          <w:marLeft w:val="0"/>
          <w:marRight w:val="0"/>
          <w:marTop w:val="0"/>
          <w:marBottom w:val="0"/>
          <w:divBdr>
            <w:top w:val="none" w:sz="0" w:space="0" w:color="auto"/>
            <w:left w:val="none" w:sz="0" w:space="0" w:color="auto"/>
            <w:bottom w:val="none" w:sz="0" w:space="0" w:color="auto"/>
            <w:right w:val="none" w:sz="0" w:space="0" w:color="auto"/>
          </w:divBdr>
          <w:divsChild>
            <w:div w:id="1076243904">
              <w:marLeft w:val="0"/>
              <w:marRight w:val="0"/>
              <w:marTop w:val="0"/>
              <w:marBottom w:val="0"/>
              <w:divBdr>
                <w:top w:val="none" w:sz="0" w:space="0" w:color="auto"/>
                <w:left w:val="none" w:sz="0" w:space="0" w:color="auto"/>
                <w:bottom w:val="none" w:sz="0" w:space="0" w:color="auto"/>
                <w:right w:val="none" w:sz="0" w:space="0" w:color="auto"/>
              </w:divBdr>
              <w:divsChild>
                <w:div w:id="13766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89775">
      <w:bodyDiv w:val="1"/>
      <w:marLeft w:val="0"/>
      <w:marRight w:val="0"/>
      <w:marTop w:val="0"/>
      <w:marBottom w:val="0"/>
      <w:divBdr>
        <w:top w:val="none" w:sz="0" w:space="0" w:color="auto"/>
        <w:left w:val="none" w:sz="0" w:space="0" w:color="auto"/>
        <w:bottom w:val="none" w:sz="0" w:space="0" w:color="auto"/>
        <w:right w:val="none" w:sz="0" w:space="0" w:color="auto"/>
      </w:divBdr>
      <w:divsChild>
        <w:div w:id="1570382306">
          <w:marLeft w:val="0"/>
          <w:marRight w:val="0"/>
          <w:marTop w:val="0"/>
          <w:marBottom w:val="0"/>
          <w:divBdr>
            <w:top w:val="none" w:sz="0" w:space="0" w:color="auto"/>
            <w:left w:val="none" w:sz="0" w:space="0" w:color="auto"/>
            <w:bottom w:val="none" w:sz="0" w:space="0" w:color="auto"/>
            <w:right w:val="none" w:sz="0" w:space="0" w:color="auto"/>
          </w:divBdr>
          <w:divsChild>
            <w:div w:id="131756429">
              <w:marLeft w:val="0"/>
              <w:marRight w:val="0"/>
              <w:marTop w:val="0"/>
              <w:marBottom w:val="0"/>
              <w:divBdr>
                <w:top w:val="none" w:sz="0" w:space="0" w:color="auto"/>
                <w:left w:val="none" w:sz="0" w:space="0" w:color="auto"/>
                <w:bottom w:val="none" w:sz="0" w:space="0" w:color="auto"/>
                <w:right w:val="none" w:sz="0" w:space="0" w:color="auto"/>
              </w:divBdr>
              <w:divsChild>
                <w:div w:id="10232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6122">
      <w:bodyDiv w:val="1"/>
      <w:marLeft w:val="0"/>
      <w:marRight w:val="0"/>
      <w:marTop w:val="0"/>
      <w:marBottom w:val="0"/>
      <w:divBdr>
        <w:top w:val="none" w:sz="0" w:space="0" w:color="auto"/>
        <w:left w:val="none" w:sz="0" w:space="0" w:color="auto"/>
        <w:bottom w:val="none" w:sz="0" w:space="0" w:color="auto"/>
        <w:right w:val="none" w:sz="0" w:space="0" w:color="auto"/>
      </w:divBdr>
      <w:divsChild>
        <w:div w:id="172300920">
          <w:marLeft w:val="0"/>
          <w:marRight w:val="0"/>
          <w:marTop w:val="0"/>
          <w:marBottom w:val="0"/>
          <w:divBdr>
            <w:top w:val="none" w:sz="0" w:space="0" w:color="auto"/>
            <w:left w:val="none" w:sz="0" w:space="0" w:color="auto"/>
            <w:bottom w:val="none" w:sz="0" w:space="0" w:color="auto"/>
            <w:right w:val="none" w:sz="0" w:space="0" w:color="auto"/>
          </w:divBdr>
          <w:divsChild>
            <w:div w:id="947352851">
              <w:marLeft w:val="0"/>
              <w:marRight w:val="0"/>
              <w:marTop w:val="0"/>
              <w:marBottom w:val="0"/>
              <w:divBdr>
                <w:top w:val="none" w:sz="0" w:space="0" w:color="auto"/>
                <w:left w:val="none" w:sz="0" w:space="0" w:color="auto"/>
                <w:bottom w:val="none" w:sz="0" w:space="0" w:color="auto"/>
                <w:right w:val="none" w:sz="0" w:space="0" w:color="auto"/>
              </w:divBdr>
              <w:divsChild>
                <w:div w:id="89053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6206">
      <w:bodyDiv w:val="1"/>
      <w:marLeft w:val="0"/>
      <w:marRight w:val="0"/>
      <w:marTop w:val="0"/>
      <w:marBottom w:val="0"/>
      <w:divBdr>
        <w:top w:val="none" w:sz="0" w:space="0" w:color="auto"/>
        <w:left w:val="none" w:sz="0" w:space="0" w:color="auto"/>
        <w:bottom w:val="none" w:sz="0" w:space="0" w:color="auto"/>
        <w:right w:val="none" w:sz="0" w:space="0" w:color="auto"/>
      </w:divBdr>
      <w:divsChild>
        <w:div w:id="669987460">
          <w:marLeft w:val="0"/>
          <w:marRight w:val="0"/>
          <w:marTop w:val="0"/>
          <w:marBottom w:val="0"/>
          <w:divBdr>
            <w:top w:val="none" w:sz="0" w:space="0" w:color="auto"/>
            <w:left w:val="none" w:sz="0" w:space="0" w:color="auto"/>
            <w:bottom w:val="none" w:sz="0" w:space="0" w:color="auto"/>
            <w:right w:val="none" w:sz="0" w:space="0" w:color="auto"/>
          </w:divBdr>
          <w:divsChild>
            <w:div w:id="1217356891">
              <w:marLeft w:val="0"/>
              <w:marRight w:val="0"/>
              <w:marTop w:val="0"/>
              <w:marBottom w:val="0"/>
              <w:divBdr>
                <w:top w:val="none" w:sz="0" w:space="0" w:color="auto"/>
                <w:left w:val="none" w:sz="0" w:space="0" w:color="auto"/>
                <w:bottom w:val="none" w:sz="0" w:space="0" w:color="auto"/>
                <w:right w:val="none" w:sz="0" w:space="0" w:color="auto"/>
              </w:divBdr>
              <w:divsChild>
                <w:div w:id="85834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1547</Words>
  <Characters>8819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dc:description/>
  <cp:lastModifiedBy>Rocío Alayón Morell</cp:lastModifiedBy>
  <cp:revision>3</cp:revision>
  <cp:lastPrinted>2026-06-26T13:05:00Z</cp:lastPrinted>
  <dcterms:created xsi:type="dcterms:W3CDTF">2026-06-26T15:48:00Z</dcterms:created>
  <dcterms:modified xsi:type="dcterms:W3CDTF">2026-06-29T13:07:00Z</dcterms:modified>
</cp:coreProperties>
</file>