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01C2" w14:textId="77777777" w:rsidR="0001697E" w:rsidRPr="008D2855" w:rsidRDefault="0001697E" w:rsidP="0001697E">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95B650A" w14:textId="77777777" w:rsidR="0001697E" w:rsidRPr="008D2855" w:rsidRDefault="0001697E" w:rsidP="0001697E">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28</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11D324D6" w14:textId="3C04FC47" w:rsidR="0001697E" w:rsidRPr="0001697E" w:rsidRDefault="0072668F" w:rsidP="0001697E">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7728" behindDoc="1" locked="0" layoutInCell="0" allowOverlap="1" wp14:anchorId="6C38F11E" wp14:editId="4845E23C">
                <wp:simplePos x="0" y="0"/>
                <wp:positionH relativeFrom="margin">
                  <wp:posOffset>0</wp:posOffset>
                </wp:positionH>
                <wp:positionV relativeFrom="paragraph">
                  <wp:posOffset>0</wp:posOffset>
                </wp:positionV>
                <wp:extent cx="5943600" cy="22860"/>
                <wp:effectExtent l="0" t="0" r="0" b="0"/>
                <wp:wrapNone/>
                <wp:docPr id="6326558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D33D1" id="Rectangle 1" o:spid="_x0000_s1026" style="position:absolute;margin-left:0;margin-top:0;width:468pt;height:1.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3D1D714" w14:textId="67DFDAA0" w:rsidR="00EC1AD7" w:rsidRDefault="009964FC">
      <w:pPr>
        <w:suppressLineNumbers/>
        <w:jc w:val="center"/>
        <w:rPr>
          <w:rFonts w:ascii="Book Antiqua" w:hAnsi="Book Antiqua" w:cs="Book Antiqua"/>
          <w:sz w:val="28"/>
          <w:szCs w:val="28"/>
          <w:lang w:val="es-ES"/>
        </w:rPr>
      </w:pPr>
      <w:r>
        <w:rPr>
          <w:rFonts w:ascii="Book Antiqua" w:hAnsi="Book Antiqua" w:cs="Book Antiqua"/>
          <w:caps/>
          <w:sz w:val="28"/>
          <w:szCs w:val="28"/>
          <w:lang w:val="es-ES"/>
        </w:rPr>
        <w:t>GOBIERNO DE PUERTO RICO</w:t>
      </w:r>
    </w:p>
    <w:p w14:paraId="2294F164" w14:textId="77777777" w:rsidR="0046518B" w:rsidRDefault="0046518B">
      <w:pPr>
        <w:suppressLineNumbers/>
        <w:jc w:val="center"/>
        <w:rPr>
          <w:rFonts w:ascii="Book Antiqua" w:hAnsi="Book Antiqua" w:cs="Book Antiqua"/>
          <w:sz w:val="28"/>
          <w:szCs w:val="28"/>
          <w:lang w:val="es-ES"/>
        </w:rPr>
      </w:pPr>
    </w:p>
    <w:p w14:paraId="23D1D715" w14:textId="444F49D5" w:rsidR="00EC1AD7" w:rsidRPr="0082213A" w:rsidRDefault="0046518B" w:rsidP="0046518B">
      <w:pPr>
        <w:pStyle w:val="Title2"/>
        <w:suppressLineNumbers/>
        <w:tabs>
          <w:tab w:val="clear" w:pos="648"/>
          <w:tab w:val="clear" w:pos="7776"/>
          <w:tab w:val="clear" w:pos="7848"/>
        </w:tabs>
        <w:jc w:val="both"/>
        <w:rPr>
          <w:lang w:val="es-PR"/>
        </w:rPr>
      </w:pPr>
      <w:r w:rsidRPr="0082213A">
        <w:rPr>
          <w:rFonts w:ascii="Book Antiqua" w:hAnsi="Book Antiqua" w:cs="Book Antiqua"/>
          <w:lang w:val="es-PR"/>
        </w:rPr>
        <w:t>20ma.</w:t>
      </w:r>
      <w:r w:rsidR="009964FC" w:rsidRPr="0082213A">
        <w:rPr>
          <w:rFonts w:ascii="Book Antiqua" w:hAnsi="Book Antiqua" w:cs="Book Antiqua"/>
          <w:lang w:val="es-PR"/>
        </w:rPr>
        <w:t xml:space="preserve"> Asamblea</w:t>
      </w:r>
      <w:r w:rsidR="009964FC" w:rsidRPr="0082213A">
        <w:rPr>
          <w:rFonts w:ascii="Book Antiqua" w:hAnsi="Book Antiqua" w:cs="Book Antiqua"/>
          <w:lang w:val="es-PR"/>
        </w:rPr>
        <w:tab/>
        <w:t xml:space="preserve">                                                                                               </w:t>
      </w:r>
      <w:r w:rsidRPr="0082213A">
        <w:rPr>
          <w:rFonts w:ascii="Book Antiqua" w:hAnsi="Book Antiqua" w:cs="Book Antiqua"/>
          <w:lang w:val="es-PR"/>
        </w:rPr>
        <w:t>3ra.</w:t>
      </w:r>
      <w:r w:rsidR="009964FC" w:rsidRPr="0082213A">
        <w:rPr>
          <w:rFonts w:ascii="Book Antiqua" w:hAnsi="Book Antiqua" w:cs="Book Antiqua"/>
          <w:lang w:val="es-PR"/>
        </w:rPr>
        <w:t xml:space="preserve"> Sesión</w:t>
      </w:r>
    </w:p>
    <w:p w14:paraId="23D1D716" w14:textId="30D055FC" w:rsidR="00EC1AD7" w:rsidRPr="0082213A" w:rsidRDefault="009964FC" w:rsidP="0046518B">
      <w:pPr>
        <w:pStyle w:val="Title2"/>
        <w:suppressLineNumbers/>
        <w:tabs>
          <w:tab w:val="clear" w:pos="648"/>
          <w:tab w:val="clear" w:pos="7776"/>
          <w:tab w:val="clear" w:pos="7848"/>
        </w:tabs>
        <w:jc w:val="both"/>
        <w:rPr>
          <w:lang w:val="es-PR"/>
        </w:rPr>
      </w:pPr>
      <w:r w:rsidRPr="0082213A">
        <w:rPr>
          <w:rFonts w:ascii="Book Antiqua" w:hAnsi="Book Antiqua" w:cs="Book Antiqua"/>
          <w:lang w:val="es-PR"/>
        </w:rPr>
        <w:t xml:space="preserve">          </w:t>
      </w:r>
      <w:r w:rsidR="0046518B" w:rsidRPr="0082213A">
        <w:rPr>
          <w:rFonts w:ascii="Book Antiqua" w:hAnsi="Book Antiqua" w:cs="Book Antiqua"/>
          <w:lang w:val="es-PR"/>
        </w:rPr>
        <w:t xml:space="preserve"> </w:t>
      </w:r>
      <w:r w:rsidRPr="0082213A">
        <w:rPr>
          <w:rFonts w:ascii="Book Antiqua" w:hAnsi="Book Antiqua" w:cs="Book Antiqua"/>
          <w:lang w:val="es-PR"/>
        </w:rPr>
        <w:t>Legislativa</w:t>
      </w:r>
      <w:r w:rsidRPr="0082213A">
        <w:rPr>
          <w:rFonts w:ascii="Book Antiqua" w:hAnsi="Book Antiqua" w:cs="Book Antiqua"/>
          <w:lang w:val="es-PR"/>
        </w:rPr>
        <w:tab/>
      </w:r>
      <w:r w:rsidRPr="0082213A">
        <w:rPr>
          <w:rFonts w:ascii="Book Antiqua" w:hAnsi="Book Antiqua" w:cs="Book Antiqua"/>
          <w:lang w:val="es-PR"/>
        </w:rPr>
        <w:tab/>
        <w:t xml:space="preserve">                                                                                          Ordinaria</w:t>
      </w:r>
    </w:p>
    <w:p w14:paraId="23D1D717" w14:textId="77777777" w:rsidR="00EC1AD7" w:rsidRPr="0082213A" w:rsidRDefault="00EC1AD7">
      <w:pPr>
        <w:suppressLineNumbers/>
        <w:jc w:val="both"/>
        <w:rPr>
          <w:rFonts w:ascii="Book Antiqua" w:hAnsi="Book Antiqua" w:cs="Book Antiqua"/>
          <w:lang w:val="es-PR"/>
        </w:rPr>
      </w:pPr>
    </w:p>
    <w:p w14:paraId="23D1D718" w14:textId="77777777" w:rsidR="00EC1AD7" w:rsidRPr="00B864BC" w:rsidRDefault="009964FC">
      <w:pPr>
        <w:suppressLineNumbers/>
        <w:jc w:val="center"/>
        <w:rPr>
          <w:lang w:val="es-ES"/>
        </w:rPr>
      </w:pPr>
      <w:r>
        <w:rPr>
          <w:rFonts w:ascii="Book Antiqua" w:hAnsi="Book Antiqua" w:cs="Book Antiqua"/>
          <w:b/>
          <w:sz w:val="36"/>
          <w:szCs w:val="36"/>
          <w:lang w:val="es-ES"/>
        </w:rPr>
        <w:t>CÁMARA DE REPRESENTANTES</w:t>
      </w:r>
    </w:p>
    <w:p w14:paraId="23D1D719" w14:textId="77777777" w:rsidR="00EC1AD7" w:rsidRPr="0046518B" w:rsidRDefault="00EC1AD7">
      <w:pPr>
        <w:suppressLineNumbers/>
        <w:jc w:val="center"/>
        <w:rPr>
          <w:rFonts w:ascii="Book Antiqua" w:hAnsi="Book Antiqua" w:cs="Book Antiqua"/>
          <w:b/>
          <w:szCs w:val="24"/>
          <w:lang w:val="es-ES"/>
        </w:rPr>
      </w:pPr>
    </w:p>
    <w:p w14:paraId="23D1D71A" w14:textId="178A776A" w:rsidR="00EC1AD7" w:rsidRDefault="009964FC">
      <w:pPr>
        <w:suppressLineNumbers/>
        <w:jc w:val="center"/>
        <w:rPr>
          <w:rFonts w:ascii="Book Antiqua" w:hAnsi="Book Antiqua" w:cs="Book Antiqua"/>
          <w:b/>
          <w:sz w:val="52"/>
          <w:szCs w:val="52"/>
          <w:lang w:val="es-ES"/>
        </w:rPr>
      </w:pPr>
      <w:r>
        <w:rPr>
          <w:rFonts w:ascii="Book Antiqua" w:hAnsi="Book Antiqua" w:cs="Book Antiqua"/>
          <w:b/>
          <w:sz w:val="52"/>
          <w:lang w:val="es-ES"/>
        </w:rPr>
        <w:t xml:space="preserve">R. C. </w:t>
      </w:r>
      <w:r>
        <w:rPr>
          <w:rFonts w:ascii="Book Antiqua" w:hAnsi="Book Antiqua" w:cs="Book Antiqua"/>
          <w:b/>
          <w:sz w:val="52"/>
          <w:szCs w:val="52"/>
          <w:lang w:val="es-ES"/>
        </w:rPr>
        <w:t xml:space="preserve">de la C. </w:t>
      </w:r>
      <w:r w:rsidR="00B864BC">
        <w:rPr>
          <w:rFonts w:ascii="Book Antiqua" w:hAnsi="Book Antiqua" w:cs="Book Antiqua"/>
          <w:b/>
          <w:sz w:val="52"/>
          <w:szCs w:val="52"/>
          <w:lang w:val="es-ES"/>
        </w:rPr>
        <w:t>340</w:t>
      </w:r>
    </w:p>
    <w:p w14:paraId="23D1D71B" w14:textId="77777777" w:rsidR="00EC1AD7" w:rsidRPr="0046518B" w:rsidRDefault="00EC1AD7">
      <w:pPr>
        <w:suppressLineNumbers/>
        <w:jc w:val="center"/>
        <w:rPr>
          <w:rFonts w:ascii="Book Antiqua" w:hAnsi="Book Antiqua" w:cs="Book Antiqua"/>
          <w:b/>
          <w:szCs w:val="24"/>
          <w:lang w:val="es-ES"/>
        </w:rPr>
      </w:pPr>
    </w:p>
    <w:p w14:paraId="23D1D71C" w14:textId="3C049D18" w:rsidR="00EC1AD7" w:rsidRDefault="00B864BC">
      <w:pPr>
        <w:suppressLineNumbers/>
        <w:jc w:val="center"/>
        <w:rPr>
          <w:rFonts w:ascii="Book Antiqua" w:hAnsi="Book Antiqua" w:cs="Book Antiqua"/>
          <w:b/>
          <w:sz w:val="48"/>
          <w:lang w:val="es-ES"/>
        </w:rPr>
      </w:pPr>
      <w:r>
        <w:rPr>
          <w:rFonts w:ascii="Book Antiqua" w:hAnsi="Book Antiqua" w:cs="Book Antiqua"/>
          <w:lang w:val="es-ES"/>
        </w:rPr>
        <w:t xml:space="preserve">20 </w:t>
      </w:r>
      <w:r w:rsidR="009964FC">
        <w:rPr>
          <w:rFonts w:ascii="Book Antiqua" w:hAnsi="Book Antiqua" w:cs="Book Antiqua"/>
          <w:lang w:val="es-ES"/>
        </w:rPr>
        <w:t>DE ABRIL DE 2026</w:t>
      </w:r>
    </w:p>
    <w:p w14:paraId="23D1D71D" w14:textId="77777777" w:rsidR="00EC1AD7" w:rsidRPr="0046518B" w:rsidRDefault="00EC1AD7">
      <w:pPr>
        <w:suppressLineNumbers/>
        <w:jc w:val="center"/>
        <w:rPr>
          <w:rFonts w:ascii="Book Antiqua" w:hAnsi="Book Antiqua" w:cs="Book Antiqua"/>
          <w:b/>
          <w:szCs w:val="24"/>
          <w:lang w:val="es-ES"/>
        </w:rPr>
      </w:pPr>
    </w:p>
    <w:p w14:paraId="23D1D71E" w14:textId="77777777" w:rsidR="00EC1AD7" w:rsidRDefault="009964FC">
      <w:pPr>
        <w:suppressLineNumbers/>
        <w:jc w:val="center"/>
        <w:rPr>
          <w:rFonts w:ascii="Book Antiqua" w:hAnsi="Book Antiqua" w:cs="Book Antiqua"/>
          <w:i/>
          <w:lang w:val="es-ES"/>
        </w:rPr>
      </w:pPr>
      <w:r>
        <w:rPr>
          <w:rFonts w:ascii="Book Antiqua" w:hAnsi="Book Antiqua" w:cs="Book Antiqua"/>
          <w:lang w:val="es-ES"/>
        </w:rPr>
        <w:t>Presentada por el representante</w:t>
      </w:r>
      <w:r>
        <w:rPr>
          <w:rFonts w:ascii="Book Antiqua" w:hAnsi="Book Antiqua" w:cs="Book Antiqua"/>
          <w:i/>
          <w:lang w:val="es-ES"/>
        </w:rPr>
        <w:t xml:space="preserve"> Colón Rodríguez </w:t>
      </w:r>
    </w:p>
    <w:p w14:paraId="23D1D71F" w14:textId="77777777" w:rsidR="00EC1AD7" w:rsidRDefault="00EC1AD7">
      <w:pPr>
        <w:suppressLineNumbers/>
        <w:jc w:val="center"/>
        <w:rPr>
          <w:rFonts w:ascii="Book Antiqua" w:hAnsi="Book Antiqua" w:cs="Book Antiqua"/>
          <w:i/>
          <w:lang w:val="es-ES"/>
        </w:rPr>
      </w:pPr>
    </w:p>
    <w:p w14:paraId="23D1D720" w14:textId="240357C9" w:rsidR="00EC1AD7" w:rsidRDefault="009964FC">
      <w:pPr>
        <w:suppressLineNumbers/>
        <w:jc w:val="center"/>
        <w:rPr>
          <w:rFonts w:ascii="Book Antiqua" w:hAnsi="Book Antiqua" w:cs="Book Antiqua"/>
          <w:lang w:val="es-ES"/>
        </w:rPr>
      </w:pPr>
      <w:r>
        <w:rPr>
          <w:rFonts w:ascii="Book Antiqua" w:hAnsi="Book Antiqua" w:cs="Book Antiqua"/>
          <w:lang w:val="es-ES"/>
        </w:rPr>
        <w:t xml:space="preserve">Referida a la Comisión de </w:t>
      </w:r>
      <w:r w:rsidR="0082213A">
        <w:rPr>
          <w:rFonts w:ascii="Book Antiqua" w:hAnsi="Book Antiqua" w:cs="Book Antiqua"/>
          <w:lang w:val="es-ES"/>
        </w:rPr>
        <w:t>Agricultura</w:t>
      </w:r>
    </w:p>
    <w:p w14:paraId="23D1D721" w14:textId="77777777" w:rsidR="00EC1AD7" w:rsidRDefault="00EC1AD7">
      <w:pPr>
        <w:suppressLineNumbers/>
        <w:jc w:val="both"/>
        <w:rPr>
          <w:rFonts w:ascii="Book Antiqua" w:hAnsi="Book Antiqua" w:cs="Book Antiqua"/>
          <w:lang w:val="es-ES"/>
        </w:rPr>
      </w:pPr>
    </w:p>
    <w:p w14:paraId="23D1D722" w14:textId="77777777" w:rsidR="00EC1AD7" w:rsidRDefault="009964FC">
      <w:pPr>
        <w:suppressLineNumbers/>
        <w:jc w:val="center"/>
        <w:rPr>
          <w:rFonts w:ascii="Book Antiqua" w:hAnsi="Book Antiqua" w:cs="Book Antiqua"/>
          <w:b/>
          <w:caps/>
          <w:sz w:val="28"/>
          <w:lang w:val="es-ES"/>
        </w:rPr>
      </w:pPr>
      <w:r>
        <w:rPr>
          <w:rFonts w:ascii="Book Antiqua" w:hAnsi="Book Antiqua" w:cs="Book Antiqua"/>
          <w:b/>
          <w:caps/>
          <w:sz w:val="28"/>
          <w:lang w:val="es-ES"/>
        </w:rPr>
        <w:t>RESOLUCIón CONJUNTA</w:t>
      </w:r>
    </w:p>
    <w:p w14:paraId="23D1D723" w14:textId="77777777" w:rsidR="00EC1AD7" w:rsidRDefault="00EC1AD7">
      <w:pPr>
        <w:suppressLineNumbers/>
        <w:jc w:val="both"/>
        <w:rPr>
          <w:rFonts w:ascii="Book Antiqua" w:hAnsi="Book Antiqua" w:cs="Book Antiqua"/>
          <w:b/>
          <w:caps/>
          <w:sz w:val="28"/>
          <w:lang w:val="es-ES"/>
        </w:rPr>
      </w:pPr>
    </w:p>
    <w:p w14:paraId="23D1D724" w14:textId="77777777" w:rsidR="00EC1AD7" w:rsidRDefault="009964FC">
      <w:pPr>
        <w:suppressLineNumbers/>
        <w:tabs>
          <w:tab w:val="left" w:pos="7440"/>
        </w:tabs>
        <w:ind w:left="720" w:right="43" w:hanging="720"/>
        <w:jc w:val="both"/>
        <w:rPr>
          <w:rFonts w:ascii="Book Antiqua" w:hAnsi="Book Antiqua" w:cs="Book Antiqua"/>
          <w:lang w:val="es-ES"/>
        </w:rPr>
      </w:pPr>
      <w:r>
        <w:rPr>
          <w:rFonts w:ascii="Book Antiqua" w:hAnsi="Book Antiqua" w:cs="Book Antiqua"/>
          <w:lang w:val="es-ES"/>
        </w:rPr>
        <w:t>Para ordenar al Departamento de Agricultura la liberación de las condiciones y restricciones sobre la finca compuesta por las Parcelas Número 240-A, 240-B y 240-C del Proyecto Castañer, ubicada en el Barrio Bartolo del Municipio de Lares, perteneciente a Don Ceferino Ruiz Acevedo y Doña Isolina Pérez Torres, hoy Sucesión de Ceferino Ruiz Acevedo, impuestas bajo el Artículo 79-C de la Ley Núm. 26 de 12 de abril de 1941, según enmendada, conocida como la Ley de Tierras de Puerto Rico, y bajo la Ley Núm. 107 de 3 de julio de 1974; autorizar la segregación del predio de terreno donde ubica la residencia principal; y para otros fines relacionados.</w:t>
      </w:r>
    </w:p>
    <w:p w14:paraId="23D1D725" w14:textId="77777777" w:rsidR="00EC1AD7" w:rsidRDefault="009964FC">
      <w:pPr>
        <w:suppressLineNumbers/>
        <w:ind w:left="720" w:hanging="600"/>
        <w:jc w:val="both"/>
        <w:rPr>
          <w:rFonts w:ascii="Book Antiqua" w:hAnsi="Book Antiqua" w:cs="Book Antiqua"/>
          <w:lang w:val="es-ES"/>
        </w:rPr>
      </w:pPr>
      <w:r>
        <w:rPr>
          <w:rFonts w:ascii="Book Antiqua" w:hAnsi="Book Antiqua" w:cs="Book Antiqua"/>
          <w:lang w:val="es-ES"/>
        </w:rPr>
        <w:t xml:space="preserve"> </w:t>
      </w:r>
    </w:p>
    <w:p w14:paraId="23D1D726" w14:textId="77777777" w:rsidR="00EC1AD7" w:rsidRDefault="009964FC" w:rsidP="0046518B">
      <w:pPr>
        <w:suppressLineNumbers/>
        <w:jc w:val="center"/>
        <w:rPr>
          <w:rFonts w:ascii="Book Antiqua" w:hAnsi="Book Antiqua" w:cs="Book Antiqua"/>
          <w:lang w:val="es-ES"/>
        </w:rPr>
      </w:pPr>
      <w:r>
        <w:rPr>
          <w:rFonts w:ascii="Book Antiqua" w:hAnsi="Book Antiqua" w:cs="Book Antiqua"/>
          <w:lang w:val="es-ES"/>
        </w:rPr>
        <w:t xml:space="preserve">EXPOSICIÓN DE MOTIVOS </w:t>
      </w:r>
    </w:p>
    <w:p w14:paraId="23D1D727" w14:textId="77777777" w:rsidR="00EC1AD7" w:rsidRPr="00B864BC" w:rsidRDefault="009964FC" w:rsidP="0046518B">
      <w:pPr>
        <w:suppressLineNumbers/>
        <w:autoSpaceDE w:val="0"/>
        <w:ind w:firstLine="720"/>
        <w:jc w:val="both"/>
        <w:rPr>
          <w:lang w:val="es-ES"/>
        </w:rPr>
      </w:pPr>
      <w:r>
        <w:rPr>
          <w:rFonts w:ascii="Book Antiqua" w:eastAsia="Aptos" w:hAnsi="Book Antiqua" w:cs="Book Antiqua"/>
          <w:color w:val="000000"/>
          <w:szCs w:val="24"/>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23D1D728"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29" w14:textId="77777777" w:rsidR="00EC1AD7" w:rsidRDefault="009964FC" w:rsidP="0046518B">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lastRenderedPageBreak/>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23D1D72A"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2B" w14:textId="77777777" w:rsidR="00EC1AD7" w:rsidRPr="00B864BC" w:rsidRDefault="009964FC" w:rsidP="0046518B">
      <w:pPr>
        <w:suppressLineNumbers/>
        <w:autoSpaceDE w:val="0"/>
        <w:ind w:firstLine="720"/>
        <w:jc w:val="both"/>
        <w:rPr>
          <w:lang w:val="es-ES"/>
        </w:rPr>
      </w:pPr>
      <w:r>
        <w:rPr>
          <w:rFonts w:ascii="Book Antiqua" w:eastAsia="Aptos" w:hAnsi="Book Antiqua" w:cs="Book Antiqua"/>
          <w:color w:val="000000"/>
          <w:szCs w:val="24"/>
          <w:lang w:val="es-ES"/>
        </w:rPr>
        <w:t>Este es el caso de la finca compuesta por las Parcelas Número 240-A, 240-B y 240-C, perteneciente al Proyecto Castañer, ubicada en el Barrio Bartolo del Municipio de Lares, adquirida bajo el Programa de Fincas Familiares del Título Sexto de la Ley de Tierras de Puerto Rico por Don Ceferino Ruiz Acevedo y Doña Isolina Pérez Torres, hoy Sucesión de Ceferino Ruiz Acevedo. Dicha finca forma parte de una finca mayor, la cual se describe registralmente como sigue:</w:t>
      </w:r>
    </w:p>
    <w:p w14:paraId="23D1D72C"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2D" w14:textId="77777777" w:rsidR="00EC1AD7" w:rsidRDefault="009964FC" w:rsidP="0046518B">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 xml:space="preserve">“RUSTICA: Porción de terreno marcada con el número doscientos cuarenta (240) en el Plano de Subdivisión de la finca Castañer, sita en el Barrio Bartolo del término municipal de Lares, Puerto Rico, con una cabida de doce punto veintiuno cuarenta cuerdas de terreno (12.2140 cdas.), en lindes por el NORTE, con Parcelas de la PRRA; por el SUR, con la finca individual número veintiséis A (26-A); por el ESTE, con las fincas individuales número doscientos cincuenta y tres (253) y doscientos cincuenta y dos (252); y por el OESTE, con las fincas individuales doscientos treinta y dos (232) y doscientos treinta y tres (233) del propio plano. -----Inscrita al folio cincuenta (50) del tomo trescientos cuatro (304) de Lares, finca número quince mil novecientos veintiuno (15,921), inscripción primera (1ra). De dicha finca mayor se segregaron las Parcelas Número 240-A, con cabida de tres punto siete mil ciento ochenta y cinco diezmilésimas de cuerda (3.7185 cdas.), equivalentes a catorce mil seiscientos quince metros cuadrados con quince centésimas (14,615.15 m²); 240-B, con cabida de tres punto mil ciento sesenta y tres diezmilésimas de cuerda (3.1163 cdas.), equivalentes a doce mil doscientos cuarenta y ocho metros cuadrados con cincuenta y cuatro centésimas (12,248.54 m²); y 240-C, con cabida de cuatro punto quinientas setenta y ocho diezmilésimas de cuerda (4.0578 cdas.), equivalentes a quince mil novecientos cuarenta y ocho metros cuadrados con setenta y ocho centésimas (15,948.78 m²).” </w:t>
      </w:r>
    </w:p>
    <w:p w14:paraId="23D1D72E"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2F" w14:textId="77777777" w:rsidR="00EC1AD7" w:rsidRPr="00B864BC" w:rsidRDefault="009964FC" w:rsidP="0046518B">
      <w:pPr>
        <w:suppressLineNumbers/>
        <w:autoSpaceDE w:val="0"/>
        <w:ind w:firstLine="720"/>
        <w:jc w:val="both"/>
        <w:rPr>
          <w:lang w:val="es-ES"/>
        </w:rPr>
      </w:pPr>
      <w:r>
        <w:rPr>
          <w:rFonts w:ascii="Book Antiqua" w:eastAsia="Aptos" w:hAnsi="Book Antiqua" w:cs="Book Antiqua"/>
          <w:color w:val="000000"/>
          <w:szCs w:val="24"/>
          <w:lang w:val="es-ES"/>
        </w:rPr>
        <w:t>Al presente, en la referida finca del Proyecto Castañer ubica una estructura residencial principal que ha servido de hogar a la familia Ruiz Pérez. Sin embargo, debido a las restricciones registrales impuestas por el Artículo 79-C de la Ley Núm. 26 de 12 de abril de 1941 y por la Ley Núm. 107 de 3 de julio de 1974, los titulares se ven imposibilitados de segregar el predio donde ubica dicha vivienda, limitando sus derechos propietarios.</w:t>
      </w:r>
    </w:p>
    <w:p w14:paraId="23D1D730"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31" w14:textId="77777777" w:rsidR="00EC1AD7" w:rsidRPr="00B864BC" w:rsidRDefault="009964FC" w:rsidP="0046518B">
      <w:pPr>
        <w:suppressLineNumbers/>
        <w:autoSpaceDE w:val="0"/>
        <w:ind w:firstLine="720"/>
        <w:jc w:val="both"/>
        <w:rPr>
          <w:lang w:val="es-ES"/>
        </w:rPr>
      </w:pPr>
      <w:r>
        <w:rPr>
          <w:rFonts w:ascii="Book Antiqua" w:eastAsia="Aptos" w:hAnsi="Book Antiqua" w:cs="Book Antiqua"/>
          <w:color w:val="000000"/>
          <w:szCs w:val="24"/>
          <w:lang w:val="es-ES"/>
        </w:rPr>
        <w:t xml:space="preserve">El Artículo 3 de la Ley Núm. 107 de 3 de julio de 1974, al igual que el Artículo 79-C de la Ley Núm. 26 de 12 de abril de 1941, reconocen la facultad de la Asamblea Legislativa para liberar dichas restricciones en casos meritorios. Esta Asamblea </w:t>
      </w:r>
      <w:r>
        <w:rPr>
          <w:rFonts w:ascii="Book Antiqua" w:eastAsia="Aptos" w:hAnsi="Book Antiqua" w:cs="Book Antiqua"/>
          <w:color w:val="000000"/>
          <w:szCs w:val="24"/>
          <w:lang w:val="es-ES"/>
        </w:rPr>
        <w:lastRenderedPageBreak/>
        <w:t>Legislativa considera justo y necesario liberar las restricciones de la referida finca del Proyecto Castañer para permitir, específicamente, la segregación del predio de terreno donde se encuentra la estructura residencial principal. Esta acción atempera la realidad registral con la realidad física y social existente, haciendo justicia a los poseedores sin desvirtuar la totalidad de los terrenos agrícolas remanentes.</w:t>
      </w:r>
    </w:p>
    <w:p w14:paraId="23D1D732" w14:textId="77777777" w:rsidR="00EC1AD7" w:rsidRDefault="00EC1AD7" w:rsidP="0046518B">
      <w:pPr>
        <w:suppressLineNumbers/>
        <w:autoSpaceDE w:val="0"/>
        <w:ind w:firstLine="720"/>
        <w:jc w:val="both"/>
        <w:rPr>
          <w:rFonts w:ascii="Book Antiqua" w:eastAsia="Aptos" w:hAnsi="Book Antiqua" w:cs="Book Antiqua"/>
          <w:color w:val="000000"/>
          <w:szCs w:val="24"/>
          <w:lang w:val="es-ES"/>
        </w:rPr>
      </w:pPr>
    </w:p>
    <w:p w14:paraId="23D1D733" w14:textId="77777777" w:rsidR="00EC1AD7" w:rsidRDefault="009964FC" w:rsidP="0046518B">
      <w:pPr>
        <w:suppressLineNumbers/>
        <w:autoSpaceDE w:val="0"/>
        <w:ind w:firstLine="720"/>
        <w:jc w:val="both"/>
        <w:rPr>
          <w:rFonts w:ascii="Book Antiqua" w:hAnsi="Book Antiqua" w:cs="Book Antiqua"/>
          <w:lang w:val="es-ES"/>
        </w:rPr>
      </w:pPr>
      <w:r>
        <w:rPr>
          <w:rFonts w:ascii="Book Antiqua" w:eastAsia="Aptos" w:hAnsi="Book Antiqua" w:cs="Book Antiqua"/>
          <w:color w:val="000000"/>
          <w:szCs w:val="24"/>
          <w:lang w:val="es-ES"/>
        </w:rPr>
        <w:t>Por todo lo antes expuesto, y en el ejercicio de las prerrogativas constitucionales de este Cuerpo, se ordena la liberación de restricciones solicitada.</w:t>
      </w:r>
    </w:p>
    <w:p w14:paraId="23D1D734" w14:textId="77777777" w:rsidR="00EC1AD7" w:rsidRDefault="00EC1AD7">
      <w:pPr>
        <w:suppressLineNumbers/>
        <w:ind w:firstLine="360"/>
        <w:jc w:val="both"/>
        <w:rPr>
          <w:rFonts w:ascii="Book Antiqua" w:hAnsi="Book Antiqua" w:cs="Book Antiqua"/>
          <w:lang w:val="es-ES"/>
        </w:rPr>
      </w:pPr>
    </w:p>
    <w:p w14:paraId="23D1D735" w14:textId="77777777" w:rsidR="00EC1AD7" w:rsidRPr="00B864BC" w:rsidRDefault="009964FC">
      <w:pPr>
        <w:suppressLineNumbers/>
        <w:spacing w:line="480" w:lineRule="auto"/>
        <w:rPr>
          <w:lang w:val="es-ES"/>
        </w:rPr>
      </w:pPr>
      <w:r>
        <w:rPr>
          <w:rFonts w:ascii="Book Antiqua" w:hAnsi="Book Antiqua" w:cs="Book Antiqua"/>
          <w:i/>
          <w:caps/>
          <w:lang w:val="es-ES"/>
        </w:rPr>
        <w:t>ResuélvEse</w:t>
      </w:r>
      <w:r>
        <w:rPr>
          <w:rFonts w:ascii="Book Antiqua" w:hAnsi="Book Antiqua" w:cs="Book Antiqua"/>
          <w:i/>
          <w:lang w:val="es-ES"/>
        </w:rPr>
        <w:t xml:space="preserve"> POR LA ASAMBLEA LEGISLATIVA DE PUERTO RICO:</w:t>
      </w:r>
    </w:p>
    <w:p w14:paraId="23D1D736" w14:textId="77777777" w:rsidR="00EC1AD7" w:rsidRPr="00B864BC" w:rsidRDefault="00EC1AD7">
      <w:pPr>
        <w:rPr>
          <w:lang w:val="es-ES"/>
        </w:rPr>
        <w:sectPr w:rsidR="00EC1AD7" w:rsidRPr="00B864BC">
          <w:headerReference w:type="default" r:id="rId7"/>
          <w:headerReference w:type="first" r:id="rId8"/>
          <w:pgSz w:w="12240" w:h="15840"/>
          <w:pgMar w:top="1440" w:right="1440" w:bottom="1440" w:left="1440" w:header="720" w:footer="0" w:gutter="0"/>
          <w:cols w:space="720"/>
          <w:formProt w:val="0"/>
          <w:titlePg/>
          <w:docGrid w:linePitch="360"/>
        </w:sectPr>
      </w:pPr>
    </w:p>
    <w:p w14:paraId="23D1D737"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1.- Se ordena al Departamento de Agricultura proceder con la liberación de las condiciones y restricciones impuestas por el Artículo 79-C de la Ley Núm. 26 de 12 de abril de 1941, según enmendada, conocida como la Ley de Tierras de Puerto Rico, y por la Ley Núm. 107 de 3 de julio de 1974, según enmendada, sobre la finca compuesta por las Parcelas Número 240-A, 240-B y 240-C del Proyecto Castañer, ubicada en el Barrio Bartolo del Municipio de Lares, perteneciente a Don Ceferino Ruiz Acevedo y Doña Isolina Pérez Torres, hoy Sucesión de Ceferino Ruiz Acevedo.</w:t>
      </w:r>
    </w:p>
    <w:p w14:paraId="23D1D738"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2.- La liberación de restricciones ordenada en la Sección 1 de esta Resolución Conjunta se autoriza con el propósito específico de permitir la segregación del predio de terreno donde ubica la residencia principal de la finca.</w:t>
      </w:r>
    </w:p>
    <w:p w14:paraId="23D1D739"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3.- El Departamento de Agricultura deberá realizar los trámites legales y administrativos necesarios para dar cumplimiento a lo dispuesto en esta Resolución Conjunta dentro de un término no mayor de ciento veinte (120) días contados a partir de su aprobación.</w:t>
      </w:r>
    </w:p>
    <w:p w14:paraId="23D1D73A" w14:textId="77777777" w:rsidR="00EC1AD7" w:rsidRPr="00B864BC" w:rsidRDefault="009964FC">
      <w:pPr>
        <w:spacing w:line="480" w:lineRule="auto"/>
        <w:ind w:firstLine="720"/>
        <w:jc w:val="both"/>
        <w:rPr>
          <w:lang w:val="es-ES"/>
        </w:rPr>
      </w:pPr>
      <w:r>
        <w:rPr>
          <w:rFonts w:ascii="Book Antiqua" w:hAnsi="Book Antiqua" w:cs="Book Antiqua"/>
          <w:lang w:val="es-ES"/>
        </w:rPr>
        <w:t>Sección 4.- Esta Resolución Conjunta comenzará a regir inmediatamente después de su aprobación.</w:t>
      </w:r>
    </w:p>
    <w:sectPr w:rsidR="00EC1AD7" w:rsidRPr="00B864BC">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80E1D" w14:textId="77777777" w:rsidR="009805E2" w:rsidRDefault="009805E2">
      <w:r>
        <w:separator/>
      </w:r>
    </w:p>
  </w:endnote>
  <w:endnote w:type="continuationSeparator" w:id="0">
    <w:p w14:paraId="77535021" w14:textId="77777777" w:rsidR="009805E2" w:rsidRDefault="00980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Batang;바탕">
    <w:altName w:val="Yu Gothic"/>
    <w:charset w:val="8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S Mincho;ＭＳ 明朝">
    <w:charset w:val="80"/>
    <w:family w:val="roman"/>
    <w:pitch w:val="default"/>
  </w:font>
  <w:font w:name="SimSun;宋体">
    <w:charset w:val="80"/>
    <w:family w:val="roman"/>
    <w:pitch w:val="default"/>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7F59" w14:textId="77777777" w:rsidR="009805E2" w:rsidRDefault="009805E2">
      <w:r>
        <w:separator/>
      </w:r>
    </w:p>
  </w:footnote>
  <w:footnote w:type="continuationSeparator" w:id="0">
    <w:p w14:paraId="571A04C2" w14:textId="77777777" w:rsidR="009805E2" w:rsidRDefault="00980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B" w14:textId="77777777" w:rsidR="00EC1AD7" w:rsidRDefault="009964FC">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C" w14:textId="77777777" w:rsidR="00EC1AD7" w:rsidRDefault="00EC1AD7">
    <w:pPr>
      <w:pStyle w:val="Header"/>
      <w:jc w:val="center"/>
      <w:rPr>
        <w:rFonts w:ascii="Book Antiqua" w:hAnsi="Book Antiqua" w:cs="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43461"/>
    <w:multiLevelType w:val="multilevel"/>
    <w:tmpl w:val="50CABBF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26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1AD7"/>
    <w:rsid w:val="0001697E"/>
    <w:rsid w:val="001E3625"/>
    <w:rsid w:val="002425A4"/>
    <w:rsid w:val="0046518B"/>
    <w:rsid w:val="004A2465"/>
    <w:rsid w:val="00621981"/>
    <w:rsid w:val="006A0EB6"/>
    <w:rsid w:val="0072668F"/>
    <w:rsid w:val="00740828"/>
    <w:rsid w:val="007C004B"/>
    <w:rsid w:val="0082213A"/>
    <w:rsid w:val="00864583"/>
    <w:rsid w:val="009805E2"/>
    <w:rsid w:val="009964FC"/>
    <w:rsid w:val="009A06C4"/>
    <w:rsid w:val="00B0232D"/>
    <w:rsid w:val="00B864BC"/>
    <w:rsid w:val="00EC1AD7"/>
    <w:rsid w:val="00F924C7"/>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D713"/>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Batang;바탕" w:hAnsi="Times New Roman" w:cs="Times New Roman"/>
      <w:sz w:val="24"/>
      <w:lang w:eastAsia="zh-CN"/>
    </w:rPr>
  </w:style>
  <w:style w:type="paragraph" w:styleId="Heading1">
    <w:name w:val="heading 1"/>
    <w:basedOn w:val="Normal"/>
    <w:next w:val="Normal"/>
    <w:uiPriority w:val="9"/>
    <w:qFormat/>
    <w:pPr>
      <w:keepNext/>
      <w:numPr>
        <w:numId w:val="1"/>
      </w:numPr>
      <w:spacing w:before="240" w:after="60"/>
      <w:outlineLvl w:val="0"/>
    </w:pPr>
    <w:rPr>
      <w:rFonts w:ascii="Arial" w:hAnsi="Arial" w:cs="Arial"/>
      <w:b/>
      <w:kern w:val="2"/>
      <w:sz w:val="28"/>
    </w:rPr>
  </w:style>
  <w:style w:type="paragraph" w:styleId="Heading2">
    <w:name w:val="heading 2"/>
    <w:basedOn w:val="Normal"/>
    <w:next w:val="Normal"/>
    <w:uiPriority w:val="9"/>
    <w:semiHidden/>
    <w:unhideWhenUsed/>
    <w:qFormat/>
    <w:pPr>
      <w:keepNext/>
      <w:numPr>
        <w:ilvl w:val="1"/>
        <w:numId w:val="1"/>
      </w:numPr>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uiPriority w:val="9"/>
    <w:semiHidden/>
    <w:unhideWhenUsed/>
    <w:qFormat/>
    <w:pPr>
      <w:keepNext/>
      <w:numPr>
        <w:ilvl w:val="2"/>
        <w:numId w:val="1"/>
      </w:numPr>
      <w:spacing w:before="240" w:after="60"/>
      <w:outlineLvl w:val="2"/>
    </w:pPr>
    <w:rPr>
      <w:rFonts w:ascii="Calibri Light" w:eastAsia="Times New Roman" w:hAnsi="Calibri Light"/>
      <w:b/>
      <w:bCs/>
      <w:sz w:val="26"/>
      <w:szCs w:val="26"/>
    </w:rPr>
  </w:style>
  <w:style w:type="paragraph" w:styleId="Heading4">
    <w:name w:val="heading 4"/>
    <w:basedOn w:val="Normal"/>
    <w:next w:val="Normal"/>
    <w:uiPriority w:val="9"/>
    <w:semiHidden/>
    <w:unhideWhenUsed/>
    <w:qFormat/>
    <w:pPr>
      <w:keepNext/>
      <w:numPr>
        <w:ilvl w:val="3"/>
        <w:numId w:val="1"/>
      </w:numPr>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Times New Roman" w:hAnsi="Times New Roman" w:cs="Times New Roman"/>
    </w:rPr>
  </w:style>
  <w:style w:type="character" w:styleId="LineNumber">
    <w:name w:val="line number"/>
    <w:basedOn w:val="DefaultParagraphFont"/>
  </w:style>
  <w:style w:type="character" w:styleId="PageNumber">
    <w:name w:val="page number"/>
    <w:basedOn w:val="DefaultParagraphFont"/>
  </w:style>
  <w:style w:type="character" w:customStyle="1" w:styleId="BalloonTextChar">
    <w:name w:val="Balloon Text Char"/>
    <w:qFormat/>
    <w:rPr>
      <w:rFonts w:ascii="Segoe UI" w:hAnsi="Segoe UI" w:cs="Segoe UI"/>
      <w:sz w:val="18"/>
      <w:szCs w:val="18"/>
    </w:rPr>
  </w:style>
  <w:style w:type="character" w:customStyle="1" w:styleId="HTMLPreformattedChar">
    <w:name w:val="HTML Preformatted Char"/>
    <w:qFormat/>
    <w:rPr>
      <w:rFonts w:ascii="Courier New" w:hAnsi="Courier New" w:cs="Courier New"/>
    </w:rPr>
  </w:style>
  <w:style w:type="character" w:customStyle="1" w:styleId="Heading4Char">
    <w:name w:val="Heading 4 Char"/>
    <w:qFormat/>
    <w:rPr>
      <w:rFonts w:ascii="Calibri" w:eastAsia="Times New Roman" w:hAnsi="Calibri" w:cs="Times New Roman"/>
      <w:b/>
      <w:bCs/>
      <w:sz w:val="28"/>
      <w:szCs w:val="28"/>
    </w:rPr>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Heading3Char">
    <w:name w:val="Heading 3 Char"/>
    <w:qFormat/>
    <w:rPr>
      <w:rFonts w:ascii="Calibri Light" w:eastAsia="Times New Roman" w:hAnsi="Calibri Light" w:cs="Times New Roman"/>
      <w:b/>
      <w:bCs/>
      <w:sz w:val="26"/>
      <w:szCs w:val="26"/>
    </w:rPr>
  </w:style>
  <w:style w:type="character" w:styleId="Hyperlink">
    <w:name w:val="Hyperlink"/>
    <w:rPr>
      <w:color w:val="0563C1"/>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qFormat/>
    <w:rPr>
      <w:rFonts w:ascii="Segoe UI" w:hAnsi="Segoe UI" w:cs="Segoe UI"/>
      <w:sz w:val="18"/>
      <w:szCs w:val="18"/>
    </w:rPr>
  </w:style>
  <w:style w:type="paragraph" w:customStyle="1" w:styleId="Firmas">
    <w:name w:val="Firmas"/>
    <w:basedOn w:val="Normal"/>
    <w:qFormat/>
    <w:pPr>
      <w:tabs>
        <w:tab w:val="center" w:pos="1440"/>
        <w:tab w:val="center" w:pos="7200"/>
      </w:tabs>
    </w:pPr>
    <w:rPr>
      <w:lang w:val="es-ES_tradnl"/>
    </w:rPr>
  </w:style>
  <w:style w:type="paragraph" w:styleId="HTMLPreformatted">
    <w:name w:val="HTML Preformatted"/>
    <w:basedOn w:val="Normal"/>
    <w:qFormat/>
    <w:rPr>
      <w:rFonts w:ascii="Courier New" w:hAnsi="Courier New" w:cs="Courier New"/>
      <w:sz w:val="20"/>
    </w:rPr>
  </w:style>
  <w:style w:type="paragraph" w:styleId="ListParagraph">
    <w:name w:val="List Paragraph"/>
    <w:basedOn w:val="Normal"/>
    <w:qFormat/>
    <w:pPr>
      <w:ind w:left="720"/>
      <w:contextualSpacing/>
    </w:pPr>
    <w:rPr>
      <w:rFonts w:eastAsia="MS Mincho;ＭＳ 明朝"/>
      <w:szCs w:val="24"/>
    </w:rPr>
  </w:style>
  <w:style w:type="paragraph" w:customStyle="1" w:styleId="history">
    <w:name w:val="history"/>
    <w:qFormat/>
    <w:pPr>
      <w:widowControl w:val="0"/>
      <w:suppressAutoHyphens/>
      <w:autoSpaceDE w:val="0"/>
    </w:pPr>
    <w:rPr>
      <w:rFonts w:ascii="Times New Roman" w:eastAsia="SimSun;宋体" w:hAnsi="Times New Roman" w:cs="Times New Roman"/>
      <w:sz w:val="24"/>
      <w:szCs w:val="24"/>
      <w:lang w:eastAsia="zh-CN"/>
    </w:rPr>
  </w:style>
  <w:style w:type="paragraph" w:styleId="NormalWeb">
    <w:name w:val="Normal (Web)"/>
    <w:basedOn w:val="Normal"/>
    <w:qFormat/>
    <w:pPr>
      <w:spacing w:before="100" w:after="100"/>
    </w:pPr>
    <w:rPr>
      <w:rFonts w:eastAsia="Times New Roman"/>
      <w:szCs w:val="24"/>
      <w:lang w:val="es-PR"/>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5699</Characters>
  <Application>Microsoft Office Word</Application>
  <DocSecurity>0</DocSecurity>
  <Lines>47</Lines>
  <Paragraphs>13</Paragraphs>
  <ScaleCrop>false</ScaleCrop>
  <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Gloria de Jesús Maldonado</cp:lastModifiedBy>
  <cp:revision>2</cp:revision>
  <cp:lastPrinted>2024-12-24T10:11:00Z</cp:lastPrinted>
  <dcterms:created xsi:type="dcterms:W3CDTF">2026-05-29T14:44:00Z</dcterms:created>
  <dcterms:modified xsi:type="dcterms:W3CDTF">2026-05-29T14:44:00Z</dcterms:modified>
  <dc:language>en-US</dc:language>
</cp:coreProperties>
</file>