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543A2E" w14:textId="68887007" w:rsidR="00FF6BD2" w:rsidRDefault="001E798E" w:rsidP="009241B7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 DE PUERTO RICO</w:t>
      </w:r>
    </w:p>
    <w:p w14:paraId="4648EE99" w14:textId="77777777" w:rsidR="009241B7" w:rsidRDefault="009241B7" w:rsidP="009241B7">
      <w:pPr>
        <w:jc w:val="center"/>
        <w:rPr>
          <w:rFonts w:ascii="Book Antiqua" w:hAnsi="Book Antiqua"/>
          <w:sz w:val="28"/>
          <w:lang w:val="es-ES_tradnl"/>
        </w:rPr>
      </w:pPr>
    </w:p>
    <w:p w14:paraId="76F62F08" w14:textId="5C3A73B0" w:rsidR="009241B7" w:rsidRPr="00D24699" w:rsidRDefault="00944DA9" w:rsidP="00944DA9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 w:rsidRPr="00D24699">
        <w:rPr>
          <w:rFonts w:ascii="Book Antiqua" w:hAnsi="Book Antiqua"/>
          <w:lang w:val="es-PR"/>
        </w:rPr>
        <w:t>20ma.</w:t>
      </w:r>
      <w:r w:rsidR="001E798E" w:rsidRPr="00D24699">
        <w:rPr>
          <w:rFonts w:ascii="Book Antiqua" w:hAnsi="Book Antiqua"/>
          <w:lang w:val="es-PR"/>
        </w:rPr>
        <w:tab/>
        <w:t>Asamblea</w:t>
      </w:r>
      <w:r w:rsidR="001E798E" w:rsidRPr="00D24699">
        <w:rPr>
          <w:rFonts w:ascii="Book Antiqua" w:hAnsi="Book Antiqua"/>
          <w:lang w:val="es-PR"/>
        </w:rPr>
        <w:tab/>
      </w:r>
      <w:r w:rsidRPr="00D24699">
        <w:rPr>
          <w:rFonts w:ascii="Book Antiqua" w:hAnsi="Book Antiqua"/>
          <w:lang w:val="es-PR"/>
        </w:rPr>
        <w:t xml:space="preserve">                                                                                               3ra. </w:t>
      </w:r>
      <w:r w:rsidR="001E798E" w:rsidRPr="00D24699">
        <w:rPr>
          <w:rFonts w:ascii="Book Antiqua" w:hAnsi="Book Antiqua"/>
          <w:lang w:val="es-PR"/>
        </w:rPr>
        <w:t>Sesión</w:t>
      </w:r>
    </w:p>
    <w:p w14:paraId="5D7742BC" w14:textId="757708F1" w:rsidR="009241B7" w:rsidRPr="00D24699" w:rsidRDefault="009241B7" w:rsidP="00944DA9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 w:rsidRPr="00D24699">
        <w:rPr>
          <w:rFonts w:ascii="Book Antiqua" w:hAnsi="Book Antiqua"/>
          <w:lang w:val="es-PR"/>
        </w:rPr>
        <w:tab/>
        <w:t>Legislativa</w:t>
      </w:r>
      <w:r w:rsidRPr="00D24699">
        <w:rPr>
          <w:rFonts w:ascii="Book Antiqua" w:hAnsi="Book Antiqua"/>
          <w:lang w:val="es-PR"/>
        </w:rPr>
        <w:tab/>
      </w:r>
      <w:r w:rsidRPr="00D24699">
        <w:rPr>
          <w:rFonts w:ascii="Book Antiqua" w:hAnsi="Book Antiqua"/>
          <w:lang w:val="es-PR"/>
        </w:rPr>
        <w:tab/>
      </w:r>
      <w:r w:rsidR="00944DA9" w:rsidRPr="00D24699">
        <w:rPr>
          <w:rFonts w:ascii="Book Antiqua" w:hAnsi="Book Antiqua"/>
          <w:lang w:val="es-PR"/>
        </w:rPr>
        <w:tab/>
      </w:r>
      <w:r w:rsidR="00944DA9" w:rsidRPr="00D24699">
        <w:rPr>
          <w:rFonts w:ascii="Book Antiqua" w:hAnsi="Book Antiqua"/>
          <w:lang w:val="es-PR"/>
        </w:rPr>
        <w:tab/>
      </w:r>
      <w:r w:rsidR="00944DA9" w:rsidRPr="00D24699">
        <w:rPr>
          <w:rFonts w:ascii="Book Antiqua" w:hAnsi="Book Antiqua"/>
          <w:lang w:val="es-PR"/>
        </w:rPr>
        <w:tab/>
      </w:r>
      <w:r w:rsidR="00944DA9" w:rsidRPr="00D24699">
        <w:rPr>
          <w:rFonts w:ascii="Book Antiqua" w:hAnsi="Book Antiqua"/>
          <w:lang w:val="es-PR"/>
        </w:rPr>
        <w:tab/>
      </w:r>
      <w:r w:rsidR="00944DA9" w:rsidRPr="00D24699">
        <w:rPr>
          <w:rFonts w:ascii="Book Antiqua" w:hAnsi="Book Antiqua"/>
          <w:lang w:val="es-PR"/>
        </w:rPr>
        <w:tab/>
      </w:r>
      <w:r w:rsidR="00944DA9" w:rsidRPr="00D24699">
        <w:rPr>
          <w:rFonts w:ascii="Book Antiqua" w:hAnsi="Book Antiqua"/>
          <w:lang w:val="es-PR"/>
        </w:rPr>
        <w:tab/>
      </w:r>
      <w:r w:rsidR="00944DA9" w:rsidRPr="00D24699">
        <w:rPr>
          <w:rFonts w:ascii="Book Antiqua" w:hAnsi="Book Antiqua"/>
          <w:lang w:val="es-PR"/>
        </w:rPr>
        <w:tab/>
        <w:t xml:space="preserve">      </w:t>
      </w:r>
      <w:r w:rsidRPr="00D24699">
        <w:rPr>
          <w:rFonts w:ascii="Book Antiqua" w:hAnsi="Book Antiqua"/>
          <w:lang w:val="es-PR"/>
        </w:rPr>
        <w:t>Ordinaria</w:t>
      </w:r>
    </w:p>
    <w:p w14:paraId="434817D0" w14:textId="77777777" w:rsidR="009241B7" w:rsidRPr="00D24699" w:rsidRDefault="009241B7" w:rsidP="009241B7">
      <w:pPr>
        <w:rPr>
          <w:lang w:val="es-PR"/>
        </w:rPr>
      </w:pPr>
    </w:p>
    <w:p w14:paraId="3FC66785" w14:textId="77777777" w:rsidR="009241B7" w:rsidRDefault="009241B7" w:rsidP="00944DA9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397E34CE" w14:textId="5B1F1616" w:rsidR="009241B7" w:rsidRPr="00944DA9" w:rsidRDefault="009241B7" w:rsidP="00944DA9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39BC945C" w14:textId="14C116AB" w:rsidR="009241B7" w:rsidRDefault="009241B7" w:rsidP="00944DA9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 xml:space="preserve">R. C. de la C. </w:t>
      </w:r>
      <w:r w:rsidR="00F152CE">
        <w:rPr>
          <w:rFonts w:ascii="Book Antiqua" w:hAnsi="Book Antiqua"/>
          <w:b/>
          <w:sz w:val="52"/>
          <w:lang w:val="es-ES_tradnl"/>
        </w:rPr>
        <w:t>341</w:t>
      </w:r>
    </w:p>
    <w:p w14:paraId="31E57177" w14:textId="77777777" w:rsidR="00944DA9" w:rsidRDefault="00944DA9" w:rsidP="00944DA9">
      <w:pPr>
        <w:jc w:val="center"/>
        <w:rPr>
          <w:rFonts w:ascii="Book Antiqua" w:hAnsi="Book Antiqua"/>
          <w:lang w:val="es-ES_tradnl"/>
        </w:rPr>
      </w:pPr>
    </w:p>
    <w:p w14:paraId="129458E1" w14:textId="12C277A2" w:rsidR="009241B7" w:rsidRDefault="00F152CE" w:rsidP="00944DA9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20 </w:t>
      </w:r>
      <w:r w:rsidR="00944DA9">
        <w:rPr>
          <w:rFonts w:ascii="Book Antiqua" w:hAnsi="Book Antiqua"/>
          <w:lang w:val="es-ES_tradnl"/>
        </w:rPr>
        <w:t>DE ABRIL DE</w:t>
      </w:r>
      <w:r w:rsidR="001E798E">
        <w:rPr>
          <w:rFonts w:ascii="Book Antiqua" w:hAnsi="Book Antiqua"/>
          <w:lang w:val="es-ES_tradnl"/>
        </w:rPr>
        <w:t xml:space="preserve"> 2026</w:t>
      </w:r>
    </w:p>
    <w:p w14:paraId="23178388" w14:textId="77777777" w:rsidR="00944DA9" w:rsidRDefault="00944DA9" w:rsidP="00944DA9">
      <w:pPr>
        <w:jc w:val="center"/>
        <w:rPr>
          <w:rFonts w:ascii="Book Antiqua" w:hAnsi="Book Antiqua"/>
          <w:lang w:val="es-ES_tradnl"/>
        </w:rPr>
      </w:pPr>
    </w:p>
    <w:p w14:paraId="60225FD7" w14:textId="30576056" w:rsidR="009241B7" w:rsidRDefault="009241B7" w:rsidP="00944DA9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Presentada por el representante </w:t>
      </w:r>
      <w:r>
        <w:rPr>
          <w:rFonts w:ascii="Book Antiqua" w:hAnsi="Book Antiqua"/>
          <w:i/>
          <w:lang w:val="es-ES_tradnl"/>
        </w:rPr>
        <w:t>Colón Rodríguez</w:t>
      </w:r>
    </w:p>
    <w:p w14:paraId="6C140D84" w14:textId="77777777" w:rsidR="00944DA9" w:rsidRDefault="00944DA9" w:rsidP="00944DA9">
      <w:pPr>
        <w:jc w:val="center"/>
        <w:rPr>
          <w:rFonts w:ascii="Book Antiqua" w:hAnsi="Book Antiqua"/>
          <w:lang w:val="es-ES_tradnl"/>
        </w:rPr>
      </w:pPr>
    </w:p>
    <w:p w14:paraId="21C3AC79" w14:textId="32B366E4" w:rsidR="009241B7" w:rsidRDefault="009241B7" w:rsidP="00944DA9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Referida a la Comisión de </w:t>
      </w:r>
      <w:r w:rsidR="00D24699">
        <w:rPr>
          <w:rFonts w:ascii="Book Antiqua" w:hAnsi="Book Antiqua"/>
          <w:lang w:val="es-ES_tradnl"/>
        </w:rPr>
        <w:t>Agricultura</w:t>
      </w:r>
    </w:p>
    <w:p w14:paraId="6ABC70FA" w14:textId="77777777" w:rsidR="009241B7" w:rsidRDefault="009241B7" w:rsidP="00944DA9">
      <w:pPr>
        <w:jc w:val="both"/>
        <w:rPr>
          <w:rFonts w:ascii="Book Antiqua" w:hAnsi="Book Antiqua"/>
          <w:lang w:val="es-ES_tradnl"/>
        </w:rPr>
      </w:pPr>
    </w:p>
    <w:p w14:paraId="5A470A8C" w14:textId="77777777" w:rsidR="009241B7" w:rsidRDefault="009241B7" w:rsidP="00944DA9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 CONJUNTA</w:t>
      </w:r>
    </w:p>
    <w:p w14:paraId="726C93FE" w14:textId="77777777" w:rsidR="009241B7" w:rsidRDefault="009241B7" w:rsidP="009241B7">
      <w:pPr>
        <w:jc w:val="both"/>
        <w:rPr>
          <w:rFonts w:ascii="Book Antiqua" w:hAnsi="Book Antiqua"/>
          <w:lang w:val="es-ES_tradnl"/>
        </w:rPr>
      </w:pPr>
    </w:p>
    <w:p w14:paraId="4A767022" w14:textId="79511F4B" w:rsidR="001B5D9A" w:rsidRDefault="009241B7" w:rsidP="00944DA9">
      <w:pPr>
        <w:ind w:left="720" w:hanging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Para ordenar a la Autoridad de Tierras de Puerto Rico a liberar las condiciones y restricciones sobre preservación e indivisión previamente impuestas y anotadas, según dispuesto por la Ley Núm. 107 de 3 de julio de 1974, según enmendada, del predio de terreno identificado en el plano de mensura como Finca Número 6 del Proyecto Goyito, localizado en el Barrio Viví Arriba del término municipal de Utuado, Puerto Rico; ordenar a la Junta de Planificación a proceder conforme a lo establecido en la Ley para permitir y autorizar la segregación de solares; y para otros fines pertinentes.</w:t>
      </w:r>
    </w:p>
    <w:p w14:paraId="3CB8A1BE" w14:textId="77777777" w:rsidR="009241B7" w:rsidRDefault="00950448" w:rsidP="009241B7">
      <w:pPr>
        <w:ind w:left="360" w:hanging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  </w:t>
      </w:r>
    </w:p>
    <w:p w14:paraId="1221C440" w14:textId="77777777" w:rsidR="009241B7" w:rsidRDefault="009241B7" w:rsidP="00944DA9">
      <w:pPr>
        <w:ind w:firstLine="360"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EXPOSICIÓN DE MOTIVOS</w:t>
      </w:r>
    </w:p>
    <w:p w14:paraId="43FF4922" w14:textId="77777777" w:rsidR="00944DA9" w:rsidRDefault="00944DA9" w:rsidP="00944DA9">
      <w:pPr>
        <w:ind w:firstLine="360"/>
        <w:jc w:val="center"/>
        <w:rPr>
          <w:rFonts w:ascii="Book Antiqua" w:hAnsi="Book Antiqua"/>
          <w:lang w:val="es-ES_tradnl"/>
        </w:rPr>
      </w:pPr>
    </w:p>
    <w:p w14:paraId="34729701" w14:textId="77777777" w:rsidR="00950448" w:rsidRPr="00950448" w:rsidRDefault="00950448" w:rsidP="00944DA9">
      <w:pPr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La Ley Núm. 107 de 3 de julio de 1974, según enmendada, creó el Programa de Fincas de Tipo Familiar, conocido como “Título VI de la Ley de Tierras”, para establecer las condiciones y restricciones de no segregación ni cambio de uso agrícola a las fincas adscritas a dicho Programa. El Secretario de Agricultura fue facultado para la disposición de terrenos para uso agrícola, mediante cesión, venta, arrendamiento o usufructo. La disposición de estas fincas bajo el citado Programa se realizaba bajo una serie de condiciones y restricciones que formaban parte de la escritura o de la Certificación de Título que emite el Departamento de Agricultura. De igual manera, la Ley Núm. 107, antes citada, estableció varias excepciones para permitir que los terrenos fueran cambiados de uso y pudieran ser segregados, luego de cumplir con los requisitos de Ley.  Finalmente, la propia Ley establece que la Asamblea Legislativa podrá liberar las restricciones antes mencionadas. </w:t>
      </w:r>
    </w:p>
    <w:p w14:paraId="3115AEC0" w14:textId="77777777" w:rsidR="00A40B1A" w:rsidRDefault="00950448" w:rsidP="00944DA9">
      <w:pPr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lastRenderedPageBreak/>
        <w:t xml:space="preserve">El Artículo 3 de la mencionada Ley 107, reconoce la facultad inherente de la Asamblea Legislativa para ordenar que se liberen las restricciones antes mencionadas, en aquellos casos en que se estime meritorio.  </w:t>
      </w:r>
    </w:p>
    <w:p w14:paraId="6BB27D4D" w14:textId="77777777" w:rsidR="00944DA9" w:rsidRDefault="00944DA9" w:rsidP="00944DA9">
      <w:pPr>
        <w:ind w:firstLine="360"/>
        <w:jc w:val="both"/>
        <w:rPr>
          <w:rFonts w:ascii="Book Antiqua" w:hAnsi="Book Antiqua"/>
          <w:lang w:val="es-ES_tradnl"/>
        </w:rPr>
      </w:pPr>
    </w:p>
    <w:p w14:paraId="2B17CD58" w14:textId="34C02A2C" w:rsidR="00950448" w:rsidRDefault="00950448" w:rsidP="00944DA9">
      <w:pPr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De conformidad con el ordenamiento jurídico, la legislación ante nos propone la liberación de las condiciones y restricciones de la finca Número 6 del Proyecto Goyito, localizada en el Barrio Viví Arriba del término municipal de Utuado, Puerto Rico. El 20 de julio de 2001, esta finca fue otorgada en usufructo a los esposos don Heriberto Rivera Montero y doña Migdalia Ramos Acevedo por la Corporación para el Desarrollo Rural de Puerto Rico, adscrita al Departamento de Agricultura, al amparo de la Ley Núm. 107 de 3 de julio de 1974, según enmendada. Los usufructuarios, mediante su trabajo como agricultores, saldaron la deuda sobre la finca y adquirieron la misma mediante compraventa el [INDICAR FECHA DE COMPRAVENTA]. </w:t>
      </w:r>
    </w:p>
    <w:p w14:paraId="065905ED" w14:textId="77777777" w:rsidR="00944DA9" w:rsidRPr="00950448" w:rsidRDefault="00944DA9" w:rsidP="00944DA9">
      <w:pPr>
        <w:ind w:firstLine="360"/>
        <w:jc w:val="both"/>
        <w:rPr>
          <w:rFonts w:ascii="Book Antiqua" w:hAnsi="Book Antiqua"/>
          <w:lang w:val="es-ES_tradnl"/>
        </w:rPr>
      </w:pPr>
    </w:p>
    <w:p w14:paraId="4B2D637D" w14:textId="6573D177" w:rsidR="00950448" w:rsidRDefault="00691B6D" w:rsidP="00944DA9">
      <w:pPr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Don Heriberto Rivera Montero y doña Migdalia Ramos Acevedo, según Resolución emitida por el Tribunal de Primera Instancia, Sala Superior de Utuado, en el Caso Civil Núm. [INDICAR NÚMERO DE CASO CIVIL] sobre Declaratoria de Herederos, se decretó como sus únicos y universales herederos a José A. Rivera Ramos y [INDICAR NOMBRES DE LOS DEMÁS HEREDEROS], todos de apellidos Rivera Ramos. Transcurridos más de veinte (20) años desde el traspaso de la titularidad de la citada finca, las condiciones y restricciones impuestas han perdido su utilidad y vigencia. </w:t>
      </w:r>
    </w:p>
    <w:p w14:paraId="26899981" w14:textId="77777777" w:rsidR="00944DA9" w:rsidRPr="00950448" w:rsidRDefault="00944DA9" w:rsidP="00944DA9">
      <w:pPr>
        <w:ind w:firstLine="360"/>
        <w:jc w:val="both"/>
        <w:rPr>
          <w:rFonts w:ascii="Book Antiqua" w:hAnsi="Book Antiqua"/>
          <w:lang w:val="es-ES_tradnl"/>
        </w:rPr>
      </w:pPr>
    </w:p>
    <w:p w14:paraId="274E86EE" w14:textId="491AFD75" w:rsidR="009241B7" w:rsidRDefault="00950448" w:rsidP="00944DA9">
      <w:pPr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 Por ello, y en aras de atemperar la realidad física con la inscripción registral, consideramos meritorio ejercer nuestras prerrogativas en el presente caso.  Es necesario liberar la referida finca de las condiciones y restricciones de no segregación ni cambio de uso agrícola a las fincas adscritas al Programa de Fincas de Tipo Familiar, conocido como “Título VI de la Ley de Tierras” a los fines de que se conforme la misma a su realidad actual según lo permite la Ley Núm. 107 de 3 de julio de 1974, según enmendada.</w:t>
      </w:r>
    </w:p>
    <w:p w14:paraId="209CF5C1" w14:textId="77777777" w:rsidR="00944DA9" w:rsidRDefault="00944DA9" w:rsidP="00944DA9">
      <w:pPr>
        <w:ind w:firstLine="360"/>
        <w:jc w:val="both"/>
        <w:rPr>
          <w:rFonts w:ascii="Book Antiqua" w:hAnsi="Book Antiqua"/>
          <w:lang w:val="es-ES_tradnl"/>
        </w:rPr>
      </w:pPr>
    </w:p>
    <w:p w14:paraId="0A9B2E1C" w14:textId="77777777" w:rsidR="009241B7" w:rsidRDefault="009241B7" w:rsidP="00944DA9">
      <w:pPr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/>
          <w:lang w:val="es-ES_tradnl"/>
        </w:rPr>
        <w:t>RESUÉLVESE POR LA ASAMBLEA LEGISLATIVA DE PUERTO RICO:</w:t>
      </w:r>
    </w:p>
    <w:p w14:paraId="70949761" w14:textId="77777777" w:rsidR="009241B7" w:rsidRDefault="009241B7" w:rsidP="009241B7">
      <w:pPr>
        <w:spacing w:line="480" w:lineRule="auto"/>
        <w:jc w:val="both"/>
        <w:rPr>
          <w:rFonts w:ascii="Book Antiqua" w:hAnsi="Book Antiqua"/>
          <w:lang w:val="es-ES_tradnl"/>
        </w:rPr>
      </w:pPr>
    </w:p>
    <w:p w14:paraId="7E448CE2" w14:textId="77777777" w:rsidR="00944DA9" w:rsidRDefault="00944DA9" w:rsidP="009241B7">
      <w:pPr>
        <w:spacing w:line="480" w:lineRule="auto"/>
        <w:jc w:val="both"/>
        <w:rPr>
          <w:rFonts w:ascii="Book Antiqua" w:hAnsi="Book Antiqua"/>
          <w:lang w:val="es-ES_tradnl"/>
        </w:rPr>
        <w:sectPr w:rsidR="00944DA9">
          <w:headerReference w:type="default" r:id="rId9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26DDBA75" w14:textId="77777777" w:rsidR="00A87E1A" w:rsidRPr="003F0004" w:rsidRDefault="00A87E1A" w:rsidP="00A87E1A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 xml:space="preserve">Sección 1.-Se ordena a la Autoridad de Tierras de Puerto Rico a liberar las condiciones y restricciones sobre preservación e indivisión previamente impuestas y anotadas, según dispuesto por la Ley </w:t>
      </w:r>
      <w:r>
        <w:rPr>
          <w:rFonts w:ascii="Book Antiqua" w:hAnsi="Book Antiqua"/>
          <w:lang w:val="es-ES"/>
        </w:rPr>
        <w:t xml:space="preserve">Núm. </w:t>
      </w:r>
      <w:r>
        <w:rPr>
          <w:rFonts w:ascii="Book Antiqua" w:hAnsi="Book Antiqua"/>
          <w:lang w:val="es-ES_tradnl"/>
        </w:rPr>
        <w:t>107 de 3 de julio de 1974, según enmendada, de la siguiente propiedad:</w:t>
      </w:r>
    </w:p>
    <w:p w14:paraId="2346D3D3" w14:textId="7F98FEA7" w:rsidR="001B5D9A" w:rsidRDefault="00A87E1A" w:rsidP="00523CEF">
      <w:pPr>
        <w:spacing w:line="480" w:lineRule="auto"/>
        <w:ind w:left="1440" w:right="720"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 “-----RÚSTICA: Predio de terreno identificado con el número seis (6) en el plano de mensura del Proyecto Goyito, sita en el Barrio </w:t>
      </w:r>
      <w:r>
        <w:rPr>
          <w:rFonts w:ascii="Book Antiqua" w:hAnsi="Book Antiqua"/>
          <w:lang w:val="es-ES_tradnl"/>
        </w:rPr>
        <w:lastRenderedPageBreak/>
        <w:t>Viví Arriba del término municipal de Utuado, Puerto Rico; compuesta de diecisiete puntos cuatro mil ciento treinta cuerdas (17.4130), equivalentes a sesenta y ocho mil cuatrocientos treinta y nueve puntos novecientos ochenta y ocho metros cuadrados (68,439.988 m</w:t>
      </w:r>
      <w:r>
        <w:rPr>
          <w:rFonts w:ascii="Book Antiqua" w:hAnsi="Book Antiqua"/>
          <w:vertAlign w:val="superscript"/>
          <w:lang w:val="es-ES_tradnl"/>
        </w:rPr>
        <w:t>2</w:t>
      </w:r>
      <w:r>
        <w:rPr>
          <w:rFonts w:ascii="Book Antiqua" w:hAnsi="Book Antiqua"/>
          <w:lang w:val="es-ES_tradnl"/>
        </w:rPr>
        <w:t xml:space="preserve">). Colinda por el Norte, con terrenos de Ángel Montalvo y Carmen Torres; al Sur, con quebrada que lo separa de terrenos de Gregorio Vélez Rullán; por el Este, con terrenos de Juan Francisco Rullán y quebrada que lo separa de terrenos de Ángela Montalvo; y por el Oeste, con la finca número 7 y camino dedicado a uso público que lo separa de la finca número 5.  </w:t>
      </w:r>
    </w:p>
    <w:p w14:paraId="6F391DC4" w14:textId="73CF62C5" w:rsidR="001B5D9A" w:rsidRPr="003F0004" w:rsidRDefault="00523CEF" w:rsidP="00523CEF">
      <w:pPr>
        <w:spacing w:line="480" w:lineRule="auto"/>
        <w:ind w:left="1440" w:right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-----Consta inscrita al folio [INDICAR FOLIO] del tomo [INDICAR TOMO] de Utuado, finca número [INDICAR NÚMERO DE FINCA], Registro de la Propiedad, Sección de Utuado.” </w:t>
      </w:r>
    </w:p>
    <w:p w14:paraId="7D37D96B" w14:textId="77777777" w:rsidR="00A87E1A" w:rsidRPr="003F0004" w:rsidRDefault="00A87E1A" w:rsidP="00A87E1A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Sección 2.-La Autoridad de Tierras de Puerto Rico procederá con la liberación de las condiciones y restricciones del predio de terreno identificado en la Sección 1 de esta Resolución Conjunta en un término no mayor de ciento veinte (120) días a partir de la aprobación de esta Resolución Conjunta. </w:t>
      </w:r>
    </w:p>
    <w:p w14:paraId="629CC964" w14:textId="77777777" w:rsidR="00A87E1A" w:rsidRPr="003F0004" w:rsidRDefault="00A87E1A" w:rsidP="00A87E1A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Sección 3.-La Junta de Planificación, permitirá y autorizará la segregación de solares del terreno descrito en la Sección 1 de esta Resolución Conjunta, según lo autoriza la </w:t>
      </w:r>
      <w:r>
        <w:rPr>
          <w:rFonts w:ascii="Book Antiqua" w:hAnsi="Book Antiqua"/>
          <w:lang w:val="es-ES"/>
        </w:rPr>
        <w:t>Ley Núm. 107 de 3 de julio de 1974, según enmendada.</w:t>
      </w:r>
    </w:p>
    <w:p w14:paraId="33E6F458" w14:textId="77777777" w:rsidR="009241B7" w:rsidRPr="009241B7" w:rsidRDefault="00A87E1A" w:rsidP="00A87E1A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Sección 4.-Esta Resolución Conjunta comenzará a regir inmediatamente después de su aprobación.</w:t>
      </w:r>
    </w:p>
    <w:sectPr w:rsidR="009241B7" w:rsidRPr="009241B7" w:rsidSect="00E62AF3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DF4827" w14:textId="77777777" w:rsidR="009754DD" w:rsidRDefault="009754DD">
      <w:r>
        <w:separator/>
      </w:r>
    </w:p>
  </w:endnote>
  <w:endnote w:type="continuationSeparator" w:id="0">
    <w:p w14:paraId="6E2E4B39" w14:textId="77777777" w:rsidR="009754DD" w:rsidRDefault="009754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D46510" w14:textId="77777777" w:rsidR="009754DD" w:rsidRDefault="009754DD">
      <w:r>
        <w:separator/>
      </w:r>
    </w:p>
  </w:footnote>
  <w:footnote w:type="continuationSeparator" w:id="0">
    <w:p w14:paraId="1CFB9EB3" w14:textId="77777777" w:rsidR="009754DD" w:rsidRDefault="009754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E406A" w14:textId="77777777" w:rsidR="00F042CB" w:rsidRDefault="00F042CB">
    <w:pPr>
      <w:pStyle w:val="Encabezado"/>
      <w:jc w:val="center"/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691B6D">
      <w:rPr>
        <w:rStyle w:val="Nmerodepgina"/>
        <w:noProof/>
      </w:rPr>
      <w:t>3</w:t>
    </w:r>
    <w:r>
      <w:rPr>
        <w:rStyle w:val="Nmerodepgina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9241B7"/>
    <w:rsid w:val="00020BBB"/>
    <w:rsid w:val="00056024"/>
    <w:rsid w:val="00095AE1"/>
    <w:rsid w:val="000A6B6C"/>
    <w:rsid w:val="000B0DBB"/>
    <w:rsid w:val="00111E71"/>
    <w:rsid w:val="00127C6A"/>
    <w:rsid w:val="001363FE"/>
    <w:rsid w:val="001602B8"/>
    <w:rsid w:val="0017132B"/>
    <w:rsid w:val="001A036D"/>
    <w:rsid w:val="001B5D9A"/>
    <w:rsid w:val="001D56A3"/>
    <w:rsid w:val="001E798E"/>
    <w:rsid w:val="001F4CA3"/>
    <w:rsid w:val="001F612A"/>
    <w:rsid w:val="00211396"/>
    <w:rsid w:val="00226AE6"/>
    <w:rsid w:val="00245B34"/>
    <w:rsid w:val="00263355"/>
    <w:rsid w:val="00273792"/>
    <w:rsid w:val="002D4AC8"/>
    <w:rsid w:val="00320D78"/>
    <w:rsid w:val="0032269B"/>
    <w:rsid w:val="00350635"/>
    <w:rsid w:val="00380FE5"/>
    <w:rsid w:val="003924DD"/>
    <w:rsid w:val="00394FCB"/>
    <w:rsid w:val="003963F4"/>
    <w:rsid w:val="003B5254"/>
    <w:rsid w:val="003B75A6"/>
    <w:rsid w:val="004061CA"/>
    <w:rsid w:val="00415689"/>
    <w:rsid w:val="004440CB"/>
    <w:rsid w:val="004713D2"/>
    <w:rsid w:val="00521639"/>
    <w:rsid w:val="00523CEF"/>
    <w:rsid w:val="00532BB7"/>
    <w:rsid w:val="005332E4"/>
    <w:rsid w:val="0053550C"/>
    <w:rsid w:val="00555018"/>
    <w:rsid w:val="005723DC"/>
    <w:rsid w:val="005C0FB8"/>
    <w:rsid w:val="005F3436"/>
    <w:rsid w:val="00616013"/>
    <w:rsid w:val="006210DC"/>
    <w:rsid w:val="0064349D"/>
    <w:rsid w:val="00685549"/>
    <w:rsid w:val="00691B6D"/>
    <w:rsid w:val="006B7365"/>
    <w:rsid w:val="006C2D81"/>
    <w:rsid w:val="006C7DF8"/>
    <w:rsid w:val="006E08DF"/>
    <w:rsid w:val="006F2606"/>
    <w:rsid w:val="00700727"/>
    <w:rsid w:val="00750FC8"/>
    <w:rsid w:val="007533D0"/>
    <w:rsid w:val="00755069"/>
    <w:rsid w:val="007B0660"/>
    <w:rsid w:val="007E3868"/>
    <w:rsid w:val="00820C41"/>
    <w:rsid w:val="008276FA"/>
    <w:rsid w:val="00850256"/>
    <w:rsid w:val="00905BBB"/>
    <w:rsid w:val="009117FA"/>
    <w:rsid w:val="009241B7"/>
    <w:rsid w:val="0093686F"/>
    <w:rsid w:val="00942FD4"/>
    <w:rsid w:val="00944DA9"/>
    <w:rsid w:val="00950448"/>
    <w:rsid w:val="00951997"/>
    <w:rsid w:val="009754DD"/>
    <w:rsid w:val="00990352"/>
    <w:rsid w:val="009A06C4"/>
    <w:rsid w:val="009F2CF0"/>
    <w:rsid w:val="00A03405"/>
    <w:rsid w:val="00A1528A"/>
    <w:rsid w:val="00A33918"/>
    <w:rsid w:val="00A40B1A"/>
    <w:rsid w:val="00A7629F"/>
    <w:rsid w:val="00A774AE"/>
    <w:rsid w:val="00A87E1A"/>
    <w:rsid w:val="00AF0CEE"/>
    <w:rsid w:val="00B667AD"/>
    <w:rsid w:val="00B84C38"/>
    <w:rsid w:val="00B86C00"/>
    <w:rsid w:val="00B947F6"/>
    <w:rsid w:val="00BF16AA"/>
    <w:rsid w:val="00C054B0"/>
    <w:rsid w:val="00C335AB"/>
    <w:rsid w:val="00C354B8"/>
    <w:rsid w:val="00C52517"/>
    <w:rsid w:val="00C60921"/>
    <w:rsid w:val="00C62936"/>
    <w:rsid w:val="00C6446C"/>
    <w:rsid w:val="00C653F2"/>
    <w:rsid w:val="00C679E6"/>
    <w:rsid w:val="00C908F9"/>
    <w:rsid w:val="00CA0917"/>
    <w:rsid w:val="00CA0D60"/>
    <w:rsid w:val="00CA1099"/>
    <w:rsid w:val="00CE3830"/>
    <w:rsid w:val="00D24699"/>
    <w:rsid w:val="00D417C2"/>
    <w:rsid w:val="00D60936"/>
    <w:rsid w:val="00D709EB"/>
    <w:rsid w:val="00D74714"/>
    <w:rsid w:val="00D82F3F"/>
    <w:rsid w:val="00D921C6"/>
    <w:rsid w:val="00D958C2"/>
    <w:rsid w:val="00DF3CD1"/>
    <w:rsid w:val="00E04AB5"/>
    <w:rsid w:val="00E50EEA"/>
    <w:rsid w:val="00E52F58"/>
    <w:rsid w:val="00EC26AA"/>
    <w:rsid w:val="00EC5D3B"/>
    <w:rsid w:val="00ED7A53"/>
    <w:rsid w:val="00EE4273"/>
    <w:rsid w:val="00F02004"/>
    <w:rsid w:val="00F042CB"/>
    <w:rsid w:val="00F152CE"/>
    <w:rsid w:val="00F60A20"/>
    <w:rsid w:val="00F770B3"/>
    <w:rsid w:val="00FC0A95"/>
    <w:rsid w:val="00FC3D9C"/>
    <w:rsid w:val="00FD5AFB"/>
    <w:rsid w:val="00FF0153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FC8E032"/>
  <w15:chartTrackingRefBased/>
  <w15:docId w15:val="{6FC243AE-0E59-4A1C-92DF-3FF641E67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lnea">
    <w:name w:val="line number"/>
    <w:basedOn w:val="Fuentedeprrafopredeter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Encabezado">
    <w:name w:val="header"/>
    <w:basedOn w:val="Normal"/>
    <w:pPr>
      <w:tabs>
        <w:tab w:val="center" w:pos="4320"/>
        <w:tab w:val="right" w:pos="8640"/>
      </w:tabs>
    </w:pPr>
  </w:style>
  <w:style w:type="paragraph" w:styleId="Piedepgina">
    <w:name w:val="footer"/>
    <w:basedOn w:val="Normal"/>
    <w:pPr>
      <w:tabs>
        <w:tab w:val="center" w:pos="4320"/>
        <w:tab w:val="right" w:pos="8640"/>
      </w:tabs>
    </w:pPr>
  </w:style>
  <w:style w:type="character" w:styleId="Nmerodepgina">
    <w:name w:val="page number"/>
    <w:basedOn w:val="Fuentedeprrafopredeter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F343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F343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9B19EBE0B571047BEF7F649D7ED2C8D" ma:contentTypeVersion="5" ma:contentTypeDescription="Crear nuevo documento." ma:contentTypeScope="" ma:versionID="e0d0f2dc8b51029c3d1b894b2ca93c96">
  <xsd:schema xmlns:xsd="http://www.w3.org/2001/XMLSchema" xmlns:xs="http://www.w3.org/2001/XMLSchema" xmlns:p="http://schemas.microsoft.com/office/2006/metadata/properties" xmlns:ns2="3b1eb823-70b0-4f33-beb9-33d50ec8fe8f" xmlns:ns3="fb2cfd74-fd31-4aa6-878c-bb680d93a36f" targetNamespace="http://schemas.microsoft.com/office/2006/metadata/properties" ma:root="true" ma:fieldsID="a3020b7292d67de674ffdf04b9cc5ec5" ns2:_="" ns3:_="">
    <xsd:import namespace="3b1eb823-70b0-4f33-beb9-33d50ec8fe8f"/>
    <xsd:import namespace="fb2cfd74-fd31-4aa6-878c-bb680d93a3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Fechayho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1eb823-70b0-4f33-beb9-33d50ec8fe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Fechayhora" ma:index="12" nillable="true" ma:displayName="Fecha y hora" ma:format="DateOnly" ma:internalName="Fechayhora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2cfd74-fd31-4aa6-878c-bb680d93a36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B6F791BB-6678-4AA5-957D-8C54E55E0DF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EE70B1E-8DCD-4363-A452-B77DB8728B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b1eb823-70b0-4f33-beb9-33d50ec8fe8f"/>
    <ds:schemaRef ds:uri="fb2cfd74-fd31-4aa6-878c-bb680d93a3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871</Words>
  <Characters>4971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/>
  <LinksUpToDate>false</LinksUpToDate>
  <CharactersWithSpaces>5831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María de los Angeles Rullán Bidot</dc:creator>
  <cp:keywords/>
  <cp:lastModifiedBy>Rocío Alayón Morell</cp:lastModifiedBy>
  <cp:revision>8</cp:revision>
  <cp:lastPrinted>2023-06-14T13:55:00Z</cp:lastPrinted>
  <dcterms:created xsi:type="dcterms:W3CDTF">2026-03-09T15:02:00Z</dcterms:created>
  <dcterms:modified xsi:type="dcterms:W3CDTF">2026-04-21T20:26:00Z</dcterms:modified>
</cp:coreProperties>
</file>