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8810" w14:textId="77777777" w:rsidR="00981A6C" w:rsidRPr="0039078C" w:rsidRDefault="00981A6C" w:rsidP="00981A6C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39078C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6D5CD48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D525607" w14:textId="3EFCB9DD" w:rsidR="00981A6C" w:rsidRPr="0039078C" w:rsidRDefault="00431BE6" w:rsidP="00981A6C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Asamblea</w:t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</w:r>
      <w:r w:rsidR="00981A6C" w:rsidRPr="0039078C">
        <w:rPr>
          <w:rFonts w:ascii="Book Antiqua" w:hAnsi="Book Antiqua"/>
          <w:lang w:val="es-ES"/>
        </w:rPr>
        <w:tab/>
        <w:t xml:space="preserve">           </w:t>
      </w:r>
      <w:r w:rsidR="00C86818">
        <w:rPr>
          <w:rFonts w:ascii="Book Antiqua" w:hAnsi="Book Antiqua"/>
          <w:lang w:val="es-ES_tradnl"/>
        </w:rPr>
        <w:t>3</w:t>
      </w:r>
      <w:r w:rsidR="00C86818">
        <w:rPr>
          <w:rFonts w:ascii="Book Antiqua" w:hAnsi="Book Antiqua"/>
          <w:vertAlign w:val="superscript"/>
          <w:lang w:val="es-ES_tradnl"/>
        </w:rPr>
        <w:t>r</w:t>
      </w:r>
      <w:r w:rsidRPr="00FA777E">
        <w:rPr>
          <w:rFonts w:ascii="Book Antiqua" w:hAnsi="Book Antiqua"/>
          <w:vertAlign w:val="superscript"/>
          <w:lang w:val="es-ES_tradnl"/>
        </w:rPr>
        <w:t>a</w:t>
      </w:r>
      <w:r>
        <w:rPr>
          <w:rFonts w:ascii="Book Antiqua" w:hAnsi="Book Antiqua"/>
          <w:vertAlign w:val="superscript"/>
          <w:lang w:val="es-ES_tradnl"/>
        </w:rPr>
        <w:t>.</w:t>
      </w:r>
      <w:r w:rsidR="00981A6C" w:rsidRPr="0039078C">
        <w:rPr>
          <w:rFonts w:ascii="Book Antiqua" w:hAnsi="Book Antiqua"/>
          <w:lang w:val="es-ES"/>
        </w:rPr>
        <w:t xml:space="preserve"> Sesión</w:t>
      </w:r>
    </w:p>
    <w:p w14:paraId="7ABAFE51" w14:textId="77777777" w:rsidR="00981A6C" w:rsidRPr="0039078C" w:rsidRDefault="00981A6C" w:rsidP="00981A6C">
      <w:pPr>
        <w:ind w:firstLine="561"/>
        <w:jc w:val="both"/>
        <w:rPr>
          <w:rFonts w:ascii="Book Antiqua" w:hAnsi="Book Antiqua"/>
          <w:lang w:val="es-ES"/>
        </w:rPr>
      </w:pPr>
      <w:r w:rsidRPr="0039078C">
        <w:rPr>
          <w:rFonts w:ascii="Book Antiqua" w:hAnsi="Book Antiqua"/>
          <w:lang w:val="es-ES"/>
        </w:rPr>
        <w:t xml:space="preserve">  Legislativa</w:t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</w:r>
      <w:r w:rsidRPr="0039078C">
        <w:rPr>
          <w:rFonts w:ascii="Book Antiqua" w:hAnsi="Book Antiqua"/>
          <w:lang w:val="es-ES"/>
        </w:rPr>
        <w:tab/>
        <w:t xml:space="preserve">      Ordinaria</w:t>
      </w:r>
    </w:p>
    <w:p w14:paraId="72BB56F8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18045784" w14:textId="77777777" w:rsidR="00981A6C" w:rsidRPr="0039078C" w:rsidRDefault="00981A6C" w:rsidP="00981A6C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39078C">
        <w:rPr>
          <w:rFonts w:ascii="Book Antiqua" w:hAnsi="Book Antiqua"/>
          <w:b/>
          <w:sz w:val="36"/>
          <w:szCs w:val="36"/>
          <w:lang w:val="es-ES"/>
        </w:rPr>
        <w:t>C</w:t>
      </w:r>
      <w:r w:rsidRPr="0039078C">
        <w:rPr>
          <w:rFonts w:ascii="Book Antiqua" w:hAnsi="Book Antiqua" w:cs="MV Boli"/>
          <w:b/>
          <w:sz w:val="36"/>
          <w:szCs w:val="36"/>
          <w:lang w:val="es-ES"/>
        </w:rPr>
        <w:t>Á</w:t>
      </w:r>
      <w:r w:rsidRPr="0039078C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99E1A5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64C4E8" w14:textId="5DBD3FA6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9078C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AC04D6">
        <w:rPr>
          <w:rFonts w:ascii="Book Antiqua" w:hAnsi="Book Antiqua"/>
          <w:b/>
          <w:sz w:val="52"/>
          <w:szCs w:val="52"/>
          <w:lang w:val="es-ES_tradnl"/>
        </w:rPr>
        <w:t>1226</w:t>
      </w:r>
    </w:p>
    <w:p w14:paraId="51E2E1B4" w14:textId="77777777" w:rsidR="00981A6C" w:rsidRPr="0039078C" w:rsidRDefault="00981A6C" w:rsidP="00981A6C">
      <w:pPr>
        <w:tabs>
          <w:tab w:val="left" w:pos="6240"/>
        </w:tabs>
        <w:jc w:val="center"/>
        <w:rPr>
          <w:rFonts w:ascii="Book Antiqua" w:hAnsi="Book Antiqua"/>
          <w:lang w:val="es-ES"/>
        </w:rPr>
      </w:pPr>
    </w:p>
    <w:p w14:paraId="07F9A60A" w14:textId="2D8CB308" w:rsidR="00981A6C" w:rsidRPr="0039078C" w:rsidRDefault="00AC04D6" w:rsidP="00981A6C">
      <w:pPr>
        <w:jc w:val="center"/>
        <w:rPr>
          <w:rFonts w:ascii="Book Antiqua" w:hAnsi="Book Antiqua" w:cs="Arial"/>
          <w:caps/>
          <w:lang w:val="es-ES"/>
        </w:rPr>
      </w:pPr>
      <w:r>
        <w:rPr>
          <w:rFonts w:ascii="Book Antiqua" w:hAnsi="Book Antiqua" w:cs="Arial"/>
          <w:caps/>
          <w:lang w:val="es-ES"/>
        </w:rPr>
        <w:t xml:space="preserve">21 </w:t>
      </w:r>
      <w:r w:rsidR="00981A6C" w:rsidRPr="0039078C">
        <w:rPr>
          <w:rFonts w:ascii="Book Antiqua" w:hAnsi="Book Antiqua" w:cs="Arial"/>
          <w:caps/>
          <w:lang w:val="es-ES"/>
        </w:rPr>
        <w:t xml:space="preserve">DE </w:t>
      </w:r>
      <w:r w:rsidR="00C10FB8">
        <w:rPr>
          <w:rFonts w:ascii="Book Antiqua" w:hAnsi="Book Antiqua" w:cs="Arial"/>
          <w:caps/>
          <w:lang w:val="es-ES"/>
        </w:rPr>
        <w:t>ABRIL</w:t>
      </w:r>
      <w:r w:rsidR="00981A6C" w:rsidRPr="0039078C">
        <w:rPr>
          <w:rFonts w:ascii="Book Antiqua" w:hAnsi="Book Antiqua" w:cs="Arial"/>
          <w:caps/>
          <w:lang w:val="es-ES"/>
        </w:rPr>
        <w:t xml:space="preserve"> DE 20</w:t>
      </w:r>
      <w:r w:rsidR="00C10FB8">
        <w:rPr>
          <w:rFonts w:ascii="Book Antiqua" w:hAnsi="Book Antiqua" w:cs="Arial"/>
          <w:caps/>
          <w:lang w:val="es-ES"/>
        </w:rPr>
        <w:t>26</w:t>
      </w:r>
    </w:p>
    <w:p w14:paraId="0F63737A" w14:textId="77777777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</w:p>
    <w:p w14:paraId="7551B861" w14:textId="3F14C4E0" w:rsidR="00981A6C" w:rsidRPr="0039078C" w:rsidRDefault="00981A6C" w:rsidP="00981A6C">
      <w:pPr>
        <w:jc w:val="center"/>
        <w:rPr>
          <w:rFonts w:ascii="Book Antiqua" w:hAnsi="Book Antiqua" w:cs="Arial"/>
          <w:lang w:val="es-ES"/>
        </w:rPr>
      </w:pPr>
      <w:r w:rsidRPr="0039078C">
        <w:rPr>
          <w:rFonts w:ascii="Book Antiqua" w:hAnsi="Book Antiqua" w:cs="Arial"/>
          <w:lang w:val="es-ES"/>
        </w:rPr>
        <w:t xml:space="preserve">Presentado por </w:t>
      </w:r>
      <w:r w:rsidR="00F1285A">
        <w:rPr>
          <w:rFonts w:ascii="Book Antiqua" w:hAnsi="Book Antiqua" w:cs="Arial"/>
          <w:lang w:val="es-ES"/>
        </w:rPr>
        <w:t>el</w:t>
      </w:r>
      <w:r w:rsidRPr="0039078C">
        <w:rPr>
          <w:rFonts w:ascii="Book Antiqua" w:hAnsi="Book Antiqua" w:cs="Arial"/>
          <w:lang w:val="es-ES"/>
        </w:rPr>
        <w:t xml:space="preserve"> </w:t>
      </w:r>
      <w:r w:rsidR="00760DE4" w:rsidRPr="0039078C">
        <w:rPr>
          <w:rFonts w:ascii="Book Antiqua" w:hAnsi="Book Antiqua" w:cs="Arial"/>
          <w:lang w:val="es-ES"/>
        </w:rPr>
        <w:t>representante</w:t>
      </w:r>
      <w:r w:rsidR="00760DE4" w:rsidRPr="0039078C">
        <w:rPr>
          <w:rFonts w:ascii="Book Antiqua" w:hAnsi="Book Antiqua" w:cs="Arial"/>
          <w:i/>
          <w:lang w:val="es-ES"/>
        </w:rPr>
        <w:t xml:space="preserve"> </w:t>
      </w:r>
      <w:r w:rsidR="000D2584">
        <w:rPr>
          <w:rFonts w:ascii="Book Antiqua" w:hAnsi="Book Antiqua" w:cs="Arial"/>
          <w:i/>
          <w:lang w:val="es-ES"/>
        </w:rPr>
        <w:t>Carlo Acosta</w:t>
      </w:r>
      <w:r w:rsidR="008B3490" w:rsidRPr="0039078C">
        <w:rPr>
          <w:rFonts w:ascii="Book Antiqua" w:hAnsi="Book Antiqua" w:cs="Arial"/>
          <w:i/>
          <w:lang w:val="es-ES"/>
        </w:rPr>
        <w:t xml:space="preserve"> </w:t>
      </w:r>
    </w:p>
    <w:p w14:paraId="5B1B4FC2" w14:textId="77777777" w:rsidR="00981A6C" w:rsidRPr="0039078C" w:rsidRDefault="00981A6C" w:rsidP="00981A6C">
      <w:pPr>
        <w:jc w:val="center"/>
        <w:rPr>
          <w:rFonts w:ascii="Book Antiqua" w:hAnsi="Book Antiqua"/>
          <w:lang w:val="es-ES"/>
        </w:rPr>
      </w:pPr>
    </w:p>
    <w:p w14:paraId="41CF9C52" w14:textId="79B509D0" w:rsidR="00981A6C" w:rsidRPr="0039078C" w:rsidRDefault="00981A6C" w:rsidP="00981A6C">
      <w:pPr>
        <w:jc w:val="center"/>
        <w:rPr>
          <w:rFonts w:ascii="Book Antiqua" w:hAnsi="Book Antiqua" w:cs="CG Times"/>
          <w:lang w:val="es-ES"/>
        </w:rPr>
      </w:pPr>
      <w:r w:rsidRPr="0039078C">
        <w:rPr>
          <w:rFonts w:ascii="Book Antiqua" w:hAnsi="Book Antiqua"/>
          <w:lang w:val="es-ES"/>
        </w:rPr>
        <w:t xml:space="preserve">Referido a </w:t>
      </w:r>
      <w:r w:rsidR="00E22C13">
        <w:rPr>
          <w:rFonts w:ascii="Book Antiqua" w:hAnsi="Book Antiqua"/>
          <w:lang w:val="es-ES"/>
        </w:rPr>
        <w:t xml:space="preserve">la Comisión de </w:t>
      </w:r>
      <w:r w:rsidR="00512304">
        <w:rPr>
          <w:rFonts w:ascii="Book Antiqua" w:hAnsi="Book Antiqua"/>
          <w:lang w:val="es-ES"/>
        </w:rPr>
        <w:t>Turismo</w:t>
      </w:r>
    </w:p>
    <w:p w14:paraId="54ACBD45" w14:textId="77777777" w:rsidR="00981A6C" w:rsidRPr="0039078C" w:rsidRDefault="00981A6C" w:rsidP="00981A6C">
      <w:pPr>
        <w:jc w:val="both"/>
        <w:rPr>
          <w:rFonts w:ascii="Book Antiqua" w:hAnsi="Book Antiqua"/>
          <w:lang w:val="es-ES_tradnl"/>
        </w:rPr>
      </w:pPr>
    </w:p>
    <w:p w14:paraId="01E5E4D9" w14:textId="77777777" w:rsidR="00981A6C" w:rsidRPr="00E22C13" w:rsidRDefault="00981A6C" w:rsidP="00981A6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22C13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B891812" w14:textId="77777777" w:rsidR="00981A6C" w:rsidRPr="0039078C" w:rsidRDefault="00981A6C" w:rsidP="00981A6C">
      <w:pPr>
        <w:jc w:val="center"/>
        <w:rPr>
          <w:rFonts w:ascii="Book Antiqua" w:hAnsi="Book Antiqua"/>
          <w:lang w:val="es-PR"/>
        </w:rPr>
      </w:pPr>
    </w:p>
    <w:p w14:paraId="056D5013" w14:textId="1E71DD4F" w:rsidR="00981A6C" w:rsidRPr="00E22C13" w:rsidRDefault="00C86818" w:rsidP="00E22C13">
      <w:pPr>
        <w:pStyle w:val="Textodebloque"/>
        <w:ind w:left="720" w:right="0"/>
        <w:rPr>
          <w:rFonts w:ascii="Book Antiqua" w:hAnsi="Book Antiqua"/>
          <w:sz w:val="24"/>
          <w:lang w:val="es-ES"/>
        </w:rPr>
      </w:pPr>
      <w:r w:rsidRPr="00C86818">
        <w:rPr>
          <w:rFonts w:ascii="Book Antiqua" w:hAnsi="Book Antiqua"/>
          <w:sz w:val="24"/>
          <w:lang w:val="es-ES"/>
        </w:rPr>
        <w:t xml:space="preserve">Para enmendar la Ley Núm. 183-2014, conocida como "Ley para Designar los Sectores de </w:t>
      </w:r>
      <w:proofErr w:type="spellStart"/>
      <w:r w:rsidRPr="00C86818">
        <w:rPr>
          <w:rFonts w:ascii="Book Antiqua" w:hAnsi="Book Antiqua"/>
          <w:sz w:val="24"/>
          <w:lang w:val="es-ES"/>
        </w:rPr>
        <w:t>Joyuda</w:t>
      </w:r>
      <w:proofErr w:type="spellEnd"/>
      <w:r w:rsidRPr="00C86818">
        <w:rPr>
          <w:rFonts w:ascii="Book Antiqua" w:hAnsi="Book Antiqua"/>
          <w:sz w:val="24"/>
          <w:lang w:val="es-ES"/>
        </w:rPr>
        <w:t xml:space="preserve"> y Punta Arenas del Municipio de Cabo Rojo como 'Zona de Turismo Gastronómico'", a los fines de </w:t>
      </w:r>
      <w:r>
        <w:rPr>
          <w:rFonts w:ascii="Book Antiqua" w:hAnsi="Book Antiqua"/>
          <w:sz w:val="24"/>
          <w:lang w:val="es-ES"/>
        </w:rPr>
        <w:t xml:space="preserve">crear el Comité </w:t>
      </w:r>
      <w:proofErr w:type="spellStart"/>
      <w:r>
        <w:rPr>
          <w:rFonts w:ascii="Book Antiqua" w:hAnsi="Book Antiqua"/>
          <w:sz w:val="24"/>
          <w:lang w:val="es-ES"/>
        </w:rPr>
        <w:t>Inteagencial</w:t>
      </w:r>
      <w:proofErr w:type="spellEnd"/>
      <w:r>
        <w:rPr>
          <w:rFonts w:ascii="Book Antiqua" w:hAnsi="Book Antiqua"/>
          <w:sz w:val="24"/>
          <w:lang w:val="es-ES"/>
        </w:rPr>
        <w:t xml:space="preserve"> de Implementación</w:t>
      </w:r>
      <w:r w:rsidRPr="00C86818">
        <w:rPr>
          <w:rFonts w:ascii="Book Antiqua" w:hAnsi="Book Antiqua"/>
          <w:sz w:val="24"/>
          <w:lang w:val="es-ES"/>
        </w:rPr>
        <w:t xml:space="preserve">; disponer mecanismos obligatorios de coordinación </w:t>
      </w:r>
      <w:proofErr w:type="spellStart"/>
      <w:r w:rsidRPr="00C86818">
        <w:rPr>
          <w:rFonts w:ascii="Book Antiqua" w:hAnsi="Book Antiqua"/>
          <w:sz w:val="24"/>
          <w:lang w:val="es-ES"/>
        </w:rPr>
        <w:t>interagencial</w:t>
      </w:r>
      <w:proofErr w:type="spellEnd"/>
      <w:r w:rsidRPr="00C86818">
        <w:rPr>
          <w:rFonts w:ascii="Book Antiqua" w:hAnsi="Book Antiqua"/>
          <w:sz w:val="24"/>
          <w:lang w:val="es-ES"/>
        </w:rPr>
        <w:t>, planificación, ejecución, cumplimiento y rendición de cuentas; ordenar la presentación de informes; y para otros fines relacionados.</w:t>
      </w:r>
    </w:p>
    <w:p w14:paraId="63D4D946" w14:textId="77777777" w:rsidR="00981A6C" w:rsidRPr="00E22C13" w:rsidRDefault="00981A6C" w:rsidP="00D7743D">
      <w:pPr>
        <w:pStyle w:val="Ttulo1"/>
        <w:jc w:val="center"/>
        <w:rPr>
          <w:rFonts w:ascii="Book Antiqua" w:hAnsi="Book Antiqua"/>
          <w:caps/>
          <w:color w:val="auto"/>
          <w:sz w:val="24"/>
          <w:lang w:val="es-PR"/>
        </w:rPr>
      </w:pPr>
      <w:r w:rsidRPr="00E22C13">
        <w:rPr>
          <w:rFonts w:ascii="Book Antiqua" w:hAnsi="Book Antiqua"/>
          <w:caps/>
          <w:color w:val="auto"/>
          <w:sz w:val="24"/>
          <w:lang w:val="es-PR"/>
        </w:rPr>
        <w:t>Exposición de Motivos</w:t>
      </w:r>
    </w:p>
    <w:p w14:paraId="77A0358F" w14:textId="77777777" w:rsidR="00981A6C" w:rsidRPr="0039078C" w:rsidRDefault="00981A6C" w:rsidP="00981A6C">
      <w:pPr>
        <w:jc w:val="center"/>
        <w:rPr>
          <w:rFonts w:ascii="Book Antiqua" w:hAnsi="Book Antiqua"/>
          <w:caps/>
          <w:lang w:val="es-PR"/>
        </w:rPr>
      </w:pPr>
    </w:p>
    <w:p w14:paraId="458BD67A" w14:textId="12A62E66" w:rsidR="00C86818" w:rsidRPr="00C86818" w:rsidRDefault="005D05FD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="00C86818" w:rsidRPr="00C86818">
        <w:rPr>
          <w:rFonts w:ascii="Book Antiqua" w:hAnsi="Book Antiqua" w:cs="Arial"/>
          <w:color w:val="000000"/>
          <w:lang w:val="es-ES"/>
        </w:rPr>
        <w:t>La Ley Núm. 183</w:t>
      </w:r>
      <w:r w:rsidR="00C86818" w:rsidRPr="00C86818">
        <w:rPr>
          <w:rFonts w:ascii="Cambria Math" w:hAnsi="Cambria Math" w:cs="Cambria Math"/>
          <w:color w:val="000000"/>
          <w:lang w:val="es-ES"/>
        </w:rPr>
        <w:t>‑</w:t>
      </w:r>
      <w:r w:rsidR="00C86818" w:rsidRPr="00C86818">
        <w:rPr>
          <w:rFonts w:ascii="Book Antiqua" w:hAnsi="Book Antiqua" w:cs="Arial"/>
          <w:color w:val="000000"/>
          <w:lang w:val="es-ES"/>
        </w:rPr>
        <w:t xml:space="preserve">2014 declaró como "Zona de Turismo Gastronómico" los sectores de </w:t>
      </w:r>
      <w:proofErr w:type="spellStart"/>
      <w:r w:rsidR="00C86818" w:rsidRPr="00C86818">
        <w:rPr>
          <w:rFonts w:ascii="Book Antiqua" w:hAnsi="Book Antiqua" w:cs="Arial"/>
          <w:color w:val="000000"/>
          <w:lang w:val="es-ES"/>
        </w:rPr>
        <w:t>Joyuda</w:t>
      </w:r>
      <w:proofErr w:type="spellEnd"/>
      <w:r w:rsidR="00C86818" w:rsidRPr="00C86818">
        <w:rPr>
          <w:rFonts w:ascii="Book Antiqua" w:hAnsi="Book Antiqua" w:cs="Arial"/>
          <w:color w:val="000000"/>
          <w:lang w:val="es-ES"/>
        </w:rPr>
        <w:t xml:space="preserve"> y Punta Arenas del Municipio Autónomo de Cabo Rojo</w:t>
      </w:r>
      <w:r w:rsidR="001318A0">
        <w:rPr>
          <w:rFonts w:ascii="Book Antiqua" w:hAnsi="Book Antiqua" w:cs="Arial"/>
          <w:color w:val="000000"/>
          <w:lang w:val="es-ES"/>
        </w:rPr>
        <w:t xml:space="preserve">, históricamente conocida como “La Milla de Oro del Buen Comer”. </w:t>
      </w:r>
      <w:r w:rsidR="00C86818" w:rsidRPr="00C86818">
        <w:rPr>
          <w:rFonts w:ascii="Book Antiqua" w:hAnsi="Book Antiqua" w:cs="Arial"/>
          <w:color w:val="000000"/>
          <w:lang w:val="es-ES"/>
        </w:rPr>
        <w:t>Mediante dicha Ley se ordenó a la Compañía de Turismo de Puerto Rico integrar esta Zona en su plan de trabajo, atemperar sus publicaciones, preparar un plan integrado de desarrollo, promoción y adiestramientos a los comerciantes del área, orientar sobre incentivos disponibles y adoptar la reglamentación necesaria dentro de un término de noventa (90) días.</w:t>
      </w:r>
    </w:p>
    <w:p w14:paraId="20AFDF1D" w14:textId="77777777" w:rsidR="00C86818" w:rsidRPr="00C86818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160F1861" w14:textId="67F079D7" w:rsidR="00C86818" w:rsidRPr="00C86818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Pr="00C86818">
        <w:rPr>
          <w:rFonts w:ascii="Book Antiqua" w:hAnsi="Book Antiqua" w:cs="Arial"/>
          <w:color w:val="000000"/>
          <w:lang w:val="es-ES"/>
        </w:rPr>
        <w:t>No obstante, a más de nueve años de aprobada la Ley, la ejecución de estos mandatos ha sido parcial, fragmentada o inexistente. La falta de acción coordinada, la ausencia de planificación estructurada y la carencia de mecanismos obligatorios de cumplimiento y rendición de cuentas han provocado que esta política pública permanezca, en gran medida, como una declaración programática sin resultados tangibles para la Zona de Turismo Gastronómico.</w:t>
      </w:r>
    </w:p>
    <w:p w14:paraId="5C270798" w14:textId="77777777" w:rsidR="00C86818" w:rsidRPr="00C86818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605B418F" w14:textId="0F7F19FB" w:rsidR="00C86818" w:rsidRPr="00C86818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lastRenderedPageBreak/>
        <w:tab/>
      </w:r>
      <w:r w:rsidRPr="00C86818">
        <w:rPr>
          <w:rFonts w:ascii="Book Antiqua" w:hAnsi="Book Antiqua" w:cs="Arial"/>
          <w:color w:val="000000"/>
          <w:lang w:val="es-ES"/>
        </w:rPr>
        <w:t xml:space="preserve">La Asamblea Legislativa tiene el deber de asegurar que las políticas públicas adoptadas se traduzcan en acciones concretas, medibles y fiscalizables, particularmente cuando se trata de activos económicos de alto valor para Puerto Rico y sus comunidades. Resulta indispensable establecer un andamiaje </w:t>
      </w:r>
      <w:proofErr w:type="spellStart"/>
      <w:r w:rsidRPr="00C86818">
        <w:rPr>
          <w:rFonts w:ascii="Book Antiqua" w:hAnsi="Book Antiqua" w:cs="Arial"/>
          <w:color w:val="000000"/>
          <w:lang w:val="es-ES"/>
        </w:rPr>
        <w:t>interagencial</w:t>
      </w:r>
      <w:proofErr w:type="spellEnd"/>
      <w:r w:rsidRPr="00C86818">
        <w:rPr>
          <w:rFonts w:ascii="Book Antiqua" w:hAnsi="Book Antiqua" w:cs="Arial"/>
          <w:color w:val="000000"/>
          <w:lang w:val="es-ES"/>
        </w:rPr>
        <w:t xml:space="preserve"> de implementación, planificación, evaluación y transparencia pública que permita activar y sostener, con los recursos existentes del Gobierno, el potencial de la Zona de Turismo Gastronómico en </w:t>
      </w:r>
      <w:proofErr w:type="spellStart"/>
      <w:r w:rsidRPr="00C86818">
        <w:rPr>
          <w:rFonts w:ascii="Book Antiqua" w:hAnsi="Book Antiqua" w:cs="Arial"/>
          <w:color w:val="000000"/>
          <w:lang w:val="es-ES"/>
        </w:rPr>
        <w:t>Joyuda</w:t>
      </w:r>
      <w:proofErr w:type="spellEnd"/>
      <w:r w:rsidRPr="00C86818">
        <w:rPr>
          <w:rFonts w:ascii="Book Antiqua" w:hAnsi="Book Antiqua" w:cs="Arial"/>
          <w:color w:val="000000"/>
          <w:lang w:val="es-ES"/>
        </w:rPr>
        <w:t xml:space="preserve"> y Punta Arenas.</w:t>
      </w:r>
    </w:p>
    <w:p w14:paraId="27EF0802" w14:textId="77777777" w:rsidR="00C86818" w:rsidRPr="00C86818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</w:p>
    <w:p w14:paraId="46EACFC9" w14:textId="7D88B703" w:rsidR="001318A0" w:rsidRPr="000F7171" w:rsidRDefault="00C86818" w:rsidP="00C8681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lang w:val="es-ES"/>
        </w:rPr>
      </w:pPr>
      <w:r>
        <w:rPr>
          <w:rFonts w:ascii="Book Antiqua" w:hAnsi="Book Antiqua" w:cs="Arial"/>
          <w:color w:val="000000"/>
          <w:lang w:val="es-ES"/>
        </w:rPr>
        <w:tab/>
      </w:r>
      <w:r w:rsidRPr="00C86818">
        <w:rPr>
          <w:rFonts w:ascii="Book Antiqua" w:hAnsi="Book Antiqua" w:cs="Arial"/>
          <w:color w:val="000000"/>
          <w:lang w:val="es-ES"/>
        </w:rPr>
        <w:t xml:space="preserve">Mediante esta Ley se crean mecanismos obligatorios de coordinación </w:t>
      </w:r>
      <w:proofErr w:type="spellStart"/>
      <w:r w:rsidRPr="00C86818">
        <w:rPr>
          <w:rFonts w:ascii="Book Antiqua" w:hAnsi="Book Antiqua" w:cs="Arial"/>
          <w:color w:val="000000"/>
          <w:lang w:val="es-ES"/>
        </w:rPr>
        <w:t>interagencial</w:t>
      </w:r>
      <w:proofErr w:type="spellEnd"/>
      <w:r w:rsidR="00C10FB8">
        <w:rPr>
          <w:rFonts w:ascii="Book Antiqua" w:hAnsi="Book Antiqua" w:cs="Arial"/>
          <w:color w:val="000000"/>
          <w:lang w:val="es-ES"/>
        </w:rPr>
        <w:t xml:space="preserve"> entre las entidades públicas y privadas con competencia e injerencia en este asunto</w:t>
      </w:r>
      <w:r w:rsidRPr="00C86818">
        <w:rPr>
          <w:rFonts w:ascii="Book Antiqua" w:hAnsi="Book Antiqua" w:cs="Arial"/>
          <w:color w:val="000000"/>
          <w:lang w:val="es-ES"/>
        </w:rPr>
        <w:t>, se requiere la adopción de un plan estratégico vinculante, se ordena la presentación de informes periódicos a la Asamblea Legislativa y se dispone sobre la transparencia y responsabilidad administrativa</w:t>
      </w:r>
      <w:r w:rsidR="00C10FB8">
        <w:rPr>
          <w:rFonts w:ascii="Book Antiqua" w:hAnsi="Book Antiqua" w:cs="Arial"/>
          <w:color w:val="000000"/>
          <w:lang w:val="es-ES"/>
        </w:rPr>
        <w:t>.</w:t>
      </w:r>
    </w:p>
    <w:p w14:paraId="5980A97F" w14:textId="41DB06D2" w:rsidR="00106947" w:rsidRPr="00AC04D6" w:rsidRDefault="00106947" w:rsidP="000F717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1"/>
          <w:szCs w:val="21"/>
          <w:lang w:val="es-ES"/>
        </w:rPr>
      </w:pPr>
    </w:p>
    <w:p w14:paraId="4F992293" w14:textId="563B4D0E" w:rsidR="00981A6C" w:rsidRPr="00E22C13" w:rsidRDefault="00981A6C" w:rsidP="00E22C13">
      <w:pPr>
        <w:jc w:val="both"/>
        <w:rPr>
          <w:rFonts w:ascii="Book Antiqua" w:hAnsi="Book Antiqua"/>
          <w:i/>
          <w:lang w:val="es-PR"/>
        </w:rPr>
      </w:pPr>
      <w:r w:rsidRPr="00E22C13">
        <w:rPr>
          <w:rFonts w:ascii="Book Antiqua" w:hAnsi="Book Antiqua"/>
          <w:i/>
          <w:lang w:val="es-PR"/>
        </w:rPr>
        <w:t>DECRÉTASE POR LA ASAMBLEA LEGISLATIVA DE PUERTO RICO:</w:t>
      </w:r>
    </w:p>
    <w:p w14:paraId="6BE86750" w14:textId="77777777" w:rsidR="00E22C13" w:rsidRDefault="00E22C13" w:rsidP="00E22C13">
      <w:pPr>
        <w:jc w:val="both"/>
        <w:rPr>
          <w:rFonts w:ascii="Book Antiqua" w:hAnsi="Book Antiqua"/>
          <w:lang w:val="es-PR"/>
        </w:rPr>
      </w:pPr>
    </w:p>
    <w:p w14:paraId="40D0420F" w14:textId="77777777" w:rsidR="00E22C13" w:rsidRPr="0039078C" w:rsidRDefault="00E22C13" w:rsidP="00E22C13">
      <w:pPr>
        <w:jc w:val="both"/>
        <w:rPr>
          <w:rFonts w:ascii="Book Antiqua" w:hAnsi="Book Antiqua"/>
          <w:lang w:val="es-PR"/>
        </w:rPr>
        <w:sectPr w:rsidR="00E22C13" w:rsidRPr="0039078C" w:rsidSect="00981A6C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2C1EA57" w14:textId="018FA0F2" w:rsidR="001318A0" w:rsidRDefault="00981A6C" w:rsidP="00E22C13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1.-</w:t>
      </w:r>
      <w:r w:rsidR="00A80B42">
        <w:rPr>
          <w:rFonts w:ascii="Book Antiqua" w:hAnsi="Book Antiqua"/>
          <w:lang w:val="es-PR"/>
        </w:rPr>
        <w:t xml:space="preserve"> </w:t>
      </w:r>
      <w:r w:rsidR="001318A0">
        <w:rPr>
          <w:rFonts w:ascii="Book Antiqua" w:hAnsi="Book Antiqua"/>
          <w:lang w:val="es-PR"/>
        </w:rPr>
        <w:t>Se enmienda el Artículo 1 de la Ley 183-2014, para que lea como sigue:</w:t>
      </w:r>
    </w:p>
    <w:p w14:paraId="4E9DE461" w14:textId="5D6D430E" w:rsidR="001318A0" w:rsidRDefault="001318A0" w:rsidP="00E22C13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“</w:t>
      </w:r>
      <w:r w:rsidRPr="00FF400C">
        <w:rPr>
          <w:rFonts w:ascii="Book Antiqua" w:hAnsi="Book Antiqua"/>
          <w:b/>
          <w:bCs/>
          <w:lang w:val="es-PR"/>
        </w:rPr>
        <w:t>Artículo 1.</w:t>
      </w:r>
      <w:r w:rsidR="00FF400C">
        <w:rPr>
          <w:rFonts w:ascii="Book Antiqua" w:hAnsi="Book Antiqua"/>
          <w:b/>
          <w:bCs/>
          <w:lang w:val="es-PR"/>
        </w:rPr>
        <w:t>–</w:t>
      </w:r>
    </w:p>
    <w:p w14:paraId="5A93DA5F" w14:textId="54951591" w:rsidR="001318A0" w:rsidRPr="00FF400C" w:rsidRDefault="001318A0" w:rsidP="00E22C13">
      <w:p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PR"/>
        </w:rPr>
        <w:tab/>
        <w:t xml:space="preserve">Se declara </w:t>
      </w:r>
      <w:r w:rsidRPr="00FF400C">
        <w:rPr>
          <w:rFonts w:ascii="Book Antiqua" w:hAnsi="Book Antiqua"/>
          <w:lang w:val="es-PR"/>
        </w:rPr>
        <w:t>“Zona de Turismo Gastronómico”</w:t>
      </w:r>
      <w:r w:rsidR="00FF400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los sectores de Joyuda y Punta Arena del Municipio Autónomo de Cabo Rojo.</w:t>
      </w:r>
      <w:r w:rsidR="00FF400C">
        <w:rPr>
          <w:rFonts w:ascii="Book Antiqua" w:hAnsi="Book Antiqua"/>
          <w:lang w:val="es-PR"/>
        </w:rPr>
        <w:t xml:space="preserve"> </w:t>
      </w:r>
      <w:r w:rsidR="00FF400C" w:rsidRPr="00FF400C">
        <w:rPr>
          <w:rFonts w:ascii="Book Antiqua" w:hAnsi="Book Antiqua"/>
          <w:i/>
          <w:iCs/>
          <w:lang w:val="es-PR"/>
        </w:rPr>
        <w:t>Dicha zona se conocerá como “La Milla de Oro del Buen Comer”, denominación que se utilizará para todos los fines de mercadeo, promoción y publicidad, en conformidad con los propósitos y la política pública establecidos en esta Ley.</w:t>
      </w:r>
    </w:p>
    <w:p w14:paraId="10831F6E" w14:textId="236305F2" w:rsidR="00981A6C" w:rsidRPr="0039078C" w:rsidRDefault="001318A0" w:rsidP="00E22C1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Artículo 2.– </w:t>
      </w:r>
      <w:r w:rsidR="00981A6C" w:rsidRPr="0039078C">
        <w:rPr>
          <w:rFonts w:ascii="Book Antiqua" w:hAnsi="Book Antiqua"/>
          <w:lang w:val="es-PR"/>
        </w:rPr>
        <w:t xml:space="preserve">Se </w:t>
      </w:r>
      <w:r w:rsidR="00C86818">
        <w:rPr>
          <w:rFonts w:ascii="Book Antiqua" w:hAnsi="Book Antiqua"/>
          <w:lang w:val="es-PR"/>
        </w:rPr>
        <w:t xml:space="preserve">añade </w:t>
      </w:r>
      <w:proofErr w:type="gramStart"/>
      <w:r w:rsidR="00C86818">
        <w:rPr>
          <w:rFonts w:ascii="Book Antiqua" w:hAnsi="Book Antiqua"/>
          <w:lang w:val="es-PR"/>
        </w:rPr>
        <w:t>un  nuevo</w:t>
      </w:r>
      <w:proofErr w:type="gramEnd"/>
      <w:r w:rsidR="00981A6C" w:rsidRPr="0039078C">
        <w:rPr>
          <w:rFonts w:ascii="Book Antiqua" w:hAnsi="Book Antiqua"/>
          <w:lang w:val="es-PR"/>
        </w:rPr>
        <w:t xml:space="preserve"> </w:t>
      </w:r>
      <w:r w:rsidR="00C86818">
        <w:rPr>
          <w:rFonts w:ascii="Book Antiqua" w:hAnsi="Book Antiqua"/>
          <w:lang w:val="es-PR"/>
        </w:rPr>
        <w:t>Artículo 5</w:t>
      </w:r>
      <w:r w:rsidR="000F7171" w:rsidRPr="00AC04D6">
        <w:rPr>
          <w:rFonts w:ascii="Book Antiqua" w:hAnsi="Book Antiqua"/>
          <w:lang w:val="es-ES"/>
        </w:rPr>
        <w:t xml:space="preserve"> de la Ley </w:t>
      </w:r>
      <w:r w:rsidR="00C86818" w:rsidRPr="00AC04D6">
        <w:rPr>
          <w:rFonts w:ascii="Book Antiqua" w:hAnsi="Book Antiqua"/>
          <w:lang w:val="es-ES"/>
        </w:rPr>
        <w:t>183</w:t>
      </w:r>
      <w:r w:rsidR="000F7171" w:rsidRPr="00AC04D6">
        <w:rPr>
          <w:rFonts w:ascii="Book Antiqua" w:hAnsi="Book Antiqua"/>
          <w:lang w:val="es-ES"/>
        </w:rPr>
        <w:t>-</w:t>
      </w:r>
      <w:r w:rsidR="00C86818" w:rsidRPr="00AC04D6">
        <w:rPr>
          <w:rFonts w:ascii="Book Antiqua" w:hAnsi="Book Antiqua"/>
          <w:lang w:val="es-ES"/>
        </w:rPr>
        <w:t>2014</w:t>
      </w:r>
      <w:r w:rsidR="000F7171" w:rsidRPr="00AC04D6">
        <w:rPr>
          <w:rFonts w:ascii="Book Antiqua" w:hAnsi="Book Antiqua"/>
          <w:lang w:val="es-ES"/>
        </w:rPr>
        <w:t>,</w:t>
      </w:r>
      <w:r w:rsidR="001D35AA">
        <w:rPr>
          <w:rFonts w:ascii="Book Antiqua" w:hAnsi="Book Antiqua"/>
          <w:lang w:val="es-PR"/>
        </w:rPr>
        <w:t xml:space="preserve"> </w:t>
      </w:r>
      <w:r w:rsidR="00C86818" w:rsidRPr="00C86818">
        <w:rPr>
          <w:rFonts w:ascii="Book Antiqua" w:hAnsi="Book Antiqua"/>
          <w:lang w:val="es-PR"/>
        </w:rPr>
        <w:t xml:space="preserve">y se renumeran los </w:t>
      </w:r>
      <w:proofErr w:type="spellStart"/>
      <w:r w:rsidR="00C86818" w:rsidRPr="00C86818">
        <w:rPr>
          <w:rFonts w:ascii="Book Antiqua" w:hAnsi="Book Antiqua"/>
          <w:lang w:val="es-PR"/>
        </w:rPr>
        <w:t>actales</w:t>
      </w:r>
      <w:proofErr w:type="spellEnd"/>
      <w:r w:rsidR="00C86818" w:rsidRPr="00C86818">
        <w:rPr>
          <w:rFonts w:ascii="Book Antiqua" w:hAnsi="Book Antiqua"/>
          <w:lang w:val="es-PR"/>
        </w:rPr>
        <w:t xml:space="preserve"> artículos 5 y 6 como artículos </w:t>
      </w:r>
      <w:r w:rsidR="00C86818">
        <w:rPr>
          <w:rFonts w:ascii="Book Antiqua" w:hAnsi="Book Antiqua"/>
          <w:lang w:val="es-PR"/>
        </w:rPr>
        <w:t xml:space="preserve">7 y 8, </w:t>
      </w:r>
      <w:r w:rsidR="001D35AA">
        <w:rPr>
          <w:rFonts w:ascii="Book Antiqua" w:hAnsi="Book Antiqua"/>
          <w:lang w:val="es-PR"/>
        </w:rPr>
        <w:t xml:space="preserve">para que lea como sigue: </w:t>
      </w:r>
      <w:r w:rsidR="00C62677">
        <w:rPr>
          <w:rFonts w:ascii="Book Antiqua" w:hAnsi="Book Antiqua"/>
          <w:lang w:val="es-PR"/>
        </w:rPr>
        <w:t xml:space="preserve"> </w:t>
      </w:r>
    </w:p>
    <w:p w14:paraId="11597A9B" w14:textId="49C35A8C" w:rsidR="00981A6C" w:rsidRPr="0039078C" w:rsidRDefault="00981A6C" w:rsidP="00E22C13">
      <w:pPr>
        <w:tabs>
          <w:tab w:val="left" w:pos="720"/>
        </w:tabs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  <w:t>“</w:t>
      </w:r>
      <w:r w:rsidR="00C86818">
        <w:rPr>
          <w:rFonts w:ascii="Book Antiqua" w:hAnsi="Book Antiqua"/>
          <w:b/>
          <w:bCs/>
          <w:lang w:val="es-PR"/>
        </w:rPr>
        <w:t>Artículo 5</w:t>
      </w:r>
      <w:r w:rsidR="000F7171">
        <w:rPr>
          <w:rFonts w:ascii="Book Antiqua" w:hAnsi="Book Antiqua"/>
          <w:b/>
          <w:bCs/>
          <w:lang w:val="es-PR"/>
        </w:rPr>
        <w:t>.</w:t>
      </w:r>
      <w:r w:rsidR="00C86818">
        <w:rPr>
          <w:rFonts w:ascii="Book Antiqua" w:hAnsi="Book Antiqua"/>
          <w:b/>
          <w:bCs/>
          <w:lang w:val="es-PR"/>
        </w:rPr>
        <w:t>– Comité Interagencial de Implementación</w:t>
      </w:r>
    </w:p>
    <w:p w14:paraId="461020D1" w14:textId="17B7CF4F" w:rsid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 xml:space="preserve">Se crea un Comité </w:t>
      </w:r>
      <w:proofErr w:type="spellStart"/>
      <w:r w:rsidRPr="00C86818">
        <w:rPr>
          <w:rFonts w:ascii="Book Antiqua" w:hAnsi="Book Antiqua"/>
          <w:lang w:val="es-ES"/>
        </w:rPr>
        <w:t>Interagencial</w:t>
      </w:r>
      <w:proofErr w:type="spellEnd"/>
      <w:r w:rsidRPr="00C86818">
        <w:rPr>
          <w:rFonts w:ascii="Book Antiqua" w:hAnsi="Book Antiqua"/>
          <w:lang w:val="es-ES"/>
        </w:rPr>
        <w:t xml:space="preserve"> de Implementación de la Zona de Turismo Gastronómico de </w:t>
      </w:r>
      <w:proofErr w:type="spellStart"/>
      <w:r w:rsidRPr="00C86818">
        <w:rPr>
          <w:rFonts w:ascii="Book Antiqua" w:hAnsi="Book Antiqua"/>
          <w:lang w:val="es-ES"/>
        </w:rPr>
        <w:t>Joyuda</w:t>
      </w:r>
      <w:proofErr w:type="spellEnd"/>
      <w:r w:rsidRPr="00C86818">
        <w:rPr>
          <w:rFonts w:ascii="Book Antiqua" w:hAnsi="Book Antiqua"/>
          <w:lang w:val="es-ES"/>
        </w:rPr>
        <w:t xml:space="preserve"> y Punta Arenas</w:t>
      </w:r>
      <w:r>
        <w:rPr>
          <w:rFonts w:ascii="Book Antiqua" w:hAnsi="Book Antiqua"/>
          <w:lang w:val="es-ES"/>
        </w:rPr>
        <w:t xml:space="preserve"> para llevar a cabo los propósitos de esta Ley </w:t>
      </w:r>
      <w:r w:rsidR="00C10FB8">
        <w:rPr>
          <w:rFonts w:ascii="Book Antiqua" w:hAnsi="Book Antiqua"/>
          <w:lang w:val="es-ES"/>
        </w:rPr>
        <w:t>de acuerdo con</w:t>
      </w:r>
      <w:r>
        <w:rPr>
          <w:rFonts w:ascii="Book Antiqua" w:hAnsi="Book Antiqua"/>
          <w:lang w:val="es-ES"/>
        </w:rPr>
        <w:t xml:space="preserve"> la competencia y jurisdicción de las entidades gubernamentales concernidas. </w:t>
      </w:r>
      <w:r w:rsidRPr="00C86818">
        <w:rPr>
          <w:rFonts w:ascii="Book Antiqua" w:hAnsi="Book Antiqua"/>
          <w:lang w:val="es-ES"/>
        </w:rPr>
        <w:t>El Comité estará integrado</w:t>
      </w:r>
      <w:r>
        <w:rPr>
          <w:rFonts w:ascii="Book Antiqua" w:hAnsi="Book Antiqua"/>
          <w:lang w:val="es-ES"/>
        </w:rPr>
        <w:t xml:space="preserve"> </w:t>
      </w:r>
      <w:r w:rsidRPr="00C86818">
        <w:rPr>
          <w:rFonts w:ascii="Book Antiqua" w:hAnsi="Book Antiqua"/>
          <w:lang w:val="es-ES"/>
        </w:rPr>
        <w:t>por:</w:t>
      </w:r>
      <w:r>
        <w:rPr>
          <w:rFonts w:ascii="Book Antiqua" w:hAnsi="Book Antiqua"/>
          <w:lang w:val="es-ES"/>
        </w:rPr>
        <w:t xml:space="preserve"> (a) el Director Ejecutivo de </w:t>
      </w:r>
      <w:r w:rsidRPr="00C86818">
        <w:rPr>
          <w:rFonts w:ascii="Book Antiqua" w:hAnsi="Book Antiqua"/>
          <w:lang w:val="es-ES"/>
        </w:rPr>
        <w:t>la Compañía de Turismo de Puerto Rico</w:t>
      </w:r>
      <w:r>
        <w:rPr>
          <w:rFonts w:ascii="Book Antiqua" w:hAnsi="Book Antiqua"/>
          <w:lang w:val="es-ES"/>
        </w:rPr>
        <w:t xml:space="preserve"> o su representante </w:t>
      </w:r>
      <w:r>
        <w:rPr>
          <w:rFonts w:ascii="Book Antiqua" w:hAnsi="Book Antiqua"/>
          <w:lang w:val="es-ES"/>
        </w:rPr>
        <w:lastRenderedPageBreak/>
        <w:t xml:space="preserve">autorizado; (b) </w:t>
      </w:r>
      <w:r w:rsidRPr="00C86818">
        <w:rPr>
          <w:rFonts w:ascii="Book Antiqua" w:hAnsi="Book Antiqua"/>
          <w:lang w:val="es-ES"/>
        </w:rPr>
        <w:t>el</w:t>
      </w:r>
      <w:r>
        <w:rPr>
          <w:rFonts w:ascii="Book Antiqua" w:hAnsi="Book Antiqua"/>
          <w:lang w:val="es-ES"/>
        </w:rPr>
        <w:t xml:space="preserve"> Secretario del</w:t>
      </w:r>
      <w:r w:rsidRPr="00C86818">
        <w:rPr>
          <w:rFonts w:ascii="Book Antiqua" w:hAnsi="Book Antiqua"/>
          <w:lang w:val="es-ES"/>
        </w:rPr>
        <w:t xml:space="preserve"> Departamento de Desarrollo Económico y Comercio</w:t>
      </w:r>
      <w:r>
        <w:rPr>
          <w:rFonts w:ascii="Book Antiqua" w:hAnsi="Book Antiqua"/>
          <w:lang w:val="es-ES"/>
        </w:rPr>
        <w:t xml:space="preserve"> o su representante autorizado</w:t>
      </w:r>
      <w:r w:rsidRPr="00C86818">
        <w:rPr>
          <w:rFonts w:ascii="Book Antiqua" w:hAnsi="Book Antiqua"/>
          <w:lang w:val="es-ES"/>
        </w:rPr>
        <w:t>;</w:t>
      </w:r>
      <w:r>
        <w:rPr>
          <w:rFonts w:ascii="Book Antiqua" w:hAnsi="Book Antiqua"/>
          <w:lang w:val="es-ES"/>
        </w:rPr>
        <w:t xml:space="preserve"> (c) </w:t>
      </w:r>
      <w:r w:rsidRPr="00C86818">
        <w:rPr>
          <w:rFonts w:ascii="Book Antiqua" w:hAnsi="Book Antiqua"/>
          <w:lang w:val="es-ES"/>
        </w:rPr>
        <w:t>el</w:t>
      </w:r>
      <w:r>
        <w:rPr>
          <w:rFonts w:ascii="Book Antiqua" w:hAnsi="Book Antiqua"/>
          <w:lang w:val="es-ES"/>
        </w:rPr>
        <w:t xml:space="preserve"> Secretario del</w:t>
      </w:r>
      <w:r w:rsidRPr="00C86818">
        <w:rPr>
          <w:rFonts w:ascii="Book Antiqua" w:hAnsi="Book Antiqua"/>
          <w:lang w:val="es-ES"/>
        </w:rPr>
        <w:t xml:space="preserve"> Departamento de Transportación y Obras Públicas</w:t>
      </w:r>
      <w:r>
        <w:rPr>
          <w:rFonts w:ascii="Book Antiqua" w:hAnsi="Book Antiqua"/>
          <w:lang w:val="es-ES"/>
        </w:rPr>
        <w:t xml:space="preserve"> o su representante autorizado</w:t>
      </w:r>
      <w:r w:rsidRPr="00C86818">
        <w:rPr>
          <w:rFonts w:ascii="Book Antiqua" w:hAnsi="Book Antiqua"/>
          <w:lang w:val="es-ES"/>
        </w:rPr>
        <w:t>;</w:t>
      </w:r>
      <w:r>
        <w:rPr>
          <w:rFonts w:ascii="Book Antiqua" w:hAnsi="Book Antiqua"/>
          <w:lang w:val="es-ES"/>
        </w:rPr>
        <w:t xml:space="preserve"> (d)</w:t>
      </w:r>
      <w:r w:rsidRPr="00C86818">
        <w:rPr>
          <w:rFonts w:ascii="Book Antiqua" w:hAnsi="Book Antiqua"/>
          <w:lang w:val="es-ES"/>
        </w:rPr>
        <w:t xml:space="preserve"> un representante de la administración municipal de Cabo Rojo</w:t>
      </w:r>
      <w:r>
        <w:rPr>
          <w:rFonts w:ascii="Book Antiqua" w:hAnsi="Book Antiqua"/>
          <w:lang w:val="es-ES"/>
        </w:rPr>
        <w:t xml:space="preserve">; </w:t>
      </w:r>
      <w:r w:rsidRPr="00AC04D6">
        <w:rPr>
          <w:rFonts w:ascii="Book Antiqua" w:hAnsi="Book Antiqua"/>
          <w:lang w:val="es-ES"/>
        </w:rPr>
        <w:t>y un (1</w:t>
      </w:r>
      <w:r w:rsidRPr="00C86818">
        <w:rPr>
          <w:rFonts w:ascii="Book Antiqua" w:hAnsi="Book Antiqua"/>
          <w:lang w:val="es-ES"/>
        </w:rPr>
        <w:t>) representante de la comunidad, que será un ciudadano residente del Municipio de Cabo Rojo, designado por el alcalde de Cabo Rojo, con experiencia en el sector turístico o gastronómico.</w:t>
      </w:r>
    </w:p>
    <w:p w14:paraId="14D37F58" w14:textId="3CA79FE9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El quórum se constituirá con la mayoría de los integrantes del Comité, y sus determinaciones se aprobarán por mayoría simple y serán obligatorias para las agencias representadas.</w:t>
      </w:r>
      <w:r>
        <w:rPr>
          <w:rFonts w:ascii="Book Antiqua" w:hAnsi="Book Antiqua"/>
          <w:lang w:val="es-ES"/>
        </w:rPr>
        <w:t xml:space="preserve"> El Comité se llevará a cabo reuniones mensuales y registrará</w:t>
      </w:r>
      <w:r w:rsidRPr="00C86818">
        <w:rPr>
          <w:rFonts w:ascii="Book Antiqua" w:hAnsi="Book Antiqua"/>
          <w:lang w:val="es-ES"/>
        </w:rPr>
        <w:t xml:space="preserve"> minutas de todas sus reuniones</w:t>
      </w:r>
      <w:r>
        <w:rPr>
          <w:rFonts w:ascii="Book Antiqua" w:hAnsi="Book Antiqua"/>
          <w:lang w:val="es-ES"/>
        </w:rPr>
        <w:t>.</w:t>
      </w:r>
      <w:r w:rsidRPr="00C86818">
        <w:rPr>
          <w:rFonts w:ascii="Book Antiqua" w:hAnsi="Book Antiqua"/>
          <w:lang w:val="es-ES"/>
        </w:rPr>
        <w:t xml:space="preserve"> </w:t>
      </w:r>
    </w:p>
    <w:p w14:paraId="733777DA" w14:textId="1D1F8E5E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 xml:space="preserve">Dentro de un término improrrogable de noventa (90) días a partir de la vigencia de </w:t>
      </w:r>
      <w:r>
        <w:rPr>
          <w:rFonts w:ascii="Book Antiqua" w:hAnsi="Book Antiqua"/>
          <w:lang w:val="es-ES"/>
        </w:rPr>
        <w:t>esta</w:t>
      </w:r>
      <w:r w:rsidRPr="00C86818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L</w:t>
      </w:r>
      <w:r w:rsidRPr="00C86818">
        <w:rPr>
          <w:rFonts w:ascii="Book Antiqua" w:hAnsi="Book Antiqua"/>
          <w:lang w:val="es-ES"/>
        </w:rPr>
        <w:t xml:space="preserve">ey, el Comité </w:t>
      </w:r>
      <w:proofErr w:type="spellStart"/>
      <w:r w:rsidRPr="00C86818">
        <w:rPr>
          <w:rFonts w:ascii="Book Antiqua" w:hAnsi="Book Antiqua"/>
          <w:lang w:val="es-ES"/>
        </w:rPr>
        <w:t>Interagencial</w:t>
      </w:r>
      <w:proofErr w:type="spellEnd"/>
      <w:r w:rsidRPr="00C86818">
        <w:rPr>
          <w:rFonts w:ascii="Book Antiqua" w:hAnsi="Book Antiqua"/>
          <w:lang w:val="es-ES"/>
        </w:rPr>
        <w:t xml:space="preserve"> de Implementación adoptará y pondrá en vigor un Plan Estratégico de Implementación de la Zona de Turismo Gastronómico de </w:t>
      </w:r>
      <w:proofErr w:type="spellStart"/>
      <w:r w:rsidRPr="00C86818">
        <w:rPr>
          <w:rFonts w:ascii="Book Antiqua" w:hAnsi="Book Antiqua"/>
          <w:lang w:val="es-ES"/>
        </w:rPr>
        <w:t>Joyuda</w:t>
      </w:r>
      <w:proofErr w:type="spellEnd"/>
      <w:r w:rsidRPr="00C86818">
        <w:rPr>
          <w:rFonts w:ascii="Book Antiqua" w:hAnsi="Book Antiqua"/>
          <w:lang w:val="es-ES"/>
        </w:rPr>
        <w:t xml:space="preserve"> y Punta Arenas.</w:t>
      </w:r>
      <w:r>
        <w:rPr>
          <w:rFonts w:ascii="Book Antiqua" w:hAnsi="Book Antiqua"/>
          <w:lang w:val="es-ES"/>
        </w:rPr>
        <w:t xml:space="preserve"> </w:t>
      </w:r>
      <w:r w:rsidRPr="00C86818">
        <w:rPr>
          <w:rFonts w:ascii="Book Antiqua" w:hAnsi="Book Antiqua"/>
          <w:lang w:val="es-ES"/>
        </w:rPr>
        <w:t>El Plan Estratégico será de carácter vinculante para las agencias representadas en el Comité y deberá incluir, como mínimo:</w:t>
      </w:r>
    </w:p>
    <w:p w14:paraId="31FDE533" w14:textId="42C07B66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a</w:t>
      </w:r>
      <w:r w:rsidRPr="00C86818">
        <w:rPr>
          <w:rFonts w:ascii="Book Antiqua" w:hAnsi="Book Antiqua"/>
          <w:lang w:val="es-ES"/>
        </w:rPr>
        <w:t>) objetivos específicos, medibles y alcanzables, a corto, mediano y largo plazo;</w:t>
      </w:r>
    </w:p>
    <w:p w14:paraId="744EAADE" w14:textId="388F54DB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b</w:t>
      </w:r>
      <w:r w:rsidRPr="00C86818">
        <w:rPr>
          <w:rFonts w:ascii="Book Antiqua" w:hAnsi="Book Antiqua"/>
          <w:lang w:val="es-ES"/>
        </w:rPr>
        <w:t>) la descripción de las acciones concretas a ser ejecutadas por cada agencia, con sus respectivos plazos de cumplimiento;</w:t>
      </w:r>
    </w:p>
    <w:p w14:paraId="08FE0295" w14:textId="4A34B93A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lastRenderedPageBreak/>
        <w:t>(</w:t>
      </w:r>
      <w:r>
        <w:rPr>
          <w:rFonts w:ascii="Book Antiqua" w:hAnsi="Book Antiqua"/>
          <w:lang w:val="es-ES"/>
        </w:rPr>
        <w:t>c</w:t>
      </w:r>
      <w:r w:rsidRPr="00C86818">
        <w:rPr>
          <w:rFonts w:ascii="Book Antiqua" w:hAnsi="Book Antiqua"/>
          <w:lang w:val="es-ES"/>
        </w:rPr>
        <w:t>) métricas objetivas de desempeño y resultados, incluyendo indicadores de impacto económico, turístico y social;</w:t>
      </w:r>
    </w:p>
    <w:p w14:paraId="13B5D23E" w14:textId="47B69FEC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d</w:t>
      </w:r>
      <w:r w:rsidRPr="00C86818">
        <w:rPr>
          <w:rFonts w:ascii="Book Antiqua" w:hAnsi="Book Antiqua"/>
          <w:lang w:val="es-ES"/>
        </w:rPr>
        <w:t>) un mecanismo de coordinación continua con la administración municipal de Cabo Rojo y con los comerciantes de la Zona; y</w:t>
      </w:r>
    </w:p>
    <w:p w14:paraId="47A94138" w14:textId="339391A1" w:rsid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e</w:t>
      </w:r>
      <w:r w:rsidRPr="00C86818">
        <w:rPr>
          <w:rFonts w:ascii="Book Antiqua" w:hAnsi="Book Antiqua"/>
          <w:lang w:val="es-ES"/>
        </w:rPr>
        <w:t>) un calendario de evaluación y revisión periódica del propio Plan Estratégico.</w:t>
      </w:r>
    </w:p>
    <w:p w14:paraId="40F5B7CD" w14:textId="72D9CDC0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</w:t>
      </w:r>
      <w:r w:rsidRPr="00C86818">
        <w:rPr>
          <w:rFonts w:ascii="Book Antiqua" w:hAnsi="Book Antiqua"/>
          <w:lang w:val="es-ES"/>
        </w:rPr>
        <w:t xml:space="preserve">l Comité </w:t>
      </w:r>
      <w:proofErr w:type="spellStart"/>
      <w:r w:rsidRPr="00C86818">
        <w:rPr>
          <w:rFonts w:ascii="Book Antiqua" w:hAnsi="Book Antiqua"/>
          <w:lang w:val="es-ES"/>
        </w:rPr>
        <w:t>Interagencial</w:t>
      </w:r>
      <w:proofErr w:type="spellEnd"/>
      <w:r w:rsidRPr="00C86818">
        <w:rPr>
          <w:rFonts w:ascii="Book Antiqua" w:hAnsi="Book Antiqua"/>
          <w:lang w:val="es-ES"/>
        </w:rPr>
        <w:t xml:space="preserve"> de Implementación, rendirá a la Asamblea Legislativa de Puerto Rico informes escritos trimestrales sobre el estado de implementación de esta sección y del Plan Estratégico de Implementación. Los informes se radicarán </w:t>
      </w:r>
      <w:r>
        <w:rPr>
          <w:rFonts w:ascii="Book Antiqua" w:hAnsi="Book Antiqua"/>
          <w:lang w:val="es-ES"/>
        </w:rPr>
        <w:t xml:space="preserve">ante la Cámara de Representantes </w:t>
      </w:r>
      <w:r w:rsidRPr="00C86818">
        <w:rPr>
          <w:rFonts w:ascii="Book Antiqua" w:hAnsi="Book Antiqua"/>
          <w:lang w:val="es-ES"/>
        </w:rPr>
        <w:t>no más tarde del día treinta (30) siguiente a la conclusión de cada trimestre calendario y se remitirán</w:t>
      </w:r>
      <w:r>
        <w:rPr>
          <w:rFonts w:ascii="Book Antiqua" w:hAnsi="Book Antiqua"/>
          <w:lang w:val="es-ES"/>
        </w:rPr>
        <w:t xml:space="preserve"> </w:t>
      </w:r>
      <w:r w:rsidRPr="00C86818">
        <w:rPr>
          <w:rFonts w:ascii="Book Antiqua" w:hAnsi="Book Antiqua"/>
          <w:lang w:val="es-ES"/>
        </w:rPr>
        <w:t>a las comisiones legislativas con jurisdicción</w:t>
      </w:r>
      <w:r>
        <w:rPr>
          <w:rFonts w:ascii="Book Antiqua" w:hAnsi="Book Antiqua"/>
          <w:lang w:val="es-ES"/>
        </w:rPr>
        <w:t xml:space="preserve">. </w:t>
      </w:r>
    </w:p>
    <w:p w14:paraId="402974C7" w14:textId="79E1A972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Cada informe deberá incluir, para cada agencia:</w:t>
      </w:r>
    </w:p>
    <w:p w14:paraId="1171CF29" w14:textId="2F5F4891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a</w:t>
      </w:r>
      <w:r w:rsidRPr="00C86818">
        <w:rPr>
          <w:rFonts w:ascii="Book Antiqua" w:hAnsi="Book Antiqua"/>
          <w:lang w:val="es-ES"/>
        </w:rPr>
        <w:t>) las acciones ejecutadas durante el periodo informado, distinguiendo entre actividades de planificación y de implementación;</w:t>
      </w:r>
    </w:p>
    <w:p w14:paraId="56251BB4" w14:textId="4DF6D286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b</w:t>
      </w:r>
      <w:r w:rsidRPr="00C86818">
        <w:rPr>
          <w:rFonts w:ascii="Book Antiqua" w:hAnsi="Book Antiqua"/>
          <w:lang w:val="es-ES"/>
        </w:rPr>
        <w:t>) los resultados concretos y medibles obtenidos según las métricas establecidas en el Plan Estratégico;</w:t>
      </w:r>
    </w:p>
    <w:p w14:paraId="68A4B0FD" w14:textId="21D25B2E" w:rsidR="00C86818" w:rsidRP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c</w:t>
      </w:r>
      <w:r w:rsidRPr="00C86818">
        <w:rPr>
          <w:rFonts w:ascii="Book Antiqua" w:hAnsi="Book Antiqua"/>
          <w:lang w:val="es-ES"/>
        </w:rPr>
        <w:t>) los incumplimientos o atrasos identificados y las medidas correctivas adoptadas o propuestas; y</w:t>
      </w:r>
    </w:p>
    <w:p w14:paraId="396FB149" w14:textId="3CA43F65" w:rsidR="00C86818" w:rsidRDefault="00C86818" w:rsidP="00E22C1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C86818">
        <w:rPr>
          <w:rFonts w:ascii="Book Antiqua" w:hAnsi="Book Antiqua"/>
          <w:lang w:val="es-ES"/>
        </w:rPr>
        <w:t>(</w:t>
      </w:r>
      <w:r>
        <w:rPr>
          <w:rFonts w:ascii="Book Antiqua" w:hAnsi="Book Antiqua"/>
          <w:lang w:val="es-ES"/>
        </w:rPr>
        <w:t>d</w:t>
      </w:r>
      <w:r w:rsidRPr="00C86818">
        <w:rPr>
          <w:rFonts w:ascii="Book Antiqua" w:hAnsi="Book Antiqua"/>
          <w:lang w:val="es-ES"/>
        </w:rPr>
        <w:t>) las metas específicas para el próximo trimestre.</w:t>
      </w:r>
    </w:p>
    <w:p w14:paraId="04BBADBE" w14:textId="303A801B" w:rsidR="000E129B" w:rsidRDefault="00A80B42" w:rsidP="00E22C1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Artículo</w:t>
      </w:r>
      <w:r w:rsidR="00981A6C" w:rsidRPr="0039078C">
        <w:rPr>
          <w:rFonts w:ascii="Book Antiqua" w:hAnsi="Book Antiqua"/>
          <w:lang w:val="es-PR"/>
        </w:rPr>
        <w:t xml:space="preserve"> 2.-</w:t>
      </w:r>
      <w:r>
        <w:rPr>
          <w:rFonts w:ascii="Book Antiqua" w:hAnsi="Book Antiqua"/>
          <w:lang w:val="es-PR"/>
        </w:rPr>
        <w:t xml:space="preserve"> </w:t>
      </w:r>
      <w:r w:rsidR="00C86818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Cláusula de Separabilidad</w:t>
      </w:r>
    </w:p>
    <w:p w14:paraId="5650EB34" w14:textId="56E12E7D" w:rsidR="00C02CFA" w:rsidRPr="000E129B" w:rsidRDefault="00C02CFA" w:rsidP="00E22C1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Si cualquier artículo, inciso, parte, párrafo o cláusula de esta Ley o su aplicación a cualquier persona,</w:t>
      </w:r>
      <w:r w:rsidR="00297425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o circunstancia, fuera declarada inconstitucional por un Tribunal con jurisdicción, la sentencia dictada no afectará ni invalidará sus demás disposiciones, sino que su efecto quedará limitado y será extensivo al inciso, parte, párrafo o cláusula de ésta, o su aplicación, que hubiera sido declarada inclonstitucional. </w:t>
      </w:r>
    </w:p>
    <w:p w14:paraId="6D54E188" w14:textId="52883AF0" w:rsidR="00C02CFA" w:rsidRDefault="00981A6C" w:rsidP="00E22C13">
      <w:pPr>
        <w:spacing w:line="480" w:lineRule="auto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ab/>
      </w:r>
      <w:r w:rsidR="00A80B42">
        <w:rPr>
          <w:rFonts w:ascii="Book Antiqua" w:hAnsi="Book Antiqua"/>
          <w:lang w:val="es-PR"/>
        </w:rPr>
        <w:t>Artículo</w:t>
      </w:r>
      <w:r w:rsidRPr="0039078C">
        <w:rPr>
          <w:rFonts w:ascii="Book Antiqua" w:hAnsi="Book Antiqua"/>
          <w:lang w:val="es-PR"/>
        </w:rPr>
        <w:t xml:space="preserve"> </w:t>
      </w:r>
      <w:r w:rsidR="00C86818">
        <w:rPr>
          <w:rFonts w:ascii="Book Antiqua" w:hAnsi="Book Antiqua"/>
          <w:lang w:val="es-PR"/>
        </w:rPr>
        <w:t>3</w:t>
      </w:r>
      <w:r w:rsidRPr="0039078C">
        <w:rPr>
          <w:rFonts w:ascii="Book Antiqua" w:hAnsi="Book Antiqua"/>
          <w:lang w:val="es-PR"/>
        </w:rPr>
        <w:t>.-</w:t>
      </w:r>
      <w:r w:rsidR="00F52086">
        <w:rPr>
          <w:rFonts w:ascii="Book Antiqua" w:hAnsi="Book Antiqua"/>
          <w:lang w:val="es-PR"/>
        </w:rPr>
        <w:t xml:space="preserve"> </w:t>
      </w:r>
      <w:r w:rsidR="00C02CFA">
        <w:rPr>
          <w:rFonts w:ascii="Book Antiqua" w:hAnsi="Book Antiqua"/>
          <w:lang w:val="es-PR"/>
        </w:rPr>
        <w:t>Vigencia</w:t>
      </w:r>
    </w:p>
    <w:p w14:paraId="333BD2E7" w14:textId="24AD1648" w:rsidR="00362E50" w:rsidRPr="0039078C" w:rsidRDefault="00981A6C" w:rsidP="00E22C1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9078C">
        <w:rPr>
          <w:rFonts w:ascii="Book Antiqua" w:hAnsi="Book Antiqua"/>
          <w:lang w:val="es-PR"/>
        </w:rPr>
        <w:t xml:space="preserve">Esta Ley comenzará a regir </w:t>
      </w:r>
      <w:r w:rsidR="00C02CFA">
        <w:rPr>
          <w:rFonts w:ascii="Book Antiqua" w:hAnsi="Book Antiqua"/>
          <w:lang w:val="es-PR"/>
        </w:rPr>
        <w:t xml:space="preserve">inmediatamente luego </w:t>
      </w:r>
      <w:r w:rsidRPr="0039078C">
        <w:rPr>
          <w:rFonts w:ascii="Book Antiqua" w:hAnsi="Book Antiqua"/>
          <w:lang w:val="es-PR"/>
        </w:rPr>
        <w:t>de su aprobación.</w:t>
      </w:r>
    </w:p>
    <w:sectPr w:rsidR="00362E50" w:rsidRPr="0039078C" w:rsidSect="00981A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5062F" w14:textId="77777777" w:rsidR="003F02F0" w:rsidRDefault="003F02F0">
      <w:r>
        <w:separator/>
      </w:r>
    </w:p>
  </w:endnote>
  <w:endnote w:type="continuationSeparator" w:id="0">
    <w:p w14:paraId="12256498" w14:textId="77777777" w:rsidR="003F02F0" w:rsidRDefault="003F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AA18B" w14:textId="77777777" w:rsidR="003F02F0" w:rsidRDefault="003F02F0">
      <w:r>
        <w:separator/>
      </w:r>
    </w:p>
  </w:footnote>
  <w:footnote w:type="continuationSeparator" w:id="0">
    <w:p w14:paraId="184928A6" w14:textId="77777777" w:rsidR="003F02F0" w:rsidRDefault="003F0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B196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3F97A5E" w14:textId="77777777" w:rsidR="000413FF" w:rsidRDefault="000413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3E278" w14:textId="77777777" w:rsidR="000413FF" w:rsidRDefault="00E46443" w:rsidP="00B57F5C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4223E0D2" w14:textId="77777777" w:rsidR="000413FF" w:rsidRDefault="000413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3569"/>
    <w:multiLevelType w:val="multilevel"/>
    <w:tmpl w:val="9A148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185A43"/>
    <w:multiLevelType w:val="hybridMultilevel"/>
    <w:tmpl w:val="1C52DA04"/>
    <w:lvl w:ilvl="0" w:tplc="676AA6C4">
      <w:start w:val="1"/>
      <w:numFmt w:val="lowerLetter"/>
      <w:lvlText w:val="(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CB402E"/>
    <w:multiLevelType w:val="multilevel"/>
    <w:tmpl w:val="CFD0E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C6FA2"/>
    <w:multiLevelType w:val="hybridMultilevel"/>
    <w:tmpl w:val="35569FB8"/>
    <w:lvl w:ilvl="0" w:tplc="83B8C1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5758A2"/>
    <w:multiLevelType w:val="hybridMultilevel"/>
    <w:tmpl w:val="558E833E"/>
    <w:lvl w:ilvl="0" w:tplc="3A38D3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5316FC"/>
    <w:multiLevelType w:val="hybridMultilevel"/>
    <w:tmpl w:val="08A63C1E"/>
    <w:lvl w:ilvl="0" w:tplc="0FFA3F20">
      <w:start w:val="1"/>
      <w:numFmt w:val="lowerLetter"/>
      <w:lvlText w:val="(%1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 w16cid:durableId="312370793">
    <w:abstractNumId w:val="5"/>
  </w:num>
  <w:num w:numId="2" w16cid:durableId="409888006">
    <w:abstractNumId w:val="0"/>
  </w:num>
  <w:num w:numId="3" w16cid:durableId="1468355395">
    <w:abstractNumId w:val="2"/>
  </w:num>
  <w:num w:numId="4" w16cid:durableId="806125417">
    <w:abstractNumId w:val="1"/>
  </w:num>
  <w:num w:numId="5" w16cid:durableId="1430537998">
    <w:abstractNumId w:val="4"/>
  </w:num>
  <w:num w:numId="6" w16cid:durableId="159783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6C"/>
    <w:rsid w:val="00013607"/>
    <w:rsid w:val="00025D5A"/>
    <w:rsid w:val="00040935"/>
    <w:rsid w:val="000413FF"/>
    <w:rsid w:val="00077079"/>
    <w:rsid w:val="00085468"/>
    <w:rsid w:val="000C06C5"/>
    <w:rsid w:val="000D1987"/>
    <w:rsid w:val="000D1C78"/>
    <w:rsid w:val="000D2584"/>
    <w:rsid w:val="000E129B"/>
    <w:rsid w:val="000F7171"/>
    <w:rsid w:val="00104844"/>
    <w:rsid w:val="00106947"/>
    <w:rsid w:val="001106C1"/>
    <w:rsid w:val="001318A0"/>
    <w:rsid w:val="00153B62"/>
    <w:rsid w:val="0018397A"/>
    <w:rsid w:val="001C4D9D"/>
    <w:rsid w:val="001D21D0"/>
    <w:rsid w:val="001D35AA"/>
    <w:rsid w:val="001D416A"/>
    <w:rsid w:val="001E0EA2"/>
    <w:rsid w:val="0021009B"/>
    <w:rsid w:val="0021669F"/>
    <w:rsid w:val="00233B98"/>
    <w:rsid w:val="002809D4"/>
    <w:rsid w:val="002820D1"/>
    <w:rsid w:val="00297425"/>
    <w:rsid w:val="00333873"/>
    <w:rsid w:val="00362E50"/>
    <w:rsid w:val="0038737D"/>
    <w:rsid w:val="0039078C"/>
    <w:rsid w:val="00395699"/>
    <w:rsid w:val="003A24C5"/>
    <w:rsid w:val="003F021E"/>
    <w:rsid w:val="003F02F0"/>
    <w:rsid w:val="00422976"/>
    <w:rsid w:val="00425802"/>
    <w:rsid w:val="00431BE6"/>
    <w:rsid w:val="0044487C"/>
    <w:rsid w:val="0044722A"/>
    <w:rsid w:val="00452340"/>
    <w:rsid w:val="004569CE"/>
    <w:rsid w:val="00463314"/>
    <w:rsid w:val="004660D8"/>
    <w:rsid w:val="00490254"/>
    <w:rsid w:val="00497359"/>
    <w:rsid w:val="004B32D1"/>
    <w:rsid w:val="004F4059"/>
    <w:rsid w:val="00512304"/>
    <w:rsid w:val="00525B73"/>
    <w:rsid w:val="00555FE2"/>
    <w:rsid w:val="005801AD"/>
    <w:rsid w:val="00595CDB"/>
    <w:rsid w:val="005A332F"/>
    <w:rsid w:val="005A7EC2"/>
    <w:rsid w:val="005B2941"/>
    <w:rsid w:val="005B3024"/>
    <w:rsid w:val="005B3F50"/>
    <w:rsid w:val="005B4464"/>
    <w:rsid w:val="005D05FD"/>
    <w:rsid w:val="00607F17"/>
    <w:rsid w:val="00611908"/>
    <w:rsid w:val="0061306B"/>
    <w:rsid w:val="00624898"/>
    <w:rsid w:val="0063436A"/>
    <w:rsid w:val="00647C94"/>
    <w:rsid w:val="0065033D"/>
    <w:rsid w:val="00665368"/>
    <w:rsid w:val="006C2C28"/>
    <w:rsid w:val="006D49BB"/>
    <w:rsid w:val="006E4CB7"/>
    <w:rsid w:val="0072251F"/>
    <w:rsid w:val="007231DD"/>
    <w:rsid w:val="00755FF3"/>
    <w:rsid w:val="00760DE4"/>
    <w:rsid w:val="00771C3A"/>
    <w:rsid w:val="007753B8"/>
    <w:rsid w:val="007810F9"/>
    <w:rsid w:val="00791157"/>
    <w:rsid w:val="007A72E7"/>
    <w:rsid w:val="007A7B42"/>
    <w:rsid w:val="007E6C24"/>
    <w:rsid w:val="007F68BB"/>
    <w:rsid w:val="0080441C"/>
    <w:rsid w:val="00806AEC"/>
    <w:rsid w:val="008141CD"/>
    <w:rsid w:val="00836F2F"/>
    <w:rsid w:val="00861944"/>
    <w:rsid w:val="00866CBE"/>
    <w:rsid w:val="00870974"/>
    <w:rsid w:val="00871FD0"/>
    <w:rsid w:val="00873753"/>
    <w:rsid w:val="00874963"/>
    <w:rsid w:val="00882EA8"/>
    <w:rsid w:val="00884111"/>
    <w:rsid w:val="008B3490"/>
    <w:rsid w:val="008C417D"/>
    <w:rsid w:val="00924D40"/>
    <w:rsid w:val="00951028"/>
    <w:rsid w:val="009641C2"/>
    <w:rsid w:val="00976057"/>
    <w:rsid w:val="00981A6C"/>
    <w:rsid w:val="009A124B"/>
    <w:rsid w:val="009B00B4"/>
    <w:rsid w:val="009B1F2D"/>
    <w:rsid w:val="009C3522"/>
    <w:rsid w:val="009E57BE"/>
    <w:rsid w:val="00A02A5B"/>
    <w:rsid w:val="00A13084"/>
    <w:rsid w:val="00A271BD"/>
    <w:rsid w:val="00A57C7A"/>
    <w:rsid w:val="00A726DB"/>
    <w:rsid w:val="00A765C7"/>
    <w:rsid w:val="00A80B42"/>
    <w:rsid w:val="00AB0700"/>
    <w:rsid w:val="00AC04D6"/>
    <w:rsid w:val="00AC349C"/>
    <w:rsid w:val="00AD5A04"/>
    <w:rsid w:val="00AF2A7D"/>
    <w:rsid w:val="00B15244"/>
    <w:rsid w:val="00B50044"/>
    <w:rsid w:val="00B62B0E"/>
    <w:rsid w:val="00B6432A"/>
    <w:rsid w:val="00BD3A65"/>
    <w:rsid w:val="00BE71BA"/>
    <w:rsid w:val="00C02CFA"/>
    <w:rsid w:val="00C0488D"/>
    <w:rsid w:val="00C10FB8"/>
    <w:rsid w:val="00C33C1E"/>
    <w:rsid w:val="00C37D58"/>
    <w:rsid w:val="00C471B3"/>
    <w:rsid w:val="00C54130"/>
    <w:rsid w:val="00C62677"/>
    <w:rsid w:val="00C7044A"/>
    <w:rsid w:val="00C735FB"/>
    <w:rsid w:val="00C86818"/>
    <w:rsid w:val="00CC7FAB"/>
    <w:rsid w:val="00CD4CCF"/>
    <w:rsid w:val="00D01647"/>
    <w:rsid w:val="00D043B9"/>
    <w:rsid w:val="00D16E5E"/>
    <w:rsid w:val="00D26555"/>
    <w:rsid w:val="00D43876"/>
    <w:rsid w:val="00D46938"/>
    <w:rsid w:val="00D634B1"/>
    <w:rsid w:val="00D7743D"/>
    <w:rsid w:val="00DB09A8"/>
    <w:rsid w:val="00DB24F7"/>
    <w:rsid w:val="00DD7A7B"/>
    <w:rsid w:val="00DE7208"/>
    <w:rsid w:val="00DF52AD"/>
    <w:rsid w:val="00E02D14"/>
    <w:rsid w:val="00E22C13"/>
    <w:rsid w:val="00E31B6F"/>
    <w:rsid w:val="00E419D7"/>
    <w:rsid w:val="00E46443"/>
    <w:rsid w:val="00E93A15"/>
    <w:rsid w:val="00E950DA"/>
    <w:rsid w:val="00EB5A64"/>
    <w:rsid w:val="00ED264A"/>
    <w:rsid w:val="00F03264"/>
    <w:rsid w:val="00F1285A"/>
    <w:rsid w:val="00F2473E"/>
    <w:rsid w:val="00F30B5F"/>
    <w:rsid w:val="00F51464"/>
    <w:rsid w:val="00F52086"/>
    <w:rsid w:val="00F606DD"/>
    <w:rsid w:val="00F637F2"/>
    <w:rsid w:val="00F758C8"/>
    <w:rsid w:val="00F93580"/>
    <w:rsid w:val="00FA0033"/>
    <w:rsid w:val="00FA4180"/>
    <w:rsid w:val="00FD5850"/>
    <w:rsid w:val="00FE1555"/>
    <w:rsid w:val="00FE3031"/>
    <w:rsid w:val="00FE437F"/>
    <w:rsid w:val="00FF02CC"/>
    <w:rsid w:val="00FF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8C63CC"/>
  <w15:chartTrackingRefBased/>
  <w15:docId w15:val="{8FB56866-1F06-4C74-9B35-9D0B6313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A6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981A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A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A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A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A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A6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A6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A6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A6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1A6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A6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A6C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A6C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A6C"/>
    <w:rPr>
      <w:rFonts w:eastAsiaTheme="majorEastAsia" w:cstheme="majorBidi"/>
      <w:color w:val="0F4761" w:themeColor="accent1" w:themeShade="BF"/>
      <w:lang w:val="es-PR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A6C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A6C"/>
    <w:rPr>
      <w:rFonts w:eastAsiaTheme="majorEastAsia" w:cstheme="majorBidi"/>
      <w:color w:val="595959" w:themeColor="text1" w:themeTint="A6"/>
      <w:lang w:val="es-PR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A6C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A6C"/>
    <w:rPr>
      <w:rFonts w:eastAsiaTheme="majorEastAsia" w:cstheme="majorBidi"/>
      <w:color w:val="272727" w:themeColor="text1" w:themeTint="D8"/>
      <w:lang w:val="es-PR"/>
    </w:rPr>
  </w:style>
  <w:style w:type="paragraph" w:styleId="Ttulo">
    <w:name w:val="Title"/>
    <w:basedOn w:val="Normal"/>
    <w:next w:val="Normal"/>
    <w:link w:val="TtuloCar"/>
    <w:uiPriority w:val="10"/>
    <w:qFormat/>
    <w:rsid w:val="00981A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A6C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A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A6C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Cita">
    <w:name w:val="Quote"/>
    <w:basedOn w:val="Normal"/>
    <w:next w:val="Normal"/>
    <w:link w:val="CitaCar"/>
    <w:uiPriority w:val="29"/>
    <w:qFormat/>
    <w:rsid w:val="00981A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A6C"/>
    <w:rPr>
      <w:i/>
      <w:iCs/>
      <w:color w:val="404040" w:themeColor="text1" w:themeTint="BF"/>
      <w:lang w:val="es-PR"/>
    </w:rPr>
  </w:style>
  <w:style w:type="paragraph" w:styleId="Prrafodelista">
    <w:name w:val="List Paragraph"/>
    <w:basedOn w:val="Normal"/>
    <w:uiPriority w:val="34"/>
    <w:qFormat/>
    <w:rsid w:val="00981A6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A6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A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A6C"/>
    <w:rPr>
      <w:i/>
      <w:iCs/>
      <w:color w:val="0F4761" w:themeColor="accent1" w:themeShade="BF"/>
      <w:lang w:val="es-PR"/>
    </w:rPr>
  </w:style>
  <w:style w:type="character" w:styleId="Referenciaintensa">
    <w:name w:val="Intense Reference"/>
    <w:basedOn w:val="Fuentedeprrafopredeter"/>
    <w:uiPriority w:val="32"/>
    <w:qFormat/>
    <w:rsid w:val="00981A6C"/>
    <w:rPr>
      <w:b/>
      <w:bCs/>
      <w:smallCaps/>
      <w:color w:val="0F4761" w:themeColor="accent1" w:themeShade="BF"/>
      <w:spacing w:val="5"/>
    </w:rPr>
  </w:style>
  <w:style w:type="paragraph" w:styleId="Textodebloque">
    <w:name w:val="Block Text"/>
    <w:basedOn w:val="Normal"/>
    <w:rsid w:val="00981A6C"/>
    <w:pPr>
      <w:ind w:left="2160" w:right="1440" w:hanging="720"/>
      <w:jc w:val="both"/>
    </w:pPr>
    <w:rPr>
      <w:sz w:val="28"/>
      <w:lang w:val="es-PR"/>
    </w:rPr>
  </w:style>
  <w:style w:type="paragraph" w:styleId="Sangradetextonormal">
    <w:name w:val="Body Text Indent"/>
    <w:basedOn w:val="Normal"/>
    <w:link w:val="SangradetextonormalCar"/>
    <w:rsid w:val="00981A6C"/>
    <w:pPr>
      <w:spacing w:line="480" w:lineRule="auto"/>
      <w:ind w:firstLine="720"/>
      <w:jc w:val="both"/>
    </w:pPr>
    <w:rPr>
      <w:sz w:val="28"/>
      <w:lang w:val="es-PR"/>
    </w:rPr>
  </w:style>
  <w:style w:type="character" w:customStyle="1" w:styleId="SangradetextonormalCar">
    <w:name w:val="Sangría de texto normal Car"/>
    <w:basedOn w:val="Fuentedeprrafopredeter"/>
    <w:link w:val="Sangradetextonormal"/>
    <w:rsid w:val="00981A6C"/>
    <w:rPr>
      <w:rFonts w:ascii="Times New Roman" w:eastAsia="Times New Roman" w:hAnsi="Times New Roman" w:cs="Times New Roman"/>
      <w:kern w:val="0"/>
      <w:sz w:val="28"/>
      <w:lang w:val="es-PR"/>
      <w14:ligatures w14:val="none"/>
    </w:rPr>
  </w:style>
  <w:style w:type="paragraph" w:styleId="Sangra2detindependiente">
    <w:name w:val="Body Text Indent 2"/>
    <w:basedOn w:val="Normal"/>
    <w:link w:val="Sangra2detindependienteCar"/>
    <w:rsid w:val="00981A6C"/>
    <w:pPr>
      <w:spacing w:line="480" w:lineRule="auto"/>
      <w:ind w:firstLine="720"/>
      <w:jc w:val="both"/>
    </w:pPr>
    <w:rPr>
      <w:i/>
      <w:iCs/>
      <w:sz w:val="28"/>
      <w:lang w:val="es-PR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1A6C"/>
    <w:rPr>
      <w:rFonts w:ascii="Times New Roman" w:eastAsia="Times New Roman" w:hAnsi="Times New Roman" w:cs="Times New Roman"/>
      <w:i/>
      <w:iCs/>
      <w:kern w:val="0"/>
      <w:sz w:val="28"/>
      <w:lang w:val="es-PR"/>
      <w14:ligatures w14:val="none"/>
    </w:rPr>
  </w:style>
  <w:style w:type="character" w:styleId="Nmerodepgina">
    <w:name w:val="page number"/>
    <w:basedOn w:val="Fuentedeprrafopredeter"/>
    <w:rsid w:val="00981A6C"/>
  </w:style>
  <w:style w:type="paragraph" w:styleId="Encabezado">
    <w:name w:val="header"/>
    <w:basedOn w:val="Normal"/>
    <w:link w:val="EncabezadoCar"/>
    <w:rsid w:val="00981A6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981A6C"/>
    <w:rPr>
      <w:rFonts w:ascii="Times New Roman" w:eastAsia="Times New Roman" w:hAnsi="Times New Roman" w:cs="Times New Roman"/>
      <w:kern w:val="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981A6C"/>
  </w:style>
  <w:style w:type="paragraph" w:styleId="NormalWeb">
    <w:name w:val="Normal (Web)"/>
    <w:basedOn w:val="Normal"/>
    <w:uiPriority w:val="99"/>
    <w:semiHidden/>
    <w:unhideWhenUsed/>
    <w:rsid w:val="00425802"/>
    <w:pPr>
      <w:spacing w:before="100" w:beforeAutospacing="1" w:after="100" w:afterAutospacing="1"/>
    </w:pPr>
  </w:style>
  <w:style w:type="character" w:styleId="Fuerte">
    <w:name w:val="Strong"/>
    <w:basedOn w:val="Fuentedeprrafopredeter"/>
    <w:uiPriority w:val="22"/>
    <w:qFormat/>
    <w:rsid w:val="00425802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B00B4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B00B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9B00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8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Rocío Alayón Morell</cp:lastModifiedBy>
  <cp:revision>4</cp:revision>
  <cp:lastPrinted>2025-02-20T14:03:00Z</cp:lastPrinted>
  <dcterms:created xsi:type="dcterms:W3CDTF">2026-04-21T17:27:00Z</dcterms:created>
  <dcterms:modified xsi:type="dcterms:W3CDTF">2026-04-22T19:46:00Z</dcterms:modified>
</cp:coreProperties>
</file>