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9DDBB8" w14:textId="77777777" w:rsidR="000F0CE9" w:rsidRPr="000F0CE9" w:rsidRDefault="000F0CE9" w:rsidP="000F0CE9">
      <w:pPr>
        <w:suppressLineNumbers/>
        <w:suppressAutoHyphens/>
        <w:jc w:val="center"/>
        <w:rPr>
          <w:rFonts w:ascii="Book Antiqua" w:hAnsi="Book Antiqua"/>
          <w:b/>
          <w:bCs/>
          <w:szCs w:val="24"/>
          <w:lang w:val="es-PR"/>
        </w:rPr>
      </w:pPr>
      <w:bookmarkStart w:id="0" w:name="_Hlk138253982"/>
      <w:r w:rsidRPr="000F0CE9">
        <w:rPr>
          <w:rFonts w:ascii="Book Antiqua" w:hAnsi="Book Antiqua"/>
          <w:b/>
          <w:bCs/>
          <w:szCs w:val="24"/>
          <w:lang w:val="es-PR"/>
        </w:rPr>
        <w:t>(TEXTO DE APROBACIÓN FINAL POR LA CÁMARA)</w:t>
      </w:r>
      <w:r w:rsidRPr="000F0CE9">
        <w:rPr>
          <w:rFonts w:ascii="Book Antiqua" w:hAnsi="Book Antiqua"/>
          <w:szCs w:val="24"/>
          <w:lang w:val="es-ES"/>
        </w:rPr>
        <w:fldChar w:fldCharType="begin"/>
      </w:r>
      <w:r w:rsidRPr="000F0CE9">
        <w:rPr>
          <w:rFonts w:ascii="Book Antiqua" w:hAnsi="Book Antiqua"/>
          <w:b/>
          <w:bCs/>
          <w:szCs w:val="24"/>
          <w:lang w:val="es-PR"/>
        </w:rPr>
        <w:instrText xml:space="preserve">PRIVATE </w:instrText>
      </w:r>
      <w:r w:rsidRPr="000F0CE9">
        <w:rPr>
          <w:rFonts w:ascii="Book Antiqua" w:hAnsi="Book Antiqua"/>
          <w:szCs w:val="24"/>
          <w:lang w:val="es-ES"/>
        </w:rPr>
        <w:fldChar w:fldCharType="end"/>
      </w:r>
    </w:p>
    <w:p w14:paraId="6002FAC8" w14:textId="7AAD805D" w:rsidR="000F0CE9" w:rsidRPr="000F0CE9" w:rsidRDefault="000F0CE9" w:rsidP="000F0CE9">
      <w:pPr>
        <w:suppressLineNumbers/>
        <w:suppressAutoHyphens/>
        <w:jc w:val="center"/>
        <w:rPr>
          <w:rFonts w:ascii="Book Antiqua" w:hAnsi="Book Antiqua"/>
          <w:b/>
          <w:bCs/>
          <w:szCs w:val="24"/>
          <w:lang w:val="es-PR"/>
        </w:rPr>
      </w:pPr>
      <w:r w:rsidRPr="000F0CE9">
        <w:rPr>
          <w:rFonts w:ascii="Book Antiqua" w:hAnsi="Book Antiqua"/>
          <w:b/>
          <w:bCs/>
          <w:szCs w:val="24"/>
          <w:lang w:val="es-PR"/>
        </w:rPr>
        <w:t>(</w:t>
      </w:r>
      <w:r>
        <w:rPr>
          <w:rFonts w:ascii="Book Antiqua" w:hAnsi="Book Antiqua"/>
          <w:b/>
          <w:bCs/>
          <w:szCs w:val="24"/>
          <w:lang w:val="es-PR"/>
        </w:rPr>
        <w:t>15</w:t>
      </w:r>
      <w:r w:rsidRPr="000F0CE9">
        <w:rPr>
          <w:rFonts w:ascii="Book Antiqua" w:hAnsi="Book Antiqua"/>
          <w:b/>
          <w:bCs/>
          <w:szCs w:val="24"/>
          <w:lang w:val="es-PR"/>
        </w:rPr>
        <w:t xml:space="preserve"> DE </w:t>
      </w:r>
      <w:r>
        <w:rPr>
          <w:rFonts w:ascii="Book Antiqua" w:hAnsi="Book Antiqua"/>
          <w:b/>
          <w:bCs/>
          <w:szCs w:val="24"/>
          <w:lang w:val="es-PR"/>
        </w:rPr>
        <w:t>JUNIO</w:t>
      </w:r>
      <w:r w:rsidRPr="000F0CE9">
        <w:rPr>
          <w:rFonts w:ascii="Book Antiqua" w:hAnsi="Book Antiqua"/>
          <w:b/>
          <w:bCs/>
          <w:szCs w:val="24"/>
          <w:lang w:val="es-PR"/>
        </w:rPr>
        <w:t xml:space="preserve"> DE 2026)</w:t>
      </w:r>
    </w:p>
    <w:p w14:paraId="3C4BDB45" w14:textId="6D2274EE" w:rsidR="000F0CE9" w:rsidRPr="000F0CE9" w:rsidRDefault="000F0CE9" w:rsidP="000C1D82">
      <w:pPr>
        <w:suppressLineNumbers/>
        <w:suppressAutoHyphens/>
        <w:jc w:val="center"/>
        <w:rPr>
          <w:rFonts w:ascii="Book Antiqua" w:hAnsi="Book Antiqua"/>
          <w:b/>
          <w:bCs/>
          <w:szCs w:val="24"/>
          <w:lang w:val="es-ES_tradnl"/>
        </w:rPr>
      </w:pPr>
      <w:r w:rsidRPr="000F0CE9">
        <w:rPr>
          <w:rFonts w:ascii="Book Antiqua" w:hAnsi="Book Antiqua"/>
          <w:noProof/>
          <w:szCs w:val="24"/>
          <w:lang w:val="es-ES"/>
        </w:rPr>
        <mc:AlternateContent>
          <mc:Choice Requires="wps">
            <w:drawing>
              <wp:anchor distT="0" distB="0" distL="114300" distR="114300" simplePos="0" relativeHeight="251659264" behindDoc="1" locked="0" layoutInCell="0" allowOverlap="1" wp14:anchorId="040B53E3" wp14:editId="3234DAED">
                <wp:simplePos x="0" y="0"/>
                <wp:positionH relativeFrom="margin">
                  <wp:posOffset>0</wp:posOffset>
                </wp:positionH>
                <wp:positionV relativeFrom="paragraph">
                  <wp:posOffset>0</wp:posOffset>
                </wp:positionV>
                <wp:extent cx="5943600" cy="22860"/>
                <wp:effectExtent l="0" t="0" r="0" b="0"/>
                <wp:wrapNone/>
                <wp:docPr id="410626489"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DC51D1"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08D87672" w14:textId="18CE4578" w:rsidR="000C1D82" w:rsidRPr="00FD1DE9" w:rsidRDefault="00D31713" w:rsidP="000C1D82">
      <w:pPr>
        <w:suppressLineNumbers/>
        <w:suppressAutoHyphens/>
        <w:jc w:val="center"/>
        <w:rPr>
          <w:rFonts w:ascii="Book Antiqua" w:hAnsi="Book Antiqua"/>
          <w:sz w:val="28"/>
          <w:szCs w:val="28"/>
          <w:lang w:val="es-PR"/>
        </w:rPr>
      </w:pPr>
      <w:r>
        <w:rPr>
          <w:rFonts w:ascii="Book Antiqua" w:hAnsi="Book Antiqua"/>
          <w:sz w:val="28"/>
          <w:szCs w:val="28"/>
          <w:lang w:val="es-PR"/>
        </w:rPr>
        <w:t>GOBIERNO</w:t>
      </w:r>
      <w:r w:rsidRPr="00FD1DE9">
        <w:rPr>
          <w:rFonts w:ascii="Book Antiqua" w:hAnsi="Book Antiqua"/>
          <w:sz w:val="28"/>
          <w:szCs w:val="28"/>
          <w:lang w:val="es-PR"/>
        </w:rPr>
        <w:t xml:space="preserve"> DE PUERTO RICO</w:t>
      </w:r>
    </w:p>
    <w:p w14:paraId="1B71544F" w14:textId="6414B108" w:rsidR="007334BE" w:rsidRPr="004C75C2" w:rsidRDefault="007334BE" w:rsidP="007334BE">
      <w:pPr>
        <w:suppressLineNumbers/>
        <w:jc w:val="center"/>
        <w:rPr>
          <w:rFonts w:ascii="Book Antiqua" w:hAnsi="Book Antiqua"/>
          <w:szCs w:val="24"/>
          <w:lang w:val="es-PR"/>
        </w:rPr>
      </w:pPr>
    </w:p>
    <w:p w14:paraId="7D7263BF" w14:textId="71F84BEA" w:rsidR="007334BE" w:rsidRPr="005D5296" w:rsidRDefault="002754D5" w:rsidP="002754D5">
      <w:pPr>
        <w:pStyle w:val="Title2"/>
        <w:suppressLineNumbers/>
        <w:tabs>
          <w:tab w:val="clear" w:pos="648"/>
          <w:tab w:val="clear" w:pos="7776"/>
          <w:tab w:val="clear" w:pos="7848"/>
        </w:tabs>
        <w:rPr>
          <w:rFonts w:ascii="Book Antiqua" w:hAnsi="Book Antiqua"/>
          <w:szCs w:val="24"/>
          <w:lang w:val="es-ES"/>
        </w:rPr>
      </w:pPr>
      <w:r w:rsidRPr="005D5296">
        <w:rPr>
          <w:rFonts w:ascii="Book Antiqua" w:hAnsi="Book Antiqua"/>
          <w:szCs w:val="24"/>
          <w:lang w:val="es-ES"/>
        </w:rPr>
        <w:t>20ma.</w:t>
      </w:r>
      <w:r w:rsidR="007334BE" w:rsidRPr="005D5296">
        <w:rPr>
          <w:rFonts w:ascii="Book Antiqua" w:hAnsi="Book Antiqua"/>
          <w:szCs w:val="24"/>
          <w:vertAlign w:val="superscript"/>
          <w:lang w:val="es-ES"/>
        </w:rPr>
        <w:tab/>
      </w:r>
      <w:r w:rsidR="007334BE" w:rsidRPr="005D5296">
        <w:rPr>
          <w:rFonts w:ascii="Book Antiqua" w:hAnsi="Book Antiqua"/>
          <w:szCs w:val="24"/>
          <w:lang w:val="es-ES"/>
        </w:rPr>
        <w:t>Asamblea</w:t>
      </w:r>
      <w:r w:rsidR="007334BE" w:rsidRPr="005D5296">
        <w:rPr>
          <w:rFonts w:ascii="Book Antiqua" w:hAnsi="Book Antiqua"/>
          <w:szCs w:val="24"/>
          <w:lang w:val="es-ES"/>
        </w:rPr>
        <w:tab/>
      </w:r>
      <w:r w:rsidRPr="005D5296">
        <w:rPr>
          <w:rFonts w:ascii="Book Antiqua" w:hAnsi="Book Antiqua"/>
          <w:szCs w:val="24"/>
          <w:lang w:val="es-ES"/>
        </w:rPr>
        <w:t xml:space="preserve">                                                                                               3ra. </w:t>
      </w:r>
      <w:r w:rsidR="007334BE" w:rsidRPr="005D5296">
        <w:rPr>
          <w:rFonts w:ascii="Book Antiqua" w:hAnsi="Book Antiqua"/>
          <w:szCs w:val="24"/>
          <w:lang w:val="es-ES"/>
        </w:rPr>
        <w:t>Sesión</w:t>
      </w:r>
    </w:p>
    <w:p w14:paraId="2869843C" w14:textId="2A1A7D6E" w:rsidR="007334BE" w:rsidRPr="005D5296" w:rsidRDefault="007334BE" w:rsidP="002754D5">
      <w:pPr>
        <w:pStyle w:val="Title2"/>
        <w:suppressLineNumbers/>
        <w:tabs>
          <w:tab w:val="clear" w:pos="648"/>
          <w:tab w:val="clear" w:pos="7776"/>
          <w:tab w:val="clear" w:pos="7848"/>
        </w:tabs>
        <w:rPr>
          <w:rFonts w:ascii="Book Antiqua" w:hAnsi="Book Antiqua"/>
          <w:szCs w:val="24"/>
          <w:lang w:val="es-ES"/>
        </w:rPr>
      </w:pPr>
      <w:r w:rsidRPr="005D5296">
        <w:rPr>
          <w:rFonts w:ascii="Book Antiqua" w:hAnsi="Book Antiqua"/>
          <w:szCs w:val="24"/>
          <w:lang w:val="es-ES"/>
        </w:rPr>
        <w:tab/>
        <w:t>Legislativa</w:t>
      </w:r>
      <w:r w:rsidRPr="005D5296">
        <w:rPr>
          <w:rFonts w:ascii="Book Antiqua" w:hAnsi="Book Antiqua"/>
          <w:szCs w:val="24"/>
          <w:lang w:val="es-ES"/>
        </w:rPr>
        <w:tab/>
      </w:r>
      <w:r w:rsidRPr="005D5296">
        <w:rPr>
          <w:rFonts w:ascii="Book Antiqua" w:hAnsi="Book Antiqua"/>
          <w:szCs w:val="24"/>
          <w:lang w:val="es-ES"/>
        </w:rPr>
        <w:tab/>
      </w:r>
      <w:r w:rsidR="002754D5" w:rsidRPr="005D5296">
        <w:rPr>
          <w:rFonts w:ascii="Book Antiqua" w:hAnsi="Book Antiqua"/>
          <w:szCs w:val="24"/>
          <w:lang w:val="es-ES"/>
        </w:rPr>
        <w:t xml:space="preserve">                                                                                          </w:t>
      </w:r>
      <w:r w:rsidRPr="005D5296">
        <w:rPr>
          <w:rFonts w:ascii="Book Antiqua" w:hAnsi="Book Antiqua"/>
          <w:szCs w:val="24"/>
          <w:lang w:val="es-ES"/>
        </w:rPr>
        <w:t>Ordinaria</w:t>
      </w:r>
    </w:p>
    <w:p w14:paraId="7302B05C" w14:textId="77777777" w:rsidR="007334BE" w:rsidRPr="005D5296" w:rsidRDefault="007334BE" w:rsidP="007334BE">
      <w:pPr>
        <w:suppressLineNumbers/>
        <w:rPr>
          <w:szCs w:val="24"/>
          <w:lang w:val="es-ES"/>
        </w:rPr>
      </w:pPr>
    </w:p>
    <w:p w14:paraId="4934ACF6" w14:textId="77777777" w:rsidR="007334BE" w:rsidRPr="004C75C2" w:rsidRDefault="007334BE" w:rsidP="004A6874">
      <w:pPr>
        <w:suppressLineNumbers/>
        <w:jc w:val="center"/>
        <w:rPr>
          <w:rFonts w:ascii="Book Antiqua" w:hAnsi="Book Antiqua"/>
          <w:b/>
          <w:sz w:val="36"/>
          <w:szCs w:val="36"/>
          <w:lang w:val="es-PR"/>
        </w:rPr>
      </w:pPr>
      <w:r w:rsidRPr="004C75C2">
        <w:rPr>
          <w:rFonts w:ascii="Book Antiqua" w:hAnsi="Book Antiqua"/>
          <w:b/>
          <w:sz w:val="36"/>
          <w:szCs w:val="36"/>
          <w:lang w:val="es-PR"/>
        </w:rPr>
        <w:t>CÁMARA DE REPRESENTANTES</w:t>
      </w:r>
    </w:p>
    <w:p w14:paraId="04DC36CF" w14:textId="77777777" w:rsidR="007334BE" w:rsidRPr="004C75C2" w:rsidRDefault="007334BE" w:rsidP="004A6874">
      <w:pPr>
        <w:suppressLineNumbers/>
        <w:jc w:val="center"/>
        <w:rPr>
          <w:rFonts w:ascii="Book Antiqua" w:hAnsi="Book Antiqua"/>
          <w:b/>
          <w:szCs w:val="24"/>
          <w:lang w:val="es-PR"/>
        </w:rPr>
      </w:pPr>
    </w:p>
    <w:p w14:paraId="2345BD3E" w14:textId="50EA0180" w:rsidR="007334BE" w:rsidRPr="004A6874" w:rsidRDefault="007334BE" w:rsidP="004A6874">
      <w:pPr>
        <w:suppressLineNumbers/>
        <w:jc w:val="center"/>
        <w:rPr>
          <w:rFonts w:ascii="Book Antiqua" w:hAnsi="Book Antiqua"/>
          <w:b/>
          <w:sz w:val="52"/>
          <w:szCs w:val="52"/>
          <w:lang w:val="es-PR"/>
        </w:rPr>
      </w:pPr>
      <w:r w:rsidRPr="004C75C2">
        <w:rPr>
          <w:rFonts w:ascii="Book Antiqua" w:hAnsi="Book Antiqua"/>
          <w:b/>
          <w:sz w:val="52"/>
          <w:szCs w:val="52"/>
          <w:lang w:val="es-PR"/>
        </w:rPr>
        <w:t xml:space="preserve">R. de la C. </w:t>
      </w:r>
      <w:r w:rsidR="007056EA">
        <w:rPr>
          <w:rFonts w:ascii="Book Antiqua" w:hAnsi="Book Antiqua"/>
          <w:b/>
          <w:sz w:val="52"/>
          <w:szCs w:val="52"/>
          <w:lang w:val="es-PR"/>
        </w:rPr>
        <w:t>675</w:t>
      </w:r>
    </w:p>
    <w:p w14:paraId="26BA4D17" w14:textId="77777777" w:rsidR="004A6874" w:rsidRDefault="004A6874" w:rsidP="004A6874">
      <w:pPr>
        <w:jc w:val="center"/>
        <w:rPr>
          <w:rFonts w:ascii="Book Antiqua" w:hAnsi="Book Antiqua"/>
          <w:szCs w:val="24"/>
          <w:lang w:val="es-ES"/>
        </w:rPr>
      </w:pPr>
    </w:p>
    <w:p w14:paraId="39D02EDE" w14:textId="25A72F83" w:rsidR="00172E63" w:rsidRPr="00783725" w:rsidRDefault="00152862" w:rsidP="004A6874">
      <w:pPr>
        <w:jc w:val="center"/>
        <w:rPr>
          <w:rFonts w:ascii="Book Antiqua" w:hAnsi="Book Antiqua"/>
          <w:szCs w:val="24"/>
          <w:lang w:val="es-ES"/>
        </w:rPr>
      </w:pPr>
      <w:r>
        <w:rPr>
          <w:rFonts w:ascii="Book Antiqua" w:hAnsi="Book Antiqua"/>
          <w:szCs w:val="24"/>
          <w:lang w:val="es-ES"/>
        </w:rPr>
        <w:t>21</w:t>
      </w:r>
      <w:r w:rsidR="000830F8" w:rsidRPr="00783725">
        <w:rPr>
          <w:rFonts w:ascii="Book Antiqua" w:hAnsi="Book Antiqua"/>
          <w:szCs w:val="24"/>
          <w:lang w:val="es-ES"/>
        </w:rPr>
        <w:t xml:space="preserve"> </w:t>
      </w:r>
      <w:r w:rsidR="002754D5">
        <w:rPr>
          <w:rFonts w:ascii="Book Antiqua" w:hAnsi="Book Antiqua"/>
          <w:szCs w:val="24"/>
          <w:lang w:val="es-ES"/>
        </w:rPr>
        <w:t>DE ABRIL DE</w:t>
      </w:r>
      <w:r w:rsidR="00172E63" w:rsidRPr="00783725">
        <w:rPr>
          <w:rFonts w:ascii="Book Antiqua" w:hAnsi="Book Antiqua"/>
          <w:szCs w:val="24"/>
          <w:lang w:val="es-ES"/>
        </w:rPr>
        <w:t xml:space="preserve"> 202</w:t>
      </w:r>
      <w:r w:rsidR="00B37285">
        <w:rPr>
          <w:rFonts w:ascii="Book Antiqua" w:hAnsi="Book Antiqua"/>
          <w:szCs w:val="24"/>
          <w:lang w:val="es-ES"/>
        </w:rPr>
        <w:t>6</w:t>
      </w:r>
    </w:p>
    <w:p w14:paraId="40678C59" w14:textId="77777777" w:rsidR="004A6874" w:rsidRDefault="004A6874" w:rsidP="004A6874">
      <w:pPr>
        <w:jc w:val="center"/>
        <w:rPr>
          <w:rFonts w:ascii="Book Antiqua" w:hAnsi="Book Antiqua"/>
          <w:szCs w:val="24"/>
          <w:lang w:val="es-ES"/>
        </w:rPr>
      </w:pPr>
    </w:p>
    <w:p w14:paraId="68B7B56A" w14:textId="5F79703F" w:rsidR="001663EC" w:rsidRPr="003933B0" w:rsidRDefault="00172E63" w:rsidP="001663EC">
      <w:pPr>
        <w:ind w:left="810" w:hanging="810"/>
        <w:jc w:val="both"/>
        <w:rPr>
          <w:rFonts w:ascii="Book Antiqua" w:eastAsia="Aptos" w:hAnsi="Book Antiqua"/>
          <w:lang w:val="es-ES"/>
        </w:rPr>
      </w:pPr>
      <w:r w:rsidRPr="00783725">
        <w:rPr>
          <w:rFonts w:ascii="Book Antiqua" w:hAnsi="Book Antiqua"/>
          <w:szCs w:val="24"/>
          <w:lang w:val="es-ES"/>
        </w:rPr>
        <w:t>Presentad</w:t>
      </w:r>
      <w:r w:rsidR="00513988" w:rsidRPr="00783725">
        <w:rPr>
          <w:rFonts w:ascii="Book Antiqua" w:hAnsi="Book Antiqua"/>
          <w:szCs w:val="24"/>
          <w:lang w:val="es-ES"/>
        </w:rPr>
        <w:t>a</w:t>
      </w:r>
      <w:r w:rsidRPr="00783725">
        <w:rPr>
          <w:rFonts w:ascii="Book Antiqua" w:hAnsi="Book Antiqua"/>
          <w:szCs w:val="24"/>
          <w:lang w:val="es-ES"/>
        </w:rPr>
        <w:t xml:space="preserve"> por</w:t>
      </w:r>
      <w:r w:rsidR="000830F8" w:rsidRPr="00783725">
        <w:rPr>
          <w:rFonts w:ascii="Book Antiqua" w:hAnsi="Book Antiqua"/>
          <w:szCs w:val="24"/>
          <w:lang w:val="es-ES"/>
        </w:rPr>
        <w:t xml:space="preserve"> </w:t>
      </w:r>
      <w:r w:rsidR="001663EC">
        <w:rPr>
          <w:rFonts w:ascii="Book Antiqua" w:hAnsi="Book Antiqua"/>
          <w:szCs w:val="24"/>
          <w:lang w:val="es-ES"/>
        </w:rPr>
        <w:t>los</w:t>
      </w:r>
      <w:r w:rsidR="00E052F5">
        <w:rPr>
          <w:rFonts w:ascii="Book Antiqua" w:hAnsi="Book Antiqua"/>
          <w:szCs w:val="24"/>
          <w:lang w:val="es-ES"/>
        </w:rPr>
        <w:t xml:space="preserve"> </w:t>
      </w:r>
      <w:r w:rsidR="00B37285">
        <w:rPr>
          <w:rFonts w:ascii="Book Antiqua" w:hAnsi="Book Antiqua"/>
          <w:szCs w:val="24"/>
          <w:lang w:val="es-ES"/>
        </w:rPr>
        <w:t>representante</w:t>
      </w:r>
      <w:r w:rsidR="001663EC">
        <w:rPr>
          <w:rFonts w:ascii="Book Antiqua" w:hAnsi="Book Antiqua"/>
          <w:szCs w:val="24"/>
          <w:lang w:val="es-ES"/>
        </w:rPr>
        <w:t>s</w:t>
      </w:r>
      <w:r w:rsidR="000830F8" w:rsidRPr="00783725">
        <w:rPr>
          <w:rFonts w:ascii="Book Antiqua" w:hAnsi="Book Antiqua"/>
          <w:szCs w:val="24"/>
          <w:lang w:val="es-ES"/>
        </w:rPr>
        <w:t xml:space="preserve"> </w:t>
      </w:r>
      <w:r w:rsidR="00B37285">
        <w:rPr>
          <w:rFonts w:ascii="Book Antiqua" w:hAnsi="Book Antiqua"/>
          <w:i/>
          <w:iCs/>
          <w:szCs w:val="24"/>
          <w:lang w:val="es-ES"/>
        </w:rPr>
        <w:t>Morey Nobl</w:t>
      </w:r>
      <w:r w:rsidR="001663EC">
        <w:rPr>
          <w:rFonts w:ascii="Book Antiqua" w:hAnsi="Book Antiqua"/>
          <w:i/>
          <w:iCs/>
          <w:szCs w:val="24"/>
          <w:lang w:val="es-ES"/>
        </w:rPr>
        <w:t xml:space="preserve">e, Méndez Núñez, </w:t>
      </w:r>
      <w:r w:rsidR="001663EC" w:rsidRPr="001663EC">
        <w:rPr>
          <w:rFonts w:ascii="Book Antiqua" w:hAnsi="Book Antiqua"/>
          <w:szCs w:val="24"/>
          <w:lang w:val="es-ES"/>
        </w:rPr>
        <w:t>la representante</w:t>
      </w:r>
      <w:r w:rsidR="001663EC">
        <w:rPr>
          <w:rFonts w:ascii="Book Antiqua" w:hAnsi="Book Antiqua"/>
          <w:i/>
          <w:iCs/>
          <w:szCs w:val="24"/>
          <w:lang w:val="es-ES"/>
        </w:rPr>
        <w:t xml:space="preserve"> Lebrón Rodríguez, </w:t>
      </w:r>
      <w:r w:rsidR="001663EC" w:rsidRPr="003933B0">
        <w:rPr>
          <w:rFonts w:ascii="Book Antiqua" w:eastAsia="Aptos" w:hAnsi="Book Antiqua"/>
          <w:lang w:val="es-ES"/>
        </w:rPr>
        <w:t xml:space="preserve">los representantes </w:t>
      </w:r>
      <w:r w:rsidR="001663EC" w:rsidRPr="002754D5">
        <w:rPr>
          <w:rFonts w:ascii="Book Antiqua" w:eastAsia="Aptos" w:hAnsi="Book Antiqua"/>
          <w:i/>
          <w:iCs/>
          <w:lang w:val="es-ES"/>
        </w:rPr>
        <w:t>Peña Ramírez, Torres Zamora</w:t>
      </w:r>
      <w:r w:rsidR="001663EC" w:rsidRPr="003933B0">
        <w:rPr>
          <w:rFonts w:ascii="Book Antiqua" w:eastAsia="Aptos" w:hAnsi="Book Antiqua"/>
          <w:lang w:val="es-ES"/>
        </w:rPr>
        <w:t xml:space="preserve">, </w:t>
      </w:r>
      <w:r w:rsidR="001663EC" w:rsidRPr="002754D5">
        <w:rPr>
          <w:rFonts w:ascii="Book Antiqua" w:eastAsia="Aptos" w:hAnsi="Book Antiqua"/>
          <w:i/>
          <w:iCs/>
          <w:lang w:val="es-ES"/>
        </w:rPr>
        <w:t>Román López</w:t>
      </w:r>
      <w:r w:rsidR="001663EC" w:rsidRPr="002754D5">
        <w:rPr>
          <w:rFonts w:ascii="Book Antiqua" w:eastAsia="Aptos" w:hAnsi="Book Antiqua"/>
          <w:lang w:val="es-ES"/>
        </w:rPr>
        <w:t>,</w:t>
      </w:r>
      <w:r w:rsidR="001663EC" w:rsidRPr="002754D5">
        <w:rPr>
          <w:rFonts w:ascii="Book Antiqua" w:eastAsia="Aptos" w:hAnsi="Book Antiqua"/>
          <w:i/>
          <w:iCs/>
          <w:lang w:val="es-ES"/>
        </w:rPr>
        <w:t xml:space="preserve"> Ocasio Ramos</w:t>
      </w:r>
      <w:r w:rsidR="001663EC">
        <w:rPr>
          <w:rFonts w:ascii="Book Antiqua" w:eastAsia="Aptos" w:hAnsi="Book Antiqua"/>
          <w:lang w:val="es-ES"/>
        </w:rPr>
        <w:t xml:space="preserve">, </w:t>
      </w:r>
      <w:r w:rsidR="001663EC" w:rsidRPr="002754D5">
        <w:rPr>
          <w:rFonts w:ascii="Book Antiqua" w:eastAsia="Aptos" w:hAnsi="Book Antiqua"/>
          <w:i/>
          <w:iCs/>
          <w:lang w:val="es-ES"/>
        </w:rPr>
        <w:t xml:space="preserve">Hernández </w:t>
      </w:r>
      <w:r w:rsidR="002754D5" w:rsidRPr="002754D5">
        <w:rPr>
          <w:rFonts w:ascii="Book Antiqua" w:eastAsia="Aptos" w:hAnsi="Book Antiqua"/>
          <w:i/>
          <w:iCs/>
          <w:lang w:val="es-ES"/>
        </w:rPr>
        <w:t>Concepción</w:t>
      </w:r>
      <w:r w:rsidR="001663EC">
        <w:rPr>
          <w:rFonts w:ascii="Book Antiqua" w:eastAsia="Aptos" w:hAnsi="Book Antiqua"/>
          <w:lang w:val="es-ES"/>
        </w:rPr>
        <w:t xml:space="preserve">, </w:t>
      </w:r>
      <w:r w:rsidR="001663EC" w:rsidRPr="002754D5">
        <w:rPr>
          <w:rFonts w:ascii="Book Antiqua" w:eastAsia="Aptos" w:hAnsi="Book Antiqua"/>
          <w:i/>
          <w:iCs/>
          <w:lang w:val="es-ES"/>
        </w:rPr>
        <w:t xml:space="preserve">Navarro </w:t>
      </w:r>
      <w:r w:rsidR="00172CE8" w:rsidRPr="000F0CE9">
        <w:rPr>
          <w:rFonts w:ascii="Book Antiqua" w:eastAsia="Aptos" w:hAnsi="Book Antiqua"/>
          <w:i/>
          <w:iCs/>
          <w:lang w:val="es-ES"/>
        </w:rPr>
        <w:t>Suárez</w:t>
      </w:r>
      <w:r w:rsidR="001663EC">
        <w:rPr>
          <w:rFonts w:ascii="Book Antiqua" w:eastAsia="Aptos" w:hAnsi="Book Antiqua"/>
          <w:lang w:val="es-ES"/>
        </w:rPr>
        <w:t xml:space="preserve">, </w:t>
      </w:r>
      <w:r w:rsidR="001663EC" w:rsidRPr="002754D5">
        <w:rPr>
          <w:rFonts w:ascii="Book Antiqua" w:eastAsia="Aptos" w:hAnsi="Book Antiqua"/>
          <w:i/>
          <w:iCs/>
          <w:lang w:val="es-ES"/>
        </w:rPr>
        <w:t>Pacheco Burgos</w:t>
      </w:r>
      <w:r w:rsidR="001663EC">
        <w:rPr>
          <w:rFonts w:ascii="Book Antiqua" w:eastAsia="Aptos" w:hAnsi="Book Antiqua"/>
          <w:lang w:val="es-ES"/>
        </w:rPr>
        <w:t xml:space="preserve">, </w:t>
      </w:r>
      <w:r w:rsidR="001663EC" w:rsidRPr="002754D5">
        <w:rPr>
          <w:rFonts w:ascii="Book Antiqua" w:eastAsia="Aptos" w:hAnsi="Book Antiqua"/>
          <w:i/>
          <w:iCs/>
          <w:lang w:val="es-ES"/>
        </w:rPr>
        <w:t>Santiago Guzmán</w:t>
      </w:r>
      <w:r w:rsidR="001663EC">
        <w:rPr>
          <w:rFonts w:ascii="Book Antiqua" w:eastAsia="Aptos" w:hAnsi="Book Antiqua"/>
          <w:lang w:val="es-ES"/>
        </w:rPr>
        <w:t>, la</w:t>
      </w:r>
      <w:r w:rsidR="001663EC" w:rsidRPr="002754D5">
        <w:rPr>
          <w:rFonts w:ascii="Book Antiqua" w:eastAsia="Aptos" w:hAnsi="Book Antiqua"/>
          <w:lang w:val="es-ES"/>
        </w:rPr>
        <w:t>s</w:t>
      </w:r>
      <w:r w:rsidR="001663EC">
        <w:rPr>
          <w:rFonts w:ascii="Book Antiqua" w:eastAsia="Aptos" w:hAnsi="Book Antiqua"/>
          <w:lang w:val="es-ES"/>
        </w:rPr>
        <w:t xml:space="preserve"> </w:t>
      </w:r>
      <w:r w:rsidR="002754D5">
        <w:rPr>
          <w:rFonts w:ascii="Book Antiqua" w:eastAsia="Aptos" w:hAnsi="Book Antiqua"/>
          <w:lang w:val="es-ES"/>
        </w:rPr>
        <w:t xml:space="preserve">representantes </w:t>
      </w:r>
      <w:r w:rsidR="001663EC" w:rsidRPr="002754D5">
        <w:rPr>
          <w:rFonts w:ascii="Book Antiqua" w:eastAsia="Aptos" w:hAnsi="Book Antiqua"/>
          <w:i/>
          <w:iCs/>
          <w:lang w:val="es-ES"/>
        </w:rPr>
        <w:t>González Aguayo</w:t>
      </w:r>
      <w:r w:rsidR="001663EC">
        <w:rPr>
          <w:rFonts w:ascii="Book Antiqua" w:eastAsia="Aptos" w:hAnsi="Book Antiqua"/>
          <w:lang w:val="es-ES"/>
        </w:rPr>
        <w:t xml:space="preserve">, </w:t>
      </w:r>
      <w:r w:rsidR="001663EC" w:rsidRPr="002754D5">
        <w:rPr>
          <w:rFonts w:ascii="Book Antiqua" w:eastAsia="Aptos" w:hAnsi="Book Antiqua"/>
          <w:i/>
          <w:iCs/>
          <w:lang w:val="es-ES"/>
        </w:rPr>
        <w:t xml:space="preserve">González </w:t>
      </w:r>
      <w:proofErr w:type="spellStart"/>
      <w:r w:rsidR="001663EC" w:rsidRPr="002754D5">
        <w:rPr>
          <w:rFonts w:ascii="Book Antiqua" w:eastAsia="Aptos" w:hAnsi="Book Antiqua"/>
          <w:i/>
          <w:iCs/>
          <w:lang w:val="es-ES"/>
        </w:rPr>
        <w:t>González</w:t>
      </w:r>
      <w:proofErr w:type="spellEnd"/>
      <w:r w:rsidR="001663EC">
        <w:rPr>
          <w:rFonts w:ascii="Book Antiqua" w:eastAsia="Aptos" w:hAnsi="Book Antiqua"/>
          <w:lang w:val="es-ES"/>
        </w:rPr>
        <w:t xml:space="preserve">, </w:t>
      </w:r>
      <w:r w:rsidR="001663EC" w:rsidRPr="002754D5">
        <w:rPr>
          <w:rFonts w:ascii="Book Antiqua" w:eastAsia="Aptos" w:hAnsi="Book Antiqua"/>
          <w:i/>
          <w:iCs/>
          <w:lang w:val="es-ES"/>
        </w:rPr>
        <w:t>Martínez Vázquez</w:t>
      </w:r>
      <w:r w:rsidR="001663EC">
        <w:rPr>
          <w:rFonts w:ascii="Book Antiqua" w:eastAsia="Aptos" w:hAnsi="Book Antiqua"/>
          <w:lang w:val="es-ES"/>
        </w:rPr>
        <w:t xml:space="preserve">, los representantes </w:t>
      </w:r>
      <w:r w:rsidR="001663EC" w:rsidRPr="002754D5">
        <w:rPr>
          <w:rFonts w:ascii="Book Antiqua" w:eastAsia="Aptos" w:hAnsi="Book Antiqua"/>
          <w:i/>
          <w:iCs/>
          <w:lang w:val="es-ES"/>
        </w:rPr>
        <w:t>Roque Gracia</w:t>
      </w:r>
      <w:r w:rsidR="001663EC">
        <w:rPr>
          <w:rFonts w:ascii="Book Antiqua" w:eastAsia="Aptos" w:hAnsi="Book Antiqua"/>
          <w:lang w:val="es-ES"/>
        </w:rPr>
        <w:t xml:space="preserve">, </w:t>
      </w:r>
      <w:r w:rsidR="001663EC" w:rsidRPr="002754D5">
        <w:rPr>
          <w:rFonts w:ascii="Book Antiqua" w:eastAsia="Aptos" w:hAnsi="Book Antiqua"/>
          <w:i/>
          <w:iCs/>
          <w:lang w:val="es-ES"/>
        </w:rPr>
        <w:t>Sanabria Colón</w:t>
      </w:r>
      <w:r w:rsidR="001663EC">
        <w:rPr>
          <w:rFonts w:ascii="Book Antiqua" w:eastAsia="Aptos" w:hAnsi="Book Antiqua"/>
          <w:lang w:val="es-ES"/>
        </w:rPr>
        <w:t xml:space="preserve">, </w:t>
      </w:r>
      <w:r w:rsidR="001663EC" w:rsidRPr="002754D5">
        <w:rPr>
          <w:rFonts w:ascii="Book Antiqua" w:eastAsia="Aptos" w:hAnsi="Book Antiqua"/>
          <w:i/>
          <w:iCs/>
          <w:lang w:val="es-ES"/>
        </w:rPr>
        <w:t>Muriel Sánchez</w:t>
      </w:r>
      <w:r w:rsidR="00DC032E" w:rsidRPr="002754D5">
        <w:rPr>
          <w:rFonts w:ascii="Book Antiqua" w:eastAsia="Aptos" w:hAnsi="Book Antiqua"/>
          <w:lang w:val="es-ES"/>
        </w:rPr>
        <w:t>,</w:t>
      </w:r>
      <w:r w:rsidR="00DC032E" w:rsidRPr="002754D5">
        <w:rPr>
          <w:rFonts w:ascii="Book Antiqua" w:eastAsia="Aptos" w:hAnsi="Book Antiqua"/>
          <w:i/>
          <w:iCs/>
          <w:lang w:val="es-ES"/>
        </w:rPr>
        <w:t xml:space="preserve"> Aponte Hernández</w:t>
      </w:r>
      <w:r w:rsidR="00DC032E" w:rsidRPr="002754D5">
        <w:rPr>
          <w:rFonts w:ascii="Book Antiqua" w:eastAsia="Aptos" w:hAnsi="Book Antiqua"/>
          <w:lang w:val="es-ES"/>
        </w:rPr>
        <w:t>,</w:t>
      </w:r>
      <w:r w:rsidR="00DC032E" w:rsidRPr="002754D5">
        <w:rPr>
          <w:rFonts w:ascii="Book Antiqua" w:eastAsia="Aptos" w:hAnsi="Book Antiqua"/>
          <w:i/>
          <w:iCs/>
          <w:lang w:val="es-ES"/>
        </w:rPr>
        <w:t xml:space="preserve"> Parés Otero</w:t>
      </w:r>
      <w:r w:rsidR="00DC032E" w:rsidRPr="002754D5">
        <w:rPr>
          <w:rFonts w:ascii="Book Antiqua" w:eastAsia="Aptos" w:hAnsi="Book Antiqua"/>
          <w:lang w:val="es-ES"/>
        </w:rPr>
        <w:t>,</w:t>
      </w:r>
      <w:r w:rsidR="00DC032E" w:rsidRPr="002754D5">
        <w:rPr>
          <w:rFonts w:ascii="Book Antiqua" w:eastAsia="Aptos" w:hAnsi="Book Antiqua"/>
          <w:i/>
          <w:iCs/>
          <w:lang w:val="es-ES"/>
        </w:rPr>
        <w:t xml:space="preserve"> </w:t>
      </w:r>
      <w:r w:rsidR="00DC032E" w:rsidRPr="002754D5">
        <w:rPr>
          <w:rFonts w:ascii="Book Antiqua" w:eastAsia="Aptos" w:hAnsi="Book Antiqua"/>
          <w:lang w:val="es-ES"/>
        </w:rPr>
        <w:t>la representante</w:t>
      </w:r>
      <w:r w:rsidR="00DC032E" w:rsidRPr="002754D5">
        <w:rPr>
          <w:rFonts w:ascii="Book Antiqua" w:eastAsia="Aptos" w:hAnsi="Book Antiqua"/>
          <w:i/>
          <w:iCs/>
          <w:lang w:val="es-ES"/>
        </w:rPr>
        <w:t xml:space="preserve"> Pérez Ramírez</w:t>
      </w:r>
      <w:r w:rsidR="00DC032E" w:rsidRPr="002754D5">
        <w:rPr>
          <w:rFonts w:ascii="Book Antiqua" w:eastAsia="Aptos" w:hAnsi="Book Antiqua"/>
          <w:lang w:val="es-ES"/>
        </w:rPr>
        <w:t>,</w:t>
      </w:r>
      <w:r w:rsidR="00DC032E" w:rsidRPr="002754D5">
        <w:rPr>
          <w:rFonts w:ascii="Book Antiqua" w:eastAsia="Aptos" w:hAnsi="Book Antiqua"/>
          <w:i/>
          <w:iCs/>
          <w:lang w:val="es-ES"/>
        </w:rPr>
        <w:t xml:space="preserve"> </w:t>
      </w:r>
      <w:r w:rsidR="00DC032E" w:rsidRPr="002754D5">
        <w:rPr>
          <w:rFonts w:ascii="Book Antiqua" w:eastAsia="Aptos" w:hAnsi="Book Antiqua"/>
          <w:lang w:val="es-ES"/>
        </w:rPr>
        <w:t>el representante</w:t>
      </w:r>
      <w:r w:rsidR="00DC032E">
        <w:rPr>
          <w:rFonts w:ascii="Book Antiqua" w:eastAsia="Aptos" w:hAnsi="Book Antiqua"/>
          <w:lang w:val="es-ES"/>
        </w:rPr>
        <w:t xml:space="preserve"> </w:t>
      </w:r>
      <w:r w:rsidR="00DC032E" w:rsidRPr="002754D5">
        <w:rPr>
          <w:rFonts w:ascii="Book Antiqua" w:eastAsia="Aptos" w:hAnsi="Book Antiqua"/>
          <w:i/>
          <w:iCs/>
          <w:lang w:val="es-ES"/>
        </w:rPr>
        <w:t>Carlo Acosta</w:t>
      </w:r>
      <w:r w:rsidR="00DC032E">
        <w:rPr>
          <w:rFonts w:ascii="Book Antiqua" w:eastAsia="Aptos" w:hAnsi="Book Antiqua"/>
          <w:lang w:val="es-ES"/>
        </w:rPr>
        <w:t xml:space="preserve">, </w:t>
      </w:r>
      <w:r w:rsidR="00DC032E" w:rsidRPr="002754D5">
        <w:rPr>
          <w:rFonts w:ascii="Book Antiqua" w:eastAsia="Aptos" w:hAnsi="Book Antiqua"/>
          <w:i/>
          <w:iCs/>
          <w:lang w:val="es-ES"/>
        </w:rPr>
        <w:t>Colón Rodríguez</w:t>
      </w:r>
      <w:r w:rsidR="00DC032E">
        <w:rPr>
          <w:rFonts w:ascii="Book Antiqua" w:eastAsia="Aptos" w:hAnsi="Book Antiqua"/>
          <w:lang w:val="es-ES"/>
        </w:rPr>
        <w:t xml:space="preserve">, </w:t>
      </w:r>
      <w:r w:rsidR="00DC032E" w:rsidRPr="002754D5">
        <w:rPr>
          <w:rFonts w:ascii="Book Antiqua" w:eastAsia="Aptos" w:hAnsi="Book Antiqua"/>
          <w:i/>
          <w:iCs/>
          <w:lang w:val="es-ES"/>
        </w:rPr>
        <w:t>Jiménez Torres</w:t>
      </w:r>
      <w:r w:rsidR="00DC032E">
        <w:rPr>
          <w:rFonts w:ascii="Book Antiqua" w:eastAsia="Aptos" w:hAnsi="Book Antiqua"/>
          <w:lang w:val="es-ES"/>
        </w:rPr>
        <w:t xml:space="preserve">, la representante </w:t>
      </w:r>
      <w:r w:rsidR="00DC032E" w:rsidRPr="002754D5">
        <w:rPr>
          <w:rFonts w:ascii="Book Antiqua" w:eastAsia="Aptos" w:hAnsi="Book Antiqua"/>
          <w:i/>
          <w:iCs/>
          <w:lang w:val="es-ES"/>
        </w:rPr>
        <w:t xml:space="preserve">Medina </w:t>
      </w:r>
      <w:r w:rsidR="00172CE8" w:rsidRPr="000F0CE9">
        <w:rPr>
          <w:rFonts w:ascii="Book Antiqua" w:eastAsia="Aptos" w:hAnsi="Book Antiqua"/>
          <w:i/>
          <w:iCs/>
          <w:lang w:val="es-ES"/>
        </w:rPr>
        <w:t>Calderón</w:t>
      </w:r>
      <w:r w:rsidR="00DC032E">
        <w:rPr>
          <w:rFonts w:ascii="Book Antiqua" w:eastAsia="Aptos" w:hAnsi="Book Antiqua"/>
          <w:lang w:val="es-ES"/>
        </w:rPr>
        <w:t xml:space="preserve">, </w:t>
      </w:r>
      <w:r w:rsidR="002754D5" w:rsidRPr="002754D5">
        <w:rPr>
          <w:rFonts w:ascii="Book Antiqua" w:eastAsia="Aptos" w:hAnsi="Book Antiqua"/>
          <w:i/>
          <w:iCs/>
          <w:lang w:val="es-ES"/>
        </w:rPr>
        <w:t>Del Valle Correa</w:t>
      </w:r>
      <w:r w:rsidR="002754D5">
        <w:rPr>
          <w:rFonts w:ascii="Book Antiqua" w:eastAsia="Aptos" w:hAnsi="Book Antiqua"/>
          <w:lang w:val="es-ES"/>
        </w:rPr>
        <w:t xml:space="preserve">, los representantes </w:t>
      </w:r>
      <w:r w:rsidR="002754D5" w:rsidRPr="002754D5">
        <w:rPr>
          <w:rFonts w:ascii="Book Antiqua" w:eastAsia="Aptos" w:hAnsi="Book Antiqua"/>
          <w:i/>
          <w:iCs/>
          <w:lang w:val="es-ES"/>
        </w:rPr>
        <w:t>López Román</w:t>
      </w:r>
      <w:r w:rsidR="002754D5">
        <w:rPr>
          <w:rFonts w:ascii="Book Antiqua" w:eastAsia="Aptos" w:hAnsi="Book Antiqua"/>
          <w:lang w:val="es-ES"/>
        </w:rPr>
        <w:t xml:space="preserve">, </w:t>
      </w:r>
      <w:r w:rsidR="002754D5" w:rsidRPr="002754D5">
        <w:rPr>
          <w:rFonts w:ascii="Book Antiqua" w:eastAsia="Aptos" w:hAnsi="Book Antiqua"/>
          <w:i/>
          <w:iCs/>
          <w:lang w:val="es-ES"/>
        </w:rPr>
        <w:t>Rodríguez Aguiló</w:t>
      </w:r>
      <w:r w:rsidR="002754D5">
        <w:rPr>
          <w:rFonts w:ascii="Book Antiqua" w:eastAsia="Aptos" w:hAnsi="Book Antiqua"/>
          <w:lang w:val="es-ES"/>
        </w:rPr>
        <w:t xml:space="preserve"> y </w:t>
      </w:r>
      <w:r w:rsidR="002754D5" w:rsidRPr="002754D5">
        <w:rPr>
          <w:rFonts w:ascii="Book Antiqua" w:eastAsia="Aptos" w:hAnsi="Book Antiqua"/>
          <w:i/>
          <w:iCs/>
          <w:lang w:val="es-ES"/>
        </w:rPr>
        <w:t>Pérez Ortiz</w:t>
      </w:r>
    </w:p>
    <w:p w14:paraId="5D219C61" w14:textId="77777777" w:rsidR="004A6874" w:rsidRDefault="004A6874" w:rsidP="004A6874">
      <w:pPr>
        <w:jc w:val="center"/>
        <w:rPr>
          <w:rFonts w:ascii="Book Antiqua" w:hAnsi="Book Antiqua"/>
          <w:i/>
          <w:szCs w:val="24"/>
          <w:lang w:val="es-ES"/>
        </w:rPr>
      </w:pPr>
    </w:p>
    <w:p w14:paraId="3BD86FEB" w14:textId="33681CD7" w:rsidR="007E34E9" w:rsidRPr="00783725" w:rsidRDefault="004A6874" w:rsidP="004A6874">
      <w:pPr>
        <w:jc w:val="center"/>
        <w:rPr>
          <w:rFonts w:ascii="Book Antiqua" w:hAnsi="Book Antiqua"/>
          <w:i/>
          <w:szCs w:val="24"/>
          <w:lang w:val="es-ES"/>
        </w:rPr>
      </w:pPr>
      <w:r>
        <w:rPr>
          <w:rFonts w:ascii="Book Antiqua" w:hAnsi="Book Antiqua"/>
          <w:iCs/>
          <w:szCs w:val="24"/>
          <w:lang w:val="es-ES"/>
        </w:rPr>
        <w:t xml:space="preserve">Referida a la Comisión </w:t>
      </w:r>
      <w:r w:rsidRPr="004A6874">
        <w:rPr>
          <w:rFonts w:ascii="Book Antiqua" w:hAnsi="Book Antiqua"/>
          <w:iCs/>
          <w:szCs w:val="24"/>
          <w:lang w:val="es-ES"/>
        </w:rPr>
        <w:t>de Asuntos Internos</w:t>
      </w:r>
    </w:p>
    <w:p w14:paraId="14805E62" w14:textId="77777777" w:rsidR="004A6874" w:rsidRDefault="004A6874" w:rsidP="004A6874">
      <w:pPr>
        <w:pStyle w:val="NormalWeb"/>
        <w:spacing w:before="0" w:beforeAutospacing="0" w:after="0" w:afterAutospacing="0"/>
        <w:jc w:val="center"/>
        <w:rPr>
          <w:rFonts w:ascii="Book Antiqua" w:hAnsi="Book Antiqua"/>
          <w:b/>
          <w:lang w:val="es-ES"/>
        </w:rPr>
      </w:pPr>
    </w:p>
    <w:p w14:paraId="794A6509" w14:textId="4808CBD4" w:rsidR="00E82F08" w:rsidRPr="004A6874" w:rsidRDefault="0028783F" w:rsidP="004A6874">
      <w:pPr>
        <w:pStyle w:val="NormalWeb"/>
        <w:spacing w:before="0" w:beforeAutospacing="0" w:after="0" w:afterAutospacing="0"/>
        <w:jc w:val="center"/>
        <w:rPr>
          <w:rFonts w:ascii="Book Antiqua" w:hAnsi="Book Antiqua"/>
          <w:b/>
          <w:sz w:val="28"/>
          <w:szCs w:val="28"/>
          <w:lang w:val="es-ES"/>
        </w:rPr>
      </w:pPr>
      <w:r w:rsidRPr="004A6874">
        <w:rPr>
          <w:rFonts w:ascii="Book Antiqua" w:hAnsi="Book Antiqua"/>
          <w:b/>
          <w:sz w:val="28"/>
          <w:szCs w:val="28"/>
          <w:lang w:val="es-ES"/>
        </w:rPr>
        <w:t>RESOLUCIÓN</w:t>
      </w:r>
    </w:p>
    <w:p w14:paraId="1A23FFD6" w14:textId="77777777" w:rsidR="004A6874" w:rsidRPr="00B37285" w:rsidRDefault="004A6874" w:rsidP="004A6874">
      <w:pPr>
        <w:pStyle w:val="NormalWeb"/>
        <w:spacing w:before="0" w:beforeAutospacing="0" w:after="0" w:afterAutospacing="0"/>
        <w:jc w:val="center"/>
        <w:rPr>
          <w:rFonts w:ascii="Book Antiqua" w:hAnsi="Book Antiqua"/>
          <w:lang w:val="es-PR"/>
        </w:rPr>
      </w:pPr>
    </w:p>
    <w:p w14:paraId="3A3739DD" w14:textId="0A1D40D1" w:rsidR="00D31713" w:rsidRPr="00B37285" w:rsidRDefault="00B37285" w:rsidP="004A6874">
      <w:pPr>
        <w:ind w:left="720" w:hanging="720"/>
        <w:jc w:val="both"/>
        <w:rPr>
          <w:rFonts w:ascii="Book Antiqua" w:hAnsi="Book Antiqua"/>
          <w:lang w:val="es-ES_tradnl"/>
        </w:rPr>
      </w:pPr>
      <w:r w:rsidRPr="004A6874">
        <w:rPr>
          <w:rFonts w:ascii="Book Antiqua" w:hAnsi="Book Antiqua"/>
          <w:lang w:val="es-ES_tradnl"/>
        </w:rPr>
        <w:t>P</w:t>
      </w:r>
      <w:r w:rsidR="004A6874" w:rsidRPr="004A6874">
        <w:rPr>
          <w:rFonts w:ascii="Book Antiqua" w:hAnsi="Book Antiqua"/>
          <w:lang w:val="es-ES_tradnl"/>
        </w:rPr>
        <w:t>ara</w:t>
      </w:r>
      <w:r w:rsidRPr="00B37285">
        <w:rPr>
          <w:rFonts w:ascii="Book Antiqua" w:hAnsi="Book Antiqua"/>
          <w:b/>
          <w:bCs/>
          <w:lang w:val="es-ES_tradnl"/>
        </w:rPr>
        <w:t xml:space="preserve"> </w:t>
      </w:r>
      <w:r w:rsidRPr="00B37285">
        <w:rPr>
          <w:rFonts w:ascii="Book Antiqua" w:hAnsi="Book Antiqua"/>
          <w:lang w:val="es-ES_tradnl"/>
        </w:rPr>
        <w:t xml:space="preserve">solicitar respetuosamente a la Honorable Laura Taylor Swain, que tome una decisión final y definitiva sobre el proceso de reestructuración de la deuda de la Autoridad de Energía Eléctrica de Puerto Rico (AEE), que no conceda extensiones adicionales al período de mediación </w:t>
      </w:r>
      <w:r w:rsidR="00405FF0" w:rsidRPr="000F0CE9">
        <w:rPr>
          <w:rFonts w:ascii="Book Antiqua" w:hAnsi="Book Antiqua"/>
          <w:lang w:val="es-ES_tradnl"/>
        </w:rPr>
        <w:t>cuando estas no adelanten una solución justa</w:t>
      </w:r>
      <w:r w:rsidR="00EF1F37" w:rsidRPr="000F0CE9">
        <w:rPr>
          <w:rFonts w:ascii="Book Antiqua" w:hAnsi="Book Antiqua"/>
          <w:lang w:val="es-ES_tradnl"/>
        </w:rPr>
        <w:t>, razonable y sostenible, y que encamine el proceso hacia una determinación final sin dilaciones</w:t>
      </w:r>
      <w:r w:rsidR="00F55DB4" w:rsidRPr="000F0CE9">
        <w:rPr>
          <w:rFonts w:ascii="Book Antiqua" w:hAnsi="Book Antiqua"/>
          <w:lang w:val="es-ES_tradnl"/>
        </w:rPr>
        <w:t xml:space="preserve"> innecesarias</w:t>
      </w:r>
      <w:r w:rsidRPr="000F0CE9">
        <w:rPr>
          <w:rFonts w:ascii="Book Antiqua" w:hAnsi="Book Antiqua"/>
          <w:lang w:val="es-ES_tradnl"/>
        </w:rPr>
        <w:t>,</w:t>
      </w:r>
      <w:r w:rsidRPr="00B37285">
        <w:rPr>
          <w:rFonts w:ascii="Book Antiqua" w:hAnsi="Book Antiqua"/>
          <w:lang w:val="es-ES_tradnl"/>
        </w:rPr>
        <w:t xml:space="preserve"> en aras del bienestar económico y social del </w:t>
      </w:r>
      <w:r w:rsidR="00D31713">
        <w:rPr>
          <w:rFonts w:ascii="Book Antiqua" w:hAnsi="Book Antiqua"/>
          <w:lang w:val="es-ES_tradnl"/>
        </w:rPr>
        <w:t>P</w:t>
      </w:r>
      <w:r w:rsidRPr="00B37285">
        <w:rPr>
          <w:rFonts w:ascii="Book Antiqua" w:hAnsi="Book Antiqua"/>
          <w:lang w:val="es-ES_tradnl"/>
        </w:rPr>
        <w:t>ueblo de Puerto Rico.</w:t>
      </w:r>
    </w:p>
    <w:p w14:paraId="7047B1C5" w14:textId="77777777" w:rsidR="004A6874" w:rsidRDefault="004A6874" w:rsidP="004A6874">
      <w:pPr>
        <w:jc w:val="center"/>
        <w:rPr>
          <w:rFonts w:ascii="Book Antiqua" w:hAnsi="Book Antiqua"/>
          <w:b/>
          <w:szCs w:val="24"/>
          <w:lang w:val="es-ES"/>
        </w:rPr>
      </w:pPr>
    </w:p>
    <w:p w14:paraId="0FFC1E5F" w14:textId="284EC0D0" w:rsidR="00B54A82" w:rsidRPr="004A6874" w:rsidRDefault="00172E63" w:rsidP="004A6874">
      <w:pPr>
        <w:jc w:val="center"/>
        <w:rPr>
          <w:rFonts w:ascii="Book Antiqua" w:hAnsi="Book Antiqua"/>
          <w:bCs/>
          <w:szCs w:val="24"/>
          <w:lang w:val="es-ES"/>
        </w:rPr>
      </w:pPr>
      <w:r w:rsidRPr="004A6874">
        <w:rPr>
          <w:rFonts w:ascii="Book Antiqua" w:hAnsi="Book Antiqua"/>
          <w:bCs/>
          <w:szCs w:val="24"/>
          <w:lang w:val="es-ES"/>
        </w:rPr>
        <w:t>EXPOSICIÓN DE MOTIVOS</w:t>
      </w:r>
    </w:p>
    <w:p w14:paraId="2EFC3BA4" w14:textId="77777777" w:rsidR="004A6874" w:rsidRPr="00B37285" w:rsidRDefault="004A6874" w:rsidP="004A6874">
      <w:pPr>
        <w:jc w:val="center"/>
        <w:rPr>
          <w:rFonts w:ascii="Book Antiqua" w:hAnsi="Book Antiqua"/>
          <w:b/>
          <w:szCs w:val="24"/>
          <w:lang w:val="es-ES"/>
        </w:rPr>
      </w:pPr>
    </w:p>
    <w:p w14:paraId="3245C120" w14:textId="49ED2AA9" w:rsidR="00B37285" w:rsidRDefault="00B37285" w:rsidP="004A6874">
      <w:pPr>
        <w:ind w:firstLine="720"/>
        <w:jc w:val="both"/>
        <w:rPr>
          <w:rFonts w:ascii="Book Antiqua" w:hAnsi="Book Antiqua"/>
          <w:lang w:val="es-ES_tradnl"/>
        </w:rPr>
      </w:pPr>
      <w:r w:rsidRPr="00B37285">
        <w:rPr>
          <w:rFonts w:ascii="Book Antiqua" w:hAnsi="Book Antiqua"/>
          <w:lang w:val="es-ES_tradnl"/>
        </w:rPr>
        <w:t xml:space="preserve">La Autoridad de Energía Eléctrica de Puerto Rico (en adelante, "AEE") es la corporación pública </w:t>
      </w:r>
      <w:r w:rsidR="006162A2" w:rsidRPr="000F0CE9">
        <w:rPr>
          <w:rFonts w:ascii="Book Antiqua" w:hAnsi="Book Antiqua"/>
          <w:iCs/>
          <w:lang w:val="es-ES"/>
        </w:rPr>
        <w:t>históricamente responsable del sistema eléctrico y actualmente vinculada a la titularidad, planificación y obligaciones del servicio</w:t>
      </w:r>
      <w:r w:rsidR="00790B32" w:rsidRPr="000F0CE9">
        <w:rPr>
          <w:rFonts w:ascii="Book Antiqua" w:hAnsi="Book Antiqua"/>
          <w:iCs/>
          <w:lang w:val="es-ES_tradnl"/>
        </w:rPr>
        <w:t xml:space="preserve"> </w:t>
      </w:r>
      <w:r w:rsidRPr="00B37285">
        <w:rPr>
          <w:rFonts w:ascii="Book Antiqua" w:hAnsi="Book Antiqua"/>
          <w:lang w:val="es-ES_tradnl"/>
        </w:rPr>
        <w:t xml:space="preserve">de energía eléctrica en Puerto Rico. Por décadas, la AEE acumuló una deuda de aproximadamente nueve mil </w:t>
      </w:r>
      <w:r w:rsidRPr="00B37285">
        <w:rPr>
          <w:rFonts w:ascii="Book Antiqua" w:hAnsi="Book Antiqua"/>
          <w:lang w:val="es-ES_tradnl"/>
        </w:rPr>
        <w:lastRenderedPageBreak/>
        <w:t>millones de dólares ($9,000,000,000)</w:t>
      </w:r>
      <w:r w:rsidR="008A40DC">
        <w:rPr>
          <w:rFonts w:ascii="Book Antiqua" w:hAnsi="Book Antiqua"/>
          <w:lang w:val="es-ES_tradnl"/>
        </w:rPr>
        <w:t xml:space="preserve"> en principal</w:t>
      </w:r>
      <w:r w:rsidRPr="00B37285">
        <w:rPr>
          <w:rFonts w:ascii="Book Antiqua" w:hAnsi="Book Antiqua"/>
          <w:lang w:val="es-ES_tradnl"/>
        </w:rPr>
        <w:t xml:space="preserve">, producto de malas prácticas administrativas, subsidios políticos, </w:t>
      </w:r>
      <w:r w:rsidR="00DD20DC" w:rsidRPr="000F0CE9">
        <w:rPr>
          <w:rFonts w:ascii="Book Antiqua" w:hAnsi="Book Antiqua"/>
          <w:iCs/>
          <w:lang w:val="es-ES"/>
        </w:rPr>
        <w:t>señalamientos de corrupción</w:t>
      </w:r>
      <w:r w:rsidR="00DD20DC" w:rsidRPr="000F0CE9">
        <w:rPr>
          <w:iCs/>
          <w:lang w:val="es-ES"/>
        </w:rPr>
        <w:t>,</w:t>
      </w:r>
      <w:r w:rsidR="00CB28D1">
        <w:rPr>
          <w:rFonts w:ascii="Book Antiqua" w:hAnsi="Book Antiqua"/>
          <w:lang w:val="es-ES_tradnl"/>
        </w:rPr>
        <w:t xml:space="preserve"> </w:t>
      </w:r>
      <w:r w:rsidRPr="00B37285">
        <w:rPr>
          <w:rFonts w:ascii="Book Antiqua" w:hAnsi="Book Antiqua"/>
          <w:lang w:val="es-ES_tradnl"/>
        </w:rPr>
        <w:t>y la incapacidad de modernizar su infraestructura energética. Esta deuda convirtió a la AEE en uno de los principales impedimentos para el desarrollo económico de la Isla y en una carga insostenible para sus abonados y contribuyentes.</w:t>
      </w:r>
    </w:p>
    <w:p w14:paraId="69B43664" w14:textId="77777777" w:rsidR="004A6874" w:rsidRPr="00B37285" w:rsidRDefault="004A6874" w:rsidP="004A6874">
      <w:pPr>
        <w:ind w:firstLine="720"/>
        <w:jc w:val="both"/>
        <w:rPr>
          <w:rFonts w:ascii="Book Antiqua" w:hAnsi="Book Antiqua"/>
          <w:lang w:val="es-ES_tradnl"/>
        </w:rPr>
      </w:pPr>
    </w:p>
    <w:p w14:paraId="390EAA43" w14:textId="77777777" w:rsidR="00B37285" w:rsidRDefault="00B37285" w:rsidP="004A6874">
      <w:pPr>
        <w:ind w:firstLine="720"/>
        <w:jc w:val="both"/>
        <w:rPr>
          <w:rFonts w:ascii="Book Antiqua" w:hAnsi="Book Antiqua"/>
          <w:lang w:val="es-ES_tradnl"/>
        </w:rPr>
      </w:pPr>
      <w:r w:rsidRPr="00B37285">
        <w:rPr>
          <w:rFonts w:ascii="Book Antiqua" w:hAnsi="Book Antiqua"/>
          <w:lang w:val="es-ES_tradnl"/>
        </w:rPr>
        <w:t>El 2 de julio de 2017, la Junta de Supervisión y Administración Financiera para Puerto Rico (en adelante, "la Junta") presentó, en representación de la AEE, una petición de ajuste de deudas al amparo del Título III de la Ley de Supervisión, Administración y Estabilidad Económica de Puerto Rico (PROMESA, Ley Pública 114-187). Dicho caso fue asignado a la Honorable Laura Taylor Swain.  Desde esa fecha hasta el presente, han transcurrido casi nueve (9) años sin que el proceso haya concluido con una resolución definitiva que permita a la AEE reorganizarse, modernizarse y ofrecer servicio confiable y asequible al pueblo de Puerto Rico.</w:t>
      </w:r>
    </w:p>
    <w:p w14:paraId="7CB375A8" w14:textId="77777777" w:rsidR="004A6874" w:rsidRPr="00B37285" w:rsidRDefault="004A6874" w:rsidP="004A6874">
      <w:pPr>
        <w:ind w:firstLine="720"/>
        <w:jc w:val="both"/>
        <w:rPr>
          <w:rFonts w:ascii="Book Antiqua" w:hAnsi="Book Antiqua"/>
          <w:lang w:val="es-ES_tradnl"/>
        </w:rPr>
      </w:pPr>
    </w:p>
    <w:p w14:paraId="4EEE7C9F" w14:textId="050BF036" w:rsidR="00B37285" w:rsidRDefault="00B37285" w:rsidP="004A6874">
      <w:pPr>
        <w:ind w:firstLine="720"/>
        <w:jc w:val="both"/>
        <w:rPr>
          <w:rFonts w:ascii="Book Antiqua" w:hAnsi="Book Antiqua"/>
          <w:lang w:val="es-ES_tradnl"/>
        </w:rPr>
      </w:pPr>
      <w:r w:rsidRPr="000F0CE9">
        <w:rPr>
          <w:rFonts w:ascii="Book Antiqua" w:hAnsi="Book Antiqua"/>
          <w:lang w:val="es-ES_tradnl"/>
        </w:rPr>
        <w:t xml:space="preserve">Durante este tiempo, el proceso de reestructuración se ha caracterizado por una sucesión </w:t>
      </w:r>
      <w:r w:rsidR="00B2783D" w:rsidRPr="000F0CE9">
        <w:rPr>
          <w:rFonts w:ascii="Book Antiqua" w:hAnsi="Book Antiqua"/>
          <w:lang w:val="es-ES_tradnl"/>
        </w:rPr>
        <w:t xml:space="preserve">prolongada </w:t>
      </w:r>
      <w:r w:rsidRPr="000F0CE9">
        <w:rPr>
          <w:rFonts w:ascii="Book Antiqua" w:hAnsi="Book Antiqua"/>
          <w:lang w:val="es-ES_tradnl"/>
        </w:rPr>
        <w:t xml:space="preserve">de mediaciones, acuerdos frustrados, extensiones de plazos, disputas entre acreedores y la ausencia de liderazgo decisivo. </w:t>
      </w:r>
      <w:r w:rsidR="00BF490C" w:rsidRPr="000F0CE9">
        <w:rPr>
          <w:rFonts w:ascii="Book Antiqua" w:hAnsi="Book Antiqua"/>
          <w:lang w:val="es-ES"/>
        </w:rPr>
        <w:t>Esta realidad ha mantenido un estado de incertidumbre jurídica, financiera y operacional que afecta a los abonados, al Gobierno y a la recuperación económica de Puerto</w:t>
      </w:r>
      <w:r w:rsidR="00BF490C" w:rsidRPr="000F0CE9">
        <w:rPr>
          <w:lang w:val="es-ES"/>
        </w:rPr>
        <w:t xml:space="preserve"> Rico.</w:t>
      </w:r>
      <w:r w:rsidR="00BF490C">
        <w:rPr>
          <w:rFonts w:ascii="Book Antiqua" w:hAnsi="Book Antiqua"/>
          <w:lang w:val="es-ES_tradnl"/>
        </w:rPr>
        <w:t xml:space="preserve"> </w:t>
      </w:r>
      <w:r w:rsidRPr="00B37285">
        <w:rPr>
          <w:rFonts w:ascii="Book Antiqua" w:hAnsi="Book Antiqua"/>
          <w:lang w:val="es-ES_tradnl"/>
        </w:rPr>
        <w:t xml:space="preserve">Al momento de la presentación del caso, la AEE contaba con una deuda en bonos de aproximadamente ocho mil novecientos millones de dólares ($8,900,000,000), además de obligaciones con prestamistas de líneas de combustible, acreedores comerciales y otros acreedores no garantizados. </w:t>
      </w:r>
    </w:p>
    <w:p w14:paraId="553496BF" w14:textId="77777777" w:rsidR="004A6874" w:rsidRPr="00B37285" w:rsidRDefault="004A6874" w:rsidP="004A6874">
      <w:pPr>
        <w:ind w:firstLine="720"/>
        <w:jc w:val="both"/>
        <w:rPr>
          <w:rFonts w:ascii="Book Antiqua" w:hAnsi="Book Antiqua"/>
          <w:lang w:val="es-ES_tradnl"/>
        </w:rPr>
      </w:pPr>
    </w:p>
    <w:p w14:paraId="2E2FCE6F" w14:textId="77777777" w:rsidR="00B37285" w:rsidRPr="000F0CE9" w:rsidRDefault="00B37285" w:rsidP="004A6874">
      <w:pPr>
        <w:ind w:firstLine="720"/>
        <w:jc w:val="both"/>
        <w:rPr>
          <w:rFonts w:ascii="Book Antiqua" w:hAnsi="Book Antiqua"/>
          <w:lang w:val="es-ES_tradnl"/>
        </w:rPr>
      </w:pPr>
      <w:r w:rsidRPr="000F0CE9">
        <w:rPr>
          <w:rFonts w:ascii="Book Antiqua" w:hAnsi="Book Antiqua"/>
          <w:lang w:val="es-ES_tradnl"/>
        </w:rPr>
        <w:t>Las partes sostuvieron múltiples rondas de negociación durante los años 2017 y 2018 sin lograr un acuerdo sustantivo. La situación fue agravada dramáticamente por el Huracán María, que azotó a Puerto Rico el 20 de septiembre de 2017, causando daños catastróficos a la infraestructura eléctrica de la Isla, que tardó casi un año en ser parcialmente restaurada. El huracán no solo empeoró la ya deteriorada condición financiera de la AEE, sino que también generó litigios adicionales, reclamaciones de seguros y una mayor complejidad en las negociaciones.</w:t>
      </w:r>
    </w:p>
    <w:p w14:paraId="48D02ACB" w14:textId="77777777" w:rsidR="004A6874" w:rsidRPr="000F0CE9" w:rsidRDefault="004A6874" w:rsidP="004A6874">
      <w:pPr>
        <w:ind w:firstLine="720"/>
        <w:jc w:val="both"/>
        <w:rPr>
          <w:rFonts w:ascii="Book Antiqua" w:hAnsi="Book Antiqua"/>
          <w:lang w:val="es-ES_tradnl"/>
        </w:rPr>
      </w:pPr>
    </w:p>
    <w:p w14:paraId="26CA1660" w14:textId="3EF86CF6" w:rsidR="00085098" w:rsidRPr="000F0CE9" w:rsidRDefault="00B37285" w:rsidP="005B1BDE">
      <w:pPr>
        <w:spacing w:after="120"/>
        <w:ind w:firstLine="720"/>
        <w:jc w:val="both"/>
        <w:rPr>
          <w:iCs/>
          <w:lang w:val="es-ES"/>
        </w:rPr>
      </w:pPr>
      <w:r w:rsidRPr="000F0CE9">
        <w:rPr>
          <w:rFonts w:ascii="Book Antiqua" w:hAnsi="Book Antiqua"/>
          <w:lang w:val="es-ES_tradnl"/>
        </w:rPr>
        <w:t xml:space="preserve">La pandemia del COVID-19, que llegó a Puerto Rico en marzo de 2020, trajo consigo una contracción económica severa que redujo el consumo de energía y los ingresos de la AEE, complicando aún más sus proyecciones financieras.  En paralelo, el </w:t>
      </w:r>
      <w:r w:rsidR="002B2170" w:rsidRPr="000F0CE9">
        <w:rPr>
          <w:rFonts w:ascii="Book Antiqua" w:hAnsi="Book Antiqua"/>
          <w:lang w:val="es-ES_tradnl"/>
        </w:rPr>
        <w:t>G</w:t>
      </w:r>
      <w:r w:rsidRPr="000F0CE9">
        <w:rPr>
          <w:rFonts w:ascii="Book Antiqua" w:hAnsi="Book Antiqua"/>
          <w:lang w:val="es-ES_tradnl"/>
        </w:rPr>
        <w:t>obierno de Puerto Rico adjudicó a LUMA Energy el contrato para operar, mantener y modernizar el sistema de transmisión y distribución de energía eléctrica,</w:t>
      </w:r>
      <w:r w:rsidRPr="00B37285">
        <w:rPr>
          <w:rFonts w:ascii="Book Antiqua" w:hAnsi="Book Antiqua"/>
          <w:lang w:val="es-ES_tradnl"/>
        </w:rPr>
        <w:t xml:space="preserve"> </w:t>
      </w:r>
      <w:r w:rsidR="00085098" w:rsidRPr="000F0CE9">
        <w:rPr>
          <w:rFonts w:ascii="Book Antiqua" w:hAnsi="Book Antiqua"/>
          <w:iCs/>
          <w:lang w:val="es-ES"/>
        </w:rPr>
        <w:t>lo que añadió complejidad operacional, regulatoria y fiscal al proceso de reestructuración.</w:t>
      </w:r>
    </w:p>
    <w:p w14:paraId="1752AE3E" w14:textId="77777777" w:rsidR="004A6874" w:rsidRPr="00B37285" w:rsidRDefault="004A6874" w:rsidP="005B1BDE">
      <w:pPr>
        <w:jc w:val="both"/>
        <w:rPr>
          <w:rFonts w:ascii="Book Antiqua" w:hAnsi="Book Antiqua"/>
          <w:lang w:val="es-ES_tradnl"/>
        </w:rPr>
      </w:pPr>
    </w:p>
    <w:p w14:paraId="15236EB1" w14:textId="18C1727A" w:rsidR="00B37285" w:rsidRDefault="00B37285" w:rsidP="004A6874">
      <w:pPr>
        <w:ind w:firstLine="720"/>
        <w:jc w:val="both"/>
        <w:rPr>
          <w:rFonts w:ascii="Book Antiqua" w:hAnsi="Book Antiqua"/>
          <w:lang w:val="es-ES_tradnl"/>
        </w:rPr>
      </w:pPr>
      <w:r w:rsidRPr="00B37285">
        <w:rPr>
          <w:rFonts w:ascii="Book Antiqua" w:hAnsi="Book Antiqua"/>
          <w:lang w:val="es-ES_tradnl"/>
        </w:rPr>
        <w:t xml:space="preserve">La Junta presentó un nuevo Plan de Ajuste de Deudas para la AEE que contemplaba descuentos significativos para los tenedores de bonos. Los acreedores rechazaron las propuestas de la Junta, alegando que los descuentos propuestos eran </w:t>
      </w:r>
      <w:r w:rsidRPr="00B37285">
        <w:rPr>
          <w:rFonts w:ascii="Book Antiqua" w:hAnsi="Book Antiqua"/>
          <w:lang w:val="es-ES_tradnl"/>
        </w:rPr>
        <w:lastRenderedPageBreak/>
        <w:t xml:space="preserve">excesivos y que el plan </w:t>
      </w:r>
      <w:r w:rsidR="0081402B">
        <w:rPr>
          <w:rFonts w:ascii="Book Antiqua" w:hAnsi="Book Antiqua"/>
          <w:lang w:val="es-ES_tradnl"/>
        </w:rPr>
        <w:t>no se podía ratificar</w:t>
      </w:r>
      <w:r w:rsidRPr="00B37285">
        <w:rPr>
          <w:rFonts w:ascii="Book Antiqua" w:hAnsi="Book Antiqua"/>
          <w:lang w:val="es-ES_tradnl"/>
        </w:rPr>
        <w:t xml:space="preserve"> bajo la ley aplicable. El Tribunal ordenó nuevas rondas de mediación y designó a un mediador para facilitar las negociaciones.  Durante el año 2022, el mediador designado por el Tribunal sostuvo numerosas sesiones con las partes, pero los acreedores, la Junta y la AEE no pudieron llegar a un acuerdo sobre los términos del Plan de Ajuste. Los plazos para completar la mediación fueron extendidos en múltiples ocasiones por la Juez Swain, siempre con la expectativa de que las negociaciones en curso producirían eventualmente un consenso. El año concluyó sin un plan acordado ni un proceso de confirmación en curso.</w:t>
      </w:r>
    </w:p>
    <w:p w14:paraId="272EB579" w14:textId="77777777" w:rsidR="004A6874" w:rsidRPr="00B37285" w:rsidRDefault="004A6874" w:rsidP="004A6874">
      <w:pPr>
        <w:ind w:firstLine="720"/>
        <w:jc w:val="both"/>
        <w:rPr>
          <w:rFonts w:ascii="Book Antiqua" w:hAnsi="Book Antiqua"/>
          <w:lang w:val="es-ES_tradnl"/>
        </w:rPr>
      </w:pPr>
    </w:p>
    <w:p w14:paraId="0B5A4090" w14:textId="77777777" w:rsidR="00B37285" w:rsidRDefault="00B37285" w:rsidP="004A6874">
      <w:pPr>
        <w:ind w:firstLine="720"/>
        <w:jc w:val="both"/>
        <w:rPr>
          <w:rFonts w:ascii="Book Antiqua" w:hAnsi="Book Antiqua"/>
          <w:lang w:val="es-ES_tradnl"/>
        </w:rPr>
      </w:pPr>
      <w:r w:rsidRPr="00B37285">
        <w:rPr>
          <w:rFonts w:ascii="Book Antiqua" w:hAnsi="Book Antiqua"/>
          <w:lang w:val="es-ES_tradnl"/>
        </w:rPr>
        <w:t>En 2023, la Junta presentó una Declaración de Divulgación (</w:t>
      </w:r>
      <w:proofErr w:type="spellStart"/>
      <w:r w:rsidRPr="00B37285">
        <w:rPr>
          <w:rFonts w:ascii="Book Antiqua" w:hAnsi="Book Antiqua"/>
          <w:lang w:val="es-ES_tradnl"/>
        </w:rPr>
        <w:t>Disclosure</w:t>
      </w:r>
      <w:proofErr w:type="spellEnd"/>
      <w:r w:rsidRPr="00B37285">
        <w:rPr>
          <w:rFonts w:ascii="Book Antiqua" w:hAnsi="Book Antiqua"/>
          <w:lang w:val="es-ES_tradnl"/>
        </w:rPr>
        <w:t xml:space="preserve"> </w:t>
      </w:r>
      <w:proofErr w:type="spellStart"/>
      <w:r w:rsidRPr="00B37285">
        <w:rPr>
          <w:rFonts w:ascii="Book Antiqua" w:hAnsi="Book Antiqua"/>
          <w:lang w:val="es-ES_tradnl"/>
        </w:rPr>
        <w:t>Statement</w:t>
      </w:r>
      <w:proofErr w:type="spellEnd"/>
      <w:r w:rsidRPr="00B37285">
        <w:rPr>
          <w:rFonts w:ascii="Book Antiqua" w:hAnsi="Book Antiqua"/>
          <w:lang w:val="es-ES_tradnl"/>
        </w:rPr>
        <w:t>) y un Plan de Ajuste revisado para la AEE, intentando avanzar el caso hacia la etapa de confirmación. Se programaron vistas ante el Tribunal para atender el plan, pero estas fueron repetidamente pospuestas debido a disputas persistentes entre las partes sobre los términos, el monto de los descuentos para los tenedores de bonos, las reclamaciones de acreedores comerciales y la estructura final del plan.</w:t>
      </w:r>
    </w:p>
    <w:p w14:paraId="13871ED2" w14:textId="77777777" w:rsidR="004A6874" w:rsidRPr="00B37285" w:rsidRDefault="004A6874" w:rsidP="004A6874">
      <w:pPr>
        <w:ind w:firstLine="720"/>
        <w:jc w:val="both"/>
        <w:rPr>
          <w:rFonts w:ascii="Book Antiqua" w:hAnsi="Book Antiqua"/>
          <w:lang w:val="es-ES_tradnl"/>
        </w:rPr>
      </w:pPr>
    </w:p>
    <w:p w14:paraId="206B9A00" w14:textId="77777777" w:rsidR="00B37285" w:rsidRDefault="00B37285" w:rsidP="004A6874">
      <w:pPr>
        <w:ind w:firstLine="720"/>
        <w:jc w:val="both"/>
        <w:rPr>
          <w:rFonts w:ascii="Book Antiqua" w:hAnsi="Book Antiqua"/>
          <w:lang w:val="es-ES_tradnl"/>
        </w:rPr>
      </w:pPr>
      <w:r w:rsidRPr="00B37285">
        <w:rPr>
          <w:rFonts w:ascii="Book Antiqua" w:hAnsi="Book Antiqua"/>
          <w:lang w:val="es-ES_tradnl"/>
        </w:rPr>
        <w:t>La Juez Swain continuó concediendo extensiones al período de mediación a solicitud de las partes, con fundamento en que las negociaciones activas ofrecían perspectivas de acuerdo. Sin embargo, estas perspectivas nunca se materializaron. Cada extensión concedida fue seguida por un nuevo impasse, nuevas solicitudes de extensión y un nuevo ciclo de aplazamientos. El año 2023 concluyó sin un plan de ajuste confirmado.</w:t>
      </w:r>
    </w:p>
    <w:p w14:paraId="783510B6" w14:textId="77777777" w:rsidR="004A6874" w:rsidRPr="00B37285" w:rsidRDefault="004A6874" w:rsidP="004A6874">
      <w:pPr>
        <w:ind w:firstLine="720"/>
        <w:jc w:val="both"/>
        <w:rPr>
          <w:rFonts w:ascii="Book Antiqua" w:hAnsi="Book Antiqua"/>
          <w:lang w:val="es-ES_tradnl"/>
        </w:rPr>
      </w:pPr>
    </w:p>
    <w:p w14:paraId="5AFFA2A1" w14:textId="5B78FD9F" w:rsidR="00B37285" w:rsidRDefault="00B37285" w:rsidP="004A6874">
      <w:pPr>
        <w:ind w:firstLine="720"/>
        <w:jc w:val="both"/>
        <w:rPr>
          <w:rFonts w:ascii="Book Antiqua" w:hAnsi="Book Antiqua"/>
          <w:lang w:val="es-ES_tradnl"/>
        </w:rPr>
      </w:pPr>
      <w:r w:rsidRPr="00B37285">
        <w:rPr>
          <w:rFonts w:ascii="Book Antiqua" w:hAnsi="Book Antiqua"/>
          <w:lang w:val="es-ES_tradnl"/>
        </w:rPr>
        <w:t xml:space="preserve">Durante los años 2024 y 2025, el patrón de extensiones, aplazamientos y negociaciones infructuosas continuó de forma </w:t>
      </w:r>
      <w:r w:rsidR="00DA5F6D" w:rsidRPr="000F0CE9">
        <w:rPr>
          <w:rFonts w:ascii="Book Antiqua" w:hAnsi="Book Antiqua"/>
          <w:lang w:val="es-ES_tradnl"/>
        </w:rPr>
        <w:t>recurrente</w:t>
      </w:r>
      <w:r w:rsidRPr="000F0CE9">
        <w:rPr>
          <w:rFonts w:ascii="Book Antiqua" w:hAnsi="Book Antiqua"/>
          <w:lang w:val="es-ES_tradnl"/>
        </w:rPr>
        <w:t>.</w:t>
      </w:r>
      <w:r w:rsidRPr="00B37285">
        <w:rPr>
          <w:rFonts w:ascii="Book Antiqua" w:hAnsi="Book Antiqua"/>
          <w:lang w:val="es-ES_tradnl"/>
        </w:rPr>
        <w:t xml:space="preserve"> Las partes y el mediador sostuvieron múltiples rondas adicionales de negociación sin alcanzar un consenso definitivo. El Tribunal programó y reprogramó vistas de confirmación en varias ocasiones, solo para que fueran pospuestas de nuevo ante la ausencia de un acuerdo entre las partes. Mientras tanto, la empresa Genera PR inició operaciones para gestionar la generación de energía, añadiendo nuevas complejidades al marco operacional y financiero de la AEE.</w:t>
      </w:r>
    </w:p>
    <w:p w14:paraId="72756F80" w14:textId="77777777" w:rsidR="004A6874" w:rsidRPr="00B37285" w:rsidRDefault="004A6874" w:rsidP="004A6874">
      <w:pPr>
        <w:ind w:firstLine="720"/>
        <w:jc w:val="both"/>
        <w:rPr>
          <w:rFonts w:ascii="Book Antiqua" w:hAnsi="Book Antiqua"/>
          <w:lang w:val="es-ES_tradnl"/>
        </w:rPr>
      </w:pPr>
    </w:p>
    <w:p w14:paraId="1C0ECFE9" w14:textId="4BA697F3" w:rsidR="00B37285" w:rsidRDefault="00B37285" w:rsidP="004A6874">
      <w:pPr>
        <w:ind w:firstLine="720"/>
        <w:jc w:val="both"/>
        <w:rPr>
          <w:rFonts w:ascii="Book Antiqua" w:hAnsi="Book Antiqua"/>
          <w:lang w:val="es-ES_tradnl"/>
        </w:rPr>
      </w:pPr>
      <w:r w:rsidRPr="00B37285">
        <w:rPr>
          <w:rFonts w:ascii="Book Antiqua" w:hAnsi="Book Antiqua"/>
          <w:lang w:val="es-ES_tradnl"/>
        </w:rPr>
        <w:t xml:space="preserve">Los honorarios legales y de asesoría financiera acumulados en el caso durante estos años han ascendido a cientos de millones de dólares, recursos que provienen directamente de las arcas públicas y que podrían haberse destinado a mejorar la infraestructura energética, reducir las tarifas eléctricas o atender otras necesidades apremiantes del pueblo de Puerto Rico. Mientras los abogados y consultores continúan facturando, los abonados siguen pagando </w:t>
      </w:r>
      <w:r w:rsidR="008F1AA4" w:rsidRPr="000F0CE9">
        <w:rPr>
          <w:rFonts w:ascii="Book Antiqua" w:hAnsi="Book Antiqua"/>
          <w:iCs/>
          <w:lang w:val="es-ES"/>
        </w:rPr>
        <w:t>tarifas eléctricas entre las más elevadas en comparación con otras jurisdicciones de los Estados Unidos</w:t>
      </w:r>
      <w:r w:rsidR="008F1AA4">
        <w:rPr>
          <w:rFonts w:ascii="Book Antiqua" w:hAnsi="Book Antiqua"/>
          <w:lang w:val="es-ES_tradnl"/>
        </w:rPr>
        <w:t xml:space="preserve"> </w:t>
      </w:r>
      <w:r w:rsidRPr="00B37285">
        <w:rPr>
          <w:rFonts w:ascii="Book Antiqua" w:hAnsi="Book Antiqua"/>
          <w:lang w:val="es-ES_tradnl"/>
        </w:rPr>
        <w:t>y manteniendo un sistema energético deteriorado.</w:t>
      </w:r>
    </w:p>
    <w:p w14:paraId="21F4B4F9" w14:textId="77777777" w:rsidR="004A6874" w:rsidRPr="00B37285" w:rsidRDefault="004A6874" w:rsidP="004A6874">
      <w:pPr>
        <w:ind w:firstLine="720"/>
        <w:jc w:val="both"/>
        <w:rPr>
          <w:rFonts w:ascii="Book Antiqua" w:hAnsi="Book Antiqua"/>
          <w:lang w:val="es-ES_tradnl"/>
        </w:rPr>
      </w:pPr>
    </w:p>
    <w:p w14:paraId="7F4AD3D0" w14:textId="77777777" w:rsidR="00B37285" w:rsidRDefault="00B37285" w:rsidP="004A6874">
      <w:pPr>
        <w:ind w:firstLine="720"/>
        <w:jc w:val="both"/>
        <w:rPr>
          <w:rFonts w:ascii="Book Antiqua" w:hAnsi="Book Antiqua"/>
          <w:lang w:val="es-ES_tradnl"/>
        </w:rPr>
      </w:pPr>
      <w:r w:rsidRPr="00B37285">
        <w:rPr>
          <w:rFonts w:ascii="Book Antiqua" w:hAnsi="Book Antiqua"/>
          <w:lang w:val="es-ES_tradnl"/>
        </w:rPr>
        <w:lastRenderedPageBreak/>
        <w:t>La prolongación indefinida del proceso de reestructuración de la deuda de la AEE ha tenido consecuencias devastadoras para Puerto Rico que van mucho más allá del ámbito estrictamente financiero.</w:t>
      </w:r>
    </w:p>
    <w:p w14:paraId="0A510548" w14:textId="77777777" w:rsidR="004A6874" w:rsidRPr="00B37285" w:rsidRDefault="004A6874" w:rsidP="004A6874">
      <w:pPr>
        <w:ind w:firstLine="720"/>
        <w:jc w:val="both"/>
        <w:rPr>
          <w:rFonts w:ascii="Book Antiqua" w:hAnsi="Book Antiqua"/>
          <w:lang w:val="es-ES_tradnl"/>
        </w:rPr>
      </w:pPr>
    </w:p>
    <w:p w14:paraId="74ACDF46" w14:textId="5412D333" w:rsidR="00B37285" w:rsidRDefault="00B37285" w:rsidP="004A6874">
      <w:pPr>
        <w:ind w:firstLine="720"/>
        <w:jc w:val="both"/>
        <w:rPr>
          <w:rFonts w:ascii="Book Antiqua" w:hAnsi="Book Antiqua"/>
          <w:lang w:val="es-ES_tradnl"/>
        </w:rPr>
      </w:pPr>
      <w:r w:rsidRPr="00B37285">
        <w:rPr>
          <w:rFonts w:ascii="Book Antiqua" w:hAnsi="Book Antiqua"/>
          <w:lang w:val="es-ES_tradnl"/>
        </w:rPr>
        <w:t xml:space="preserve">En primer lugar, los residentes y empresas de Puerto Rico continúan pagando las tarifas eléctricas </w:t>
      </w:r>
      <w:r w:rsidR="000A326C" w:rsidRPr="000F0CE9">
        <w:rPr>
          <w:rFonts w:ascii="Book Antiqua" w:hAnsi="Book Antiqua"/>
          <w:iCs/>
          <w:lang w:val="es-ES"/>
        </w:rPr>
        <w:t>que se encuentran entre las más altas de los Estados Unidos, lo que afecta directamente la competitividad económica y el presupuesto familiar</w:t>
      </w:r>
      <w:r w:rsidRPr="00B37285">
        <w:rPr>
          <w:rFonts w:ascii="Book Antiqua" w:hAnsi="Book Antiqua"/>
          <w:lang w:val="es-ES_tradnl"/>
        </w:rPr>
        <w:t>. Esta situación impone una carga directa sobre el presupuesto de las familias puertorriqueñas, en particular las de escasos recursos, y reduce dramáticamente la competitividad de las empresas locales frente a competidores de otras jurisdicciones.</w:t>
      </w:r>
    </w:p>
    <w:p w14:paraId="1474AD8D" w14:textId="77777777" w:rsidR="004A6874" w:rsidRPr="00B37285" w:rsidRDefault="004A6874" w:rsidP="004A6874">
      <w:pPr>
        <w:ind w:firstLine="720"/>
        <w:jc w:val="both"/>
        <w:rPr>
          <w:rFonts w:ascii="Book Antiqua" w:hAnsi="Book Antiqua"/>
          <w:lang w:val="es-ES_tradnl"/>
        </w:rPr>
      </w:pPr>
    </w:p>
    <w:p w14:paraId="26FE856E" w14:textId="479AFBFA" w:rsidR="00B37285" w:rsidRDefault="00B37285" w:rsidP="004A6874">
      <w:pPr>
        <w:ind w:firstLine="720"/>
        <w:jc w:val="both"/>
        <w:rPr>
          <w:rFonts w:ascii="Book Antiqua" w:hAnsi="Book Antiqua"/>
          <w:lang w:val="es-ES_tradnl"/>
        </w:rPr>
      </w:pPr>
      <w:r w:rsidRPr="00B37285">
        <w:rPr>
          <w:rFonts w:ascii="Book Antiqua" w:hAnsi="Book Antiqua"/>
          <w:lang w:val="es-ES_tradnl"/>
        </w:rPr>
        <w:t xml:space="preserve">En segundo lugar, la incertidumbre generada por la prolongación del proceso de reestructuración </w:t>
      </w:r>
      <w:r w:rsidR="0081402B">
        <w:rPr>
          <w:rFonts w:ascii="Book Antiqua" w:hAnsi="Book Antiqua"/>
          <w:lang w:val="es-ES_tradnl"/>
        </w:rPr>
        <w:t xml:space="preserve">ha </w:t>
      </w:r>
      <w:r w:rsidR="0081402B" w:rsidRPr="00D31713">
        <w:rPr>
          <w:rFonts w:ascii="Book Antiqua" w:hAnsi="Book Antiqua"/>
          <w:lang w:val="es-ES"/>
        </w:rPr>
        <w:t>desincentivado</w:t>
      </w:r>
      <w:r w:rsidR="0081402B" w:rsidRPr="00DC0C7D">
        <w:rPr>
          <w:rFonts w:ascii="Book Antiqua" w:hAnsi="Book Antiqua"/>
          <w:lang w:val="es-ES"/>
        </w:rPr>
        <w:t xml:space="preserve"> </w:t>
      </w:r>
      <w:r w:rsidRPr="00B37285">
        <w:rPr>
          <w:rFonts w:ascii="Book Antiqua" w:hAnsi="Book Antiqua"/>
          <w:lang w:val="es-ES_tradnl"/>
        </w:rPr>
        <w:t>la inversión en el sector energético y en la economía de Puerto Rico en general. Los potenciales inversionistas encuentran difícil comprometerse con proyectos de largo plazo cuando el marco financiero y regulatorio del sistema eléctrico sigue siendo incierto. Esto ha retrasado la transición hacia la modernización de la red eléctrica y el cumplimiento de las metas de energía limpia establecidas en la ley.</w:t>
      </w:r>
    </w:p>
    <w:p w14:paraId="4E6D0F72" w14:textId="77777777" w:rsidR="004A6874" w:rsidRPr="00B37285" w:rsidRDefault="004A6874" w:rsidP="004A6874">
      <w:pPr>
        <w:ind w:firstLine="720"/>
        <w:jc w:val="both"/>
        <w:rPr>
          <w:rFonts w:ascii="Book Antiqua" w:hAnsi="Book Antiqua"/>
          <w:lang w:val="es-ES_tradnl"/>
        </w:rPr>
      </w:pPr>
    </w:p>
    <w:p w14:paraId="0D519053" w14:textId="58A9D1AF" w:rsidR="00B37285" w:rsidRDefault="00B37285" w:rsidP="004A6874">
      <w:pPr>
        <w:ind w:firstLine="720"/>
        <w:jc w:val="both"/>
        <w:rPr>
          <w:rFonts w:ascii="Book Antiqua" w:hAnsi="Book Antiqua"/>
          <w:lang w:val="es-ES_tradnl"/>
        </w:rPr>
      </w:pPr>
      <w:r w:rsidRPr="00B37285">
        <w:rPr>
          <w:rFonts w:ascii="Book Antiqua" w:hAnsi="Book Antiqua"/>
          <w:lang w:val="es-ES_tradnl"/>
        </w:rPr>
        <w:t xml:space="preserve">En tercer lugar, los cientos de millones de dólares gastados en honorarios de abogados, consultores financieros, asesores de reestructuración y otros profesionales representan recursos que han sido sustraídos del sistema energético y del pueblo de Puerto Rico </w:t>
      </w:r>
      <w:r w:rsidR="00401236" w:rsidRPr="000F0CE9">
        <w:rPr>
          <w:rFonts w:ascii="Book Antiqua" w:hAnsi="Book Antiqua"/>
          <w:iCs/>
          <w:lang w:val="es-ES"/>
        </w:rPr>
        <w:t>sin producir la certeza final y el beneficio público esperado</w:t>
      </w:r>
      <w:r w:rsidRPr="00B37285">
        <w:rPr>
          <w:rFonts w:ascii="Book Antiqua" w:hAnsi="Book Antiqua"/>
          <w:lang w:val="es-ES_tradnl"/>
        </w:rPr>
        <w:t>. Cada mes que pasa sin una resolución definitiva añade nuevos costos profesionales al proceso, en un ciclo donde los únicos beneficiarios son los profesionales que facturan por hora.</w:t>
      </w:r>
    </w:p>
    <w:p w14:paraId="470FBF4F" w14:textId="77777777" w:rsidR="004A6874" w:rsidRPr="00B37285" w:rsidRDefault="004A6874" w:rsidP="004A6874">
      <w:pPr>
        <w:ind w:firstLine="720"/>
        <w:jc w:val="both"/>
        <w:rPr>
          <w:rFonts w:ascii="Book Antiqua" w:hAnsi="Book Antiqua"/>
          <w:lang w:val="es-ES_tradnl"/>
        </w:rPr>
      </w:pPr>
    </w:p>
    <w:p w14:paraId="0D1A7EF2" w14:textId="77777777" w:rsidR="00B37285" w:rsidRDefault="00B37285" w:rsidP="004A6874">
      <w:pPr>
        <w:ind w:firstLine="720"/>
        <w:jc w:val="both"/>
        <w:rPr>
          <w:rFonts w:ascii="Book Antiqua" w:hAnsi="Book Antiqua"/>
          <w:lang w:val="es-ES_tradnl"/>
        </w:rPr>
      </w:pPr>
      <w:r w:rsidRPr="00B37285">
        <w:rPr>
          <w:rFonts w:ascii="Book Antiqua" w:hAnsi="Book Antiqua"/>
          <w:lang w:val="es-ES_tradnl"/>
        </w:rPr>
        <w:t>En cuarto lugar, la falta de una resolución definitiva perpetúa la incertidumbre crediticia de Puerto Rico, dificultando el acceso del gobierno a los mercados de capital en condiciones favorables y obstaculizando la recuperación económica de la Isla. El caso de la AEE es uno de los últimos grandes asuntos pendientes en el proceso general de reestructuración de la deuda de Puerto Rico bajo PROMESA, y su resolución es indispensable para cerrar ese capítulo y proyectar estabilidad fiscal.</w:t>
      </w:r>
    </w:p>
    <w:p w14:paraId="1F8B9537" w14:textId="77777777" w:rsidR="004A6874" w:rsidRPr="00B37285" w:rsidRDefault="004A6874" w:rsidP="004A6874">
      <w:pPr>
        <w:ind w:firstLine="720"/>
        <w:jc w:val="both"/>
        <w:rPr>
          <w:rFonts w:ascii="Book Antiqua" w:hAnsi="Book Antiqua"/>
          <w:lang w:val="es-ES_tradnl"/>
        </w:rPr>
      </w:pPr>
    </w:p>
    <w:p w14:paraId="4C84C5A2" w14:textId="1C32810B" w:rsidR="00B37285" w:rsidRDefault="00B37285" w:rsidP="004A6874">
      <w:pPr>
        <w:ind w:firstLine="720"/>
        <w:jc w:val="both"/>
        <w:rPr>
          <w:rFonts w:ascii="Book Antiqua" w:hAnsi="Book Antiqua"/>
          <w:lang w:val="es-ES_tradnl"/>
        </w:rPr>
      </w:pPr>
      <w:r w:rsidRPr="00B37285">
        <w:rPr>
          <w:rFonts w:ascii="Book Antiqua" w:hAnsi="Book Antiqua"/>
          <w:lang w:val="es-ES_tradnl"/>
        </w:rPr>
        <w:t>Por todo lo expuesto, la Cámara de Representantes</w:t>
      </w:r>
      <w:r w:rsidR="002B2170">
        <w:rPr>
          <w:rFonts w:ascii="Book Antiqua" w:hAnsi="Book Antiqua"/>
          <w:lang w:val="es-ES_tradnl"/>
        </w:rPr>
        <w:t xml:space="preserve"> </w:t>
      </w:r>
      <w:r w:rsidRPr="00B37285">
        <w:rPr>
          <w:rFonts w:ascii="Book Antiqua" w:hAnsi="Book Antiqua"/>
          <w:lang w:val="es-ES_tradnl"/>
        </w:rPr>
        <w:t xml:space="preserve">de Puerto Rico entiende firmemente que ha llegado el momento de que la Honorable Laura Taylor Swain, en el pleno ejercicio de su autoridad judicial, ponga fin a este proceso </w:t>
      </w:r>
      <w:r w:rsidR="008E6E58" w:rsidRPr="000F0CE9">
        <w:rPr>
          <w:rFonts w:ascii="Book Antiqua" w:hAnsi="Book Antiqua"/>
          <w:lang w:val="es-ES_tradnl"/>
        </w:rPr>
        <w:t>prolongado</w:t>
      </w:r>
      <w:r w:rsidRPr="00B37285">
        <w:rPr>
          <w:rFonts w:ascii="Book Antiqua" w:hAnsi="Book Antiqua"/>
          <w:lang w:val="es-ES_tradnl"/>
        </w:rPr>
        <w:t xml:space="preserve">, rechace cualquier solicitud adicional de extensión de la mediación </w:t>
      </w:r>
      <w:r w:rsidR="00074959" w:rsidRPr="000F0CE9">
        <w:rPr>
          <w:rFonts w:ascii="Book Antiqua" w:hAnsi="Book Antiqua"/>
          <w:iCs/>
          <w:lang w:val="es-ES"/>
        </w:rPr>
        <w:t>que no resulte estrictamente necesaria para adelantar una solución final, y encamine el caso hacia una determinación definitiva</w:t>
      </w:r>
      <w:r w:rsidR="00074959" w:rsidRPr="000F0CE9">
        <w:rPr>
          <w:rFonts w:ascii="Book Antiqua" w:hAnsi="Book Antiqua"/>
          <w:iCs/>
          <w:lang w:val="es-ES_tradnl"/>
        </w:rPr>
        <w:t xml:space="preserve"> </w:t>
      </w:r>
      <w:r w:rsidRPr="00B37285">
        <w:rPr>
          <w:rFonts w:ascii="Book Antiqua" w:hAnsi="Book Antiqua"/>
          <w:lang w:val="es-ES_tradnl"/>
        </w:rPr>
        <w:t>sobre el Plan de Ajuste de Deudas de la AEE. El pueblo de Puerto Rico ha esperado suficiente, y no puede continuar manteniendo los costos económicos, sociales y emocionales de una reestructuración que lleva casi una década sin concluir.</w:t>
      </w:r>
    </w:p>
    <w:p w14:paraId="6391A4A2" w14:textId="77777777" w:rsidR="004A6874" w:rsidRPr="00B37285" w:rsidRDefault="004A6874" w:rsidP="004A6874">
      <w:pPr>
        <w:ind w:firstLine="720"/>
        <w:jc w:val="both"/>
        <w:rPr>
          <w:rFonts w:ascii="Book Antiqua" w:hAnsi="Book Antiqua"/>
          <w:lang w:val="es-ES_tradnl"/>
        </w:rPr>
      </w:pPr>
    </w:p>
    <w:p w14:paraId="20472D59" w14:textId="77777777" w:rsidR="000F0CE9" w:rsidRDefault="000F0CE9" w:rsidP="004A687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bCs/>
          <w:i/>
          <w:iCs/>
          <w:szCs w:val="24"/>
          <w:lang w:val="es-ES"/>
        </w:rPr>
      </w:pPr>
    </w:p>
    <w:p w14:paraId="3205E4FB" w14:textId="4441E41D" w:rsidR="00172E63" w:rsidRPr="004A6874" w:rsidRDefault="00610E86" w:rsidP="004A687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bCs/>
          <w:i/>
          <w:iCs/>
          <w:szCs w:val="24"/>
          <w:lang w:val="es-ES"/>
        </w:rPr>
      </w:pPr>
      <w:r w:rsidRPr="004A6874">
        <w:rPr>
          <w:rFonts w:ascii="Book Antiqua" w:hAnsi="Book Antiqua"/>
          <w:bCs/>
          <w:i/>
          <w:iCs/>
          <w:szCs w:val="24"/>
          <w:lang w:val="es-ES"/>
        </w:rPr>
        <w:lastRenderedPageBreak/>
        <w:t>RESUÉLVESE</w:t>
      </w:r>
      <w:r w:rsidR="009C0CCE" w:rsidRPr="004A6874">
        <w:rPr>
          <w:rFonts w:ascii="Book Antiqua" w:hAnsi="Book Antiqua"/>
          <w:bCs/>
          <w:i/>
          <w:iCs/>
          <w:szCs w:val="24"/>
          <w:lang w:val="es-ES"/>
        </w:rPr>
        <w:t xml:space="preserve"> POR </w:t>
      </w:r>
      <w:r w:rsidR="00B37285" w:rsidRPr="004A6874">
        <w:rPr>
          <w:rFonts w:ascii="Book Antiqua" w:hAnsi="Book Antiqua"/>
          <w:bCs/>
          <w:i/>
          <w:iCs/>
          <w:szCs w:val="24"/>
          <w:lang w:val="es-ES"/>
        </w:rPr>
        <w:t xml:space="preserve">LA </w:t>
      </w:r>
      <w:r w:rsidR="00AD556F" w:rsidRPr="000F0CE9">
        <w:rPr>
          <w:rFonts w:ascii="Book Antiqua" w:hAnsi="Book Antiqua"/>
          <w:bCs/>
          <w:i/>
          <w:iCs/>
          <w:szCs w:val="24"/>
          <w:lang w:val="es-ES"/>
        </w:rPr>
        <w:t>CÁMARA</w:t>
      </w:r>
      <w:r w:rsidR="00AD556F">
        <w:rPr>
          <w:rFonts w:ascii="Book Antiqua" w:hAnsi="Book Antiqua"/>
          <w:bCs/>
          <w:i/>
          <w:iCs/>
          <w:szCs w:val="24"/>
          <w:lang w:val="es-ES"/>
        </w:rPr>
        <w:t xml:space="preserve"> </w:t>
      </w:r>
      <w:r w:rsidR="00B37285" w:rsidRPr="004A6874">
        <w:rPr>
          <w:rFonts w:ascii="Book Antiqua" w:hAnsi="Book Antiqua"/>
          <w:bCs/>
          <w:i/>
          <w:iCs/>
          <w:szCs w:val="24"/>
          <w:lang w:val="es-ES"/>
        </w:rPr>
        <w:t>DE REPRESENTANTES</w:t>
      </w:r>
      <w:r w:rsidR="000E015F" w:rsidRPr="004A6874">
        <w:rPr>
          <w:rFonts w:ascii="Book Antiqua" w:hAnsi="Book Antiqua"/>
          <w:bCs/>
          <w:i/>
          <w:iCs/>
          <w:szCs w:val="24"/>
          <w:lang w:val="es-ES"/>
        </w:rPr>
        <w:t xml:space="preserve"> </w:t>
      </w:r>
      <w:r w:rsidR="00172E63" w:rsidRPr="004A6874">
        <w:rPr>
          <w:rFonts w:ascii="Book Antiqua" w:hAnsi="Book Antiqua"/>
          <w:bCs/>
          <w:i/>
          <w:iCs/>
          <w:szCs w:val="24"/>
          <w:lang w:val="es-ES"/>
        </w:rPr>
        <w:t>DE PUERTO RICO:</w:t>
      </w:r>
    </w:p>
    <w:p w14:paraId="6CEB89B3" w14:textId="77777777" w:rsidR="00172E63" w:rsidRDefault="00172E63" w:rsidP="004A6874">
      <w:pPr>
        <w:jc w:val="both"/>
        <w:rPr>
          <w:rFonts w:ascii="Book Antiqua" w:hAnsi="Book Antiqua"/>
          <w:szCs w:val="24"/>
          <w:lang w:val="es-ES"/>
        </w:rPr>
      </w:pPr>
    </w:p>
    <w:p w14:paraId="272E3C0A" w14:textId="77777777" w:rsidR="004A6874" w:rsidRPr="00B37285" w:rsidRDefault="004A6874" w:rsidP="004A6874">
      <w:pPr>
        <w:jc w:val="both"/>
        <w:rPr>
          <w:rFonts w:ascii="Book Antiqua" w:hAnsi="Book Antiqua"/>
          <w:szCs w:val="24"/>
          <w:lang w:val="es-ES"/>
        </w:rPr>
        <w:sectPr w:rsidR="004A6874" w:rsidRPr="00B37285" w:rsidSect="00465E72">
          <w:headerReference w:type="default" r:id="rId11"/>
          <w:headerReference w:type="first" r:id="rId12"/>
          <w:type w:val="continuous"/>
          <w:pgSz w:w="12240" w:h="15840" w:code="1"/>
          <w:pgMar w:top="1440" w:right="1440" w:bottom="1440" w:left="1440" w:header="720" w:footer="720" w:gutter="0"/>
          <w:cols w:space="720"/>
          <w:titlePg/>
        </w:sectPr>
      </w:pPr>
    </w:p>
    <w:p w14:paraId="3FC5E146" w14:textId="0275F59A" w:rsidR="00D31713" w:rsidRDefault="00B37285" w:rsidP="003D7E92">
      <w:pPr>
        <w:spacing w:line="480" w:lineRule="auto"/>
        <w:ind w:firstLine="720"/>
        <w:jc w:val="both"/>
        <w:rPr>
          <w:rFonts w:ascii="Book Antiqua" w:hAnsi="Book Antiqua"/>
          <w:b/>
          <w:bCs/>
          <w:lang w:val="es-ES_tradnl"/>
        </w:rPr>
      </w:pPr>
      <w:r w:rsidRPr="00D31713">
        <w:rPr>
          <w:rFonts w:ascii="Book Antiqua" w:hAnsi="Book Antiqua"/>
          <w:lang w:val="es-ES_tradnl"/>
        </w:rPr>
        <w:t>Sección 1.</w:t>
      </w:r>
      <w:r w:rsidRPr="00B37285">
        <w:rPr>
          <w:rFonts w:ascii="Book Antiqua" w:hAnsi="Book Antiqua"/>
          <w:b/>
          <w:bCs/>
          <w:lang w:val="es-ES_tradnl"/>
        </w:rPr>
        <w:t xml:space="preserve"> </w:t>
      </w:r>
      <w:r w:rsidR="00D31713" w:rsidRPr="00D31713">
        <w:rPr>
          <w:rFonts w:ascii="Book Antiqua" w:hAnsi="Book Antiqua"/>
          <w:lang w:val="es-ES_tradnl"/>
        </w:rPr>
        <w:t>-</w:t>
      </w:r>
      <w:r w:rsidR="00D31713">
        <w:rPr>
          <w:rFonts w:ascii="Book Antiqua" w:hAnsi="Book Antiqua"/>
          <w:b/>
          <w:bCs/>
          <w:lang w:val="es-ES_tradnl"/>
        </w:rPr>
        <w:t xml:space="preserve"> </w:t>
      </w:r>
      <w:r w:rsidR="00D31713" w:rsidRPr="00D31713">
        <w:rPr>
          <w:rFonts w:ascii="Book Antiqua" w:hAnsi="Book Antiqua"/>
          <w:lang w:val="es-ES_tradnl"/>
        </w:rPr>
        <w:t>Este Cuerpo Legislativo efectúa la siguiente expresión:</w:t>
      </w:r>
      <w:r w:rsidR="00D31713">
        <w:rPr>
          <w:rFonts w:ascii="Book Antiqua" w:hAnsi="Book Antiqua"/>
          <w:b/>
          <w:bCs/>
          <w:lang w:val="es-ES_tradnl"/>
        </w:rPr>
        <w:t xml:space="preserve"> </w:t>
      </w:r>
    </w:p>
    <w:p w14:paraId="222D0037" w14:textId="10A71EBF" w:rsidR="00B37285" w:rsidRDefault="00B37285" w:rsidP="003D7E92">
      <w:pPr>
        <w:spacing w:line="480" w:lineRule="auto"/>
        <w:ind w:firstLine="720"/>
        <w:jc w:val="both"/>
        <w:rPr>
          <w:rFonts w:ascii="Book Antiqua" w:hAnsi="Book Antiqua"/>
          <w:lang w:val="es-ES_tradnl"/>
        </w:rPr>
      </w:pPr>
      <w:r w:rsidRPr="00B37285">
        <w:rPr>
          <w:rFonts w:ascii="Book Antiqua" w:hAnsi="Book Antiqua"/>
          <w:lang w:val="es-ES_tradnl"/>
        </w:rPr>
        <w:t xml:space="preserve">La Cámara de Representantes de Puerto Rico expresa su más profunda preocupación y consternación ante la prolongación </w:t>
      </w:r>
      <w:r w:rsidR="003D7E92" w:rsidRPr="000F0CE9">
        <w:rPr>
          <w:rFonts w:ascii="Book Antiqua" w:hAnsi="Book Antiqua"/>
          <w:lang w:val="es-ES_tradnl"/>
        </w:rPr>
        <w:t>excesiva</w:t>
      </w:r>
      <w:r w:rsidR="003D7E92">
        <w:rPr>
          <w:rFonts w:ascii="Book Antiqua" w:hAnsi="Book Antiqua"/>
          <w:lang w:val="es-ES_tradnl"/>
        </w:rPr>
        <w:t xml:space="preserve"> </w:t>
      </w:r>
      <w:r w:rsidRPr="00B37285">
        <w:rPr>
          <w:rFonts w:ascii="Book Antiqua" w:hAnsi="Book Antiqua"/>
          <w:lang w:val="es-ES_tradnl"/>
        </w:rPr>
        <w:t xml:space="preserve">del proceso de reestructuración de la deuda de la Autoridad de Energía Eléctrica de Puerto Rico bajo el Título III de PROMESA, el cual lleva casi nueve (9) años ante los tribunales federales sin una resolución definitiva, con graves consecuencias para el </w:t>
      </w:r>
      <w:r w:rsidR="00D31713">
        <w:rPr>
          <w:rFonts w:ascii="Book Antiqua" w:hAnsi="Book Antiqua"/>
          <w:lang w:val="es-ES_tradnl"/>
        </w:rPr>
        <w:t>P</w:t>
      </w:r>
      <w:r w:rsidRPr="00B37285">
        <w:rPr>
          <w:rFonts w:ascii="Book Antiqua" w:hAnsi="Book Antiqua"/>
          <w:lang w:val="es-ES_tradnl"/>
        </w:rPr>
        <w:t>ueblo de Puerto Rico.</w:t>
      </w:r>
    </w:p>
    <w:p w14:paraId="0DD596F1" w14:textId="556B5574" w:rsidR="00D31713" w:rsidRPr="00B37285" w:rsidRDefault="00D31713" w:rsidP="00AF6D17">
      <w:pPr>
        <w:spacing w:line="480" w:lineRule="auto"/>
        <w:ind w:firstLine="720"/>
        <w:jc w:val="both"/>
        <w:rPr>
          <w:rFonts w:ascii="Book Antiqua" w:hAnsi="Book Antiqua"/>
          <w:lang w:val="es-ES_tradnl"/>
        </w:rPr>
      </w:pPr>
      <w:r>
        <w:rPr>
          <w:rFonts w:ascii="Book Antiqua" w:hAnsi="Book Antiqua"/>
          <w:lang w:val="es-ES_tradnl"/>
        </w:rPr>
        <w:t xml:space="preserve">Por tal motivo </w:t>
      </w:r>
      <w:r w:rsidRPr="00B37285">
        <w:rPr>
          <w:rFonts w:ascii="Book Antiqua" w:hAnsi="Book Antiqua"/>
          <w:lang w:val="es-ES_tradnl"/>
        </w:rPr>
        <w:t>solicita respetuosamente a la Honorable Laura Taylor Swain, que tome una decisión final y definitiva sobre el Plan de Ajuste de Deudas de la Autoridad de Energía Eléctrica de Puerto Rico con la mayor brevedad posible y sin más dilaciones.</w:t>
      </w:r>
      <w:r>
        <w:rPr>
          <w:rFonts w:ascii="Book Antiqua" w:hAnsi="Book Antiqua"/>
          <w:lang w:val="es-ES_tradnl"/>
        </w:rPr>
        <w:t xml:space="preserve"> De igual modo, </w:t>
      </w:r>
      <w:r w:rsidRPr="00B37285">
        <w:rPr>
          <w:rFonts w:ascii="Book Antiqua" w:hAnsi="Book Antiqua"/>
          <w:lang w:val="es-ES_tradnl"/>
        </w:rPr>
        <w:t xml:space="preserve">solicita respetuosamente a la Honorable Laura Taylor Swain que no conceda extensiones adicionales al período de mediación en el caso de la AEE, </w:t>
      </w:r>
      <w:r w:rsidR="000C53A5" w:rsidRPr="000F0CE9">
        <w:rPr>
          <w:rFonts w:ascii="Book Antiqua" w:hAnsi="Book Antiqua"/>
          <w:iCs/>
          <w:lang w:val="es-ES"/>
        </w:rPr>
        <w:t>salvo que el Tribunal determine que son estrictamente necesarias y</w:t>
      </w:r>
      <w:r w:rsidR="00711918">
        <w:rPr>
          <w:rFonts w:ascii="Book Antiqua" w:hAnsi="Book Antiqua"/>
          <w:lang w:val="es-ES_tradnl"/>
        </w:rPr>
        <w:t xml:space="preserve"> </w:t>
      </w:r>
      <w:r w:rsidRPr="00B37285">
        <w:rPr>
          <w:rFonts w:ascii="Book Antiqua" w:hAnsi="Book Antiqua"/>
          <w:lang w:val="es-ES_tradnl"/>
        </w:rPr>
        <w:t xml:space="preserve">para producir un acuerdo entre las partes después de múltiples rondas de negociaciones a lo largo de varios años, y que continuar extendiéndolo solo perpetúa los perjuicios económicos y sociales que sufre el </w:t>
      </w:r>
      <w:r>
        <w:rPr>
          <w:rFonts w:ascii="Book Antiqua" w:hAnsi="Book Antiqua"/>
          <w:lang w:val="es-ES_tradnl"/>
        </w:rPr>
        <w:t>P</w:t>
      </w:r>
      <w:r w:rsidRPr="00B37285">
        <w:rPr>
          <w:rFonts w:ascii="Book Antiqua" w:hAnsi="Book Antiqua"/>
          <w:lang w:val="es-ES_tradnl"/>
        </w:rPr>
        <w:t>ueblo de Puerto Rico</w:t>
      </w:r>
      <w:r>
        <w:rPr>
          <w:rFonts w:ascii="Book Antiqua" w:hAnsi="Book Antiqua"/>
          <w:lang w:val="es-ES_tradnl"/>
        </w:rPr>
        <w:t>.</w:t>
      </w:r>
    </w:p>
    <w:p w14:paraId="0F15A685" w14:textId="72C79C6E" w:rsidR="00D31713" w:rsidRPr="000F0CE9" w:rsidRDefault="00D31713" w:rsidP="00303290">
      <w:pPr>
        <w:spacing w:line="480" w:lineRule="auto"/>
        <w:ind w:firstLine="720"/>
        <w:jc w:val="both"/>
        <w:rPr>
          <w:rFonts w:ascii="Book Antiqua" w:hAnsi="Book Antiqua"/>
          <w:iCs/>
          <w:lang w:val="es-ES_tradnl"/>
        </w:rPr>
      </w:pPr>
      <w:r w:rsidRPr="00B37285">
        <w:rPr>
          <w:rFonts w:ascii="Book Antiqua" w:hAnsi="Book Antiqua"/>
          <w:lang w:val="es-ES_tradnl"/>
        </w:rPr>
        <w:t>La Cámara de Representantes exhorta a la Honorable Laura Taylor Swain a que proceda de inmediato a la celebración de la vista de confirmación del Plan de Ajuste de Deudas de la AEE, emita su resolución definitiva sobre el asunto y ponga fin a la incertidumbre que afecta el sistema energético de Puerto Rico y el bienestar económico de sus ciudadanos.</w:t>
      </w:r>
      <w:r w:rsidR="00D2211B">
        <w:rPr>
          <w:rFonts w:ascii="Book Antiqua" w:hAnsi="Book Antiqua"/>
          <w:lang w:val="es-ES_tradnl"/>
        </w:rPr>
        <w:t xml:space="preserve"> </w:t>
      </w:r>
      <w:r w:rsidR="00D2211B" w:rsidRPr="000F0CE9">
        <w:rPr>
          <w:rFonts w:ascii="Book Antiqua" w:hAnsi="Book Antiqua"/>
          <w:iCs/>
          <w:lang w:val="es-ES"/>
        </w:rPr>
        <w:t>Nada de lo aquí dispuesto se interpretará como una limitación a la independencia judicial ni a la discreción procesal del Tribunal bajo PROMESA.</w:t>
      </w:r>
    </w:p>
    <w:p w14:paraId="53965E2F" w14:textId="6333D7F6" w:rsidR="00D31713" w:rsidRPr="00B37285" w:rsidRDefault="00D31713" w:rsidP="00D2211B">
      <w:pPr>
        <w:spacing w:line="480" w:lineRule="auto"/>
        <w:ind w:firstLine="720"/>
        <w:jc w:val="both"/>
        <w:rPr>
          <w:rFonts w:ascii="Book Antiqua" w:hAnsi="Book Antiqua"/>
          <w:lang w:val="es-ES_tradnl"/>
        </w:rPr>
      </w:pPr>
      <w:r>
        <w:rPr>
          <w:rFonts w:ascii="Book Antiqua" w:hAnsi="Book Antiqua"/>
          <w:lang w:val="es-ES_tradnl"/>
        </w:rPr>
        <w:lastRenderedPageBreak/>
        <w:t xml:space="preserve">De igual modo, este Cuerpo Legislativo </w:t>
      </w:r>
      <w:r w:rsidRPr="00B37285">
        <w:rPr>
          <w:rFonts w:ascii="Book Antiqua" w:hAnsi="Book Antiqua"/>
          <w:lang w:val="es-ES_tradnl"/>
        </w:rPr>
        <w:t>hace un llamado urgente a todas las partes involucradas en el proceso de reestructuración de la deuda de la AEE, incluyendo la Junta de Supervisión y Administración Financiera para Puerto Rico, los tenedores de bonos, los prestamistas de líneas de combustible, las aseguradoras y los demás acreedores</w:t>
      </w:r>
      <w:r w:rsidR="008A40DC">
        <w:rPr>
          <w:rFonts w:ascii="Book Antiqua" w:hAnsi="Book Antiqua"/>
          <w:lang w:val="es-ES_tradnl"/>
        </w:rPr>
        <w:t xml:space="preserve"> </w:t>
      </w:r>
      <w:r w:rsidR="00831A4E" w:rsidRPr="000F0CE9">
        <w:rPr>
          <w:rFonts w:ascii="Book Antiqua" w:hAnsi="Book Antiqua"/>
          <w:lang w:val="es-ES_tradnl"/>
        </w:rPr>
        <w:t>incluidos</w:t>
      </w:r>
      <w:r w:rsidR="00831A4E">
        <w:rPr>
          <w:rFonts w:ascii="Book Antiqua" w:hAnsi="Book Antiqua"/>
          <w:lang w:val="es-ES_tradnl"/>
        </w:rPr>
        <w:t xml:space="preserve"> </w:t>
      </w:r>
      <w:r w:rsidR="008A40DC">
        <w:rPr>
          <w:rFonts w:ascii="Book Antiqua" w:hAnsi="Book Antiqua"/>
          <w:lang w:val="es-ES_tradnl"/>
        </w:rPr>
        <w:t>los pensionados</w:t>
      </w:r>
      <w:r w:rsidRPr="00B37285">
        <w:rPr>
          <w:rFonts w:ascii="Book Antiqua" w:hAnsi="Book Antiqua"/>
          <w:lang w:val="es-ES_tradnl"/>
        </w:rPr>
        <w:t>, a que actúen con sentido de urgencia, responsabilidad y buena fe para alcanzar una solución que sea justa, rápida, razonable y sostenible para el pueblo de Puerto Rico y que permita al sistema energético de la Isla avanzar hacia su modernización y recuperación.</w:t>
      </w:r>
    </w:p>
    <w:p w14:paraId="4C38D7A6" w14:textId="76FAFBBD" w:rsidR="00D31713" w:rsidRPr="0085679A" w:rsidRDefault="00D31713" w:rsidP="00887E2F">
      <w:pPr>
        <w:spacing w:line="480" w:lineRule="auto"/>
        <w:ind w:firstLine="720"/>
        <w:jc w:val="both"/>
        <w:rPr>
          <w:rFonts w:ascii="Book Antiqua" w:hAnsi="Book Antiqua"/>
          <w:lang w:val="es-ES_tradnl"/>
        </w:rPr>
      </w:pPr>
      <w:r w:rsidRPr="00D31713">
        <w:rPr>
          <w:rFonts w:ascii="Book Antiqua" w:hAnsi="Book Antiqua"/>
          <w:lang w:val="es-ES_tradnl"/>
        </w:rPr>
        <w:t>Asimismo,</w:t>
      </w:r>
      <w:r>
        <w:rPr>
          <w:rFonts w:ascii="Book Antiqua" w:hAnsi="Book Antiqua"/>
          <w:i/>
          <w:iCs/>
          <w:lang w:val="es-ES_tradnl"/>
        </w:rPr>
        <w:t xml:space="preserve"> </w:t>
      </w:r>
      <w:r w:rsidRPr="00B37285">
        <w:rPr>
          <w:rFonts w:ascii="Book Antiqua" w:hAnsi="Book Antiqua"/>
          <w:lang w:val="es-ES_tradnl"/>
        </w:rPr>
        <w:t>declara que los intereses de los aproximadamente 3.2 millones de residentes de Puerto Rico, quienes dependen de un sistema eléctrico confiable y asequible para su bienestar diario, deben ser la consideración primordial en la resolución de este proceso de reestructuración, por encima de los intereses particulares de los acreedores o de cualquier otra parte.</w:t>
      </w:r>
    </w:p>
    <w:p w14:paraId="40A216AE" w14:textId="2C5C29AA" w:rsidR="00B37285" w:rsidRPr="00B37285" w:rsidRDefault="00B37285" w:rsidP="00887E2F">
      <w:pPr>
        <w:spacing w:line="480" w:lineRule="auto"/>
        <w:ind w:firstLine="720"/>
        <w:jc w:val="both"/>
        <w:rPr>
          <w:rFonts w:ascii="Book Antiqua" w:hAnsi="Book Antiqua"/>
          <w:lang w:val="es-ES_tradnl"/>
        </w:rPr>
      </w:pPr>
      <w:r w:rsidRPr="00D31713">
        <w:rPr>
          <w:rFonts w:ascii="Book Antiqua" w:hAnsi="Book Antiqua"/>
          <w:lang w:val="es-ES_tradnl"/>
        </w:rPr>
        <w:t>Sección 2.</w:t>
      </w:r>
      <w:r w:rsidRPr="00B37285">
        <w:rPr>
          <w:rFonts w:ascii="Book Antiqua" w:hAnsi="Book Antiqua"/>
          <w:b/>
          <w:bCs/>
          <w:lang w:val="es-ES_tradnl"/>
        </w:rPr>
        <w:t xml:space="preserve"> </w:t>
      </w:r>
      <w:r w:rsidRPr="007334BE">
        <w:rPr>
          <w:rFonts w:ascii="Book Antiqua" w:hAnsi="Book Antiqua"/>
          <w:i/>
          <w:iCs/>
          <w:lang w:val="es-ES_tradnl"/>
        </w:rPr>
        <w:t xml:space="preserve"> </w:t>
      </w:r>
      <w:r w:rsidR="008A40DC">
        <w:rPr>
          <w:rFonts w:ascii="Book Antiqua" w:hAnsi="Book Antiqua"/>
          <w:lang w:val="es-ES_tradnl"/>
        </w:rPr>
        <w:t>El</w:t>
      </w:r>
      <w:r w:rsidR="008A40DC" w:rsidRPr="00CD2AC8">
        <w:rPr>
          <w:rFonts w:ascii="Book Antiqua" w:hAnsi="Book Antiqua"/>
          <w:lang w:val="es-ES_tradnl"/>
        </w:rPr>
        <w:t xml:space="preserve"> Secretari</w:t>
      </w:r>
      <w:r w:rsidR="008A40DC">
        <w:rPr>
          <w:rFonts w:ascii="Book Antiqua" w:hAnsi="Book Antiqua"/>
          <w:lang w:val="es-ES_tradnl"/>
        </w:rPr>
        <w:t>o</w:t>
      </w:r>
      <w:r w:rsidR="008A40DC" w:rsidRPr="00CD2AC8">
        <w:rPr>
          <w:rFonts w:ascii="Book Antiqua" w:hAnsi="Book Antiqua"/>
          <w:lang w:val="es-ES_tradnl"/>
        </w:rPr>
        <w:t xml:space="preserve"> de l</w:t>
      </w:r>
      <w:r w:rsidR="008A40DC" w:rsidRPr="00B37285">
        <w:rPr>
          <w:rFonts w:ascii="Book Antiqua" w:hAnsi="Book Antiqua"/>
          <w:lang w:val="es-ES_tradnl"/>
        </w:rPr>
        <w:t xml:space="preserve">a Cámara de Representantes </w:t>
      </w:r>
      <w:r w:rsidR="008A40DC">
        <w:rPr>
          <w:rFonts w:ascii="Book Antiqua" w:hAnsi="Book Antiqua"/>
          <w:lang w:val="es-ES_tradnl"/>
        </w:rPr>
        <w:t>de Puerto Rico enviará</w:t>
      </w:r>
      <w:r w:rsidR="008A40DC" w:rsidRPr="00B37285">
        <w:rPr>
          <w:rFonts w:ascii="Book Antiqua" w:hAnsi="Book Antiqua"/>
          <w:lang w:val="es-ES_tradnl"/>
        </w:rPr>
        <w:t xml:space="preserve"> copias certificadas </w:t>
      </w:r>
      <w:r w:rsidR="008A40DC">
        <w:rPr>
          <w:rFonts w:ascii="Book Antiqua" w:hAnsi="Book Antiqua"/>
          <w:lang w:val="es-ES_tradnl"/>
        </w:rPr>
        <w:t xml:space="preserve">traducidas al idioma inglés </w:t>
      </w:r>
      <w:r w:rsidR="008A40DC" w:rsidRPr="00B37285">
        <w:rPr>
          <w:rFonts w:ascii="Book Antiqua" w:hAnsi="Book Antiqua"/>
          <w:lang w:val="es-ES_tradnl"/>
        </w:rPr>
        <w:t>de esta Resolución a la Honorable Laura Taylor Swain</w:t>
      </w:r>
      <w:r w:rsidR="008A40DC">
        <w:rPr>
          <w:rFonts w:ascii="Book Antiqua" w:hAnsi="Book Antiqua"/>
          <w:lang w:val="es-ES_tradnl"/>
        </w:rPr>
        <w:t>,</w:t>
      </w:r>
      <w:r w:rsidR="008A40DC" w:rsidRPr="00B37285">
        <w:rPr>
          <w:rFonts w:ascii="Book Antiqua" w:hAnsi="Book Antiqua"/>
          <w:lang w:val="es-ES_tradnl"/>
        </w:rPr>
        <w:t xml:space="preserve"> </w:t>
      </w:r>
      <w:r w:rsidR="008A40DC" w:rsidRPr="00783725">
        <w:rPr>
          <w:rFonts w:ascii="Book Antiqua" w:hAnsi="Book Antiqua"/>
          <w:lang w:val="es-ES"/>
        </w:rPr>
        <w:t xml:space="preserve">a la Casa Blanca, al </w:t>
      </w:r>
      <w:r w:rsidR="008A40DC">
        <w:rPr>
          <w:rFonts w:ascii="Book Antiqua" w:hAnsi="Book Antiqua"/>
          <w:lang w:val="es-ES"/>
        </w:rPr>
        <w:t xml:space="preserve">Comité de Recursos Naturales de la </w:t>
      </w:r>
      <w:r w:rsidR="008E5947" w:rsidRPr="000F0CE9">
        <w:rPr>
          <w:rFonts w:ascii="Book Antiqua" w:hAnsi="Book Antiqua"/>
          <w:lang w:val="es-ES"/>
        </w:rPr>
        <w:t>Cámara</w:t>
      </w:r>
      <w:r w:rsidR="008E5947">
        <w:rPr>
          <w:rFonts w:ascii="Book Antiqua" w:hAnsi="Book Antiqua"/>
          <w:lang w:val="es-ES"/>
        </w:rPr>
        <w:t xml:space="preserve"> </w:t>
      </w:r>
      <w:r w:rsidR="008A40DC">
        <w:rPr>
          <w:rFonts w:ascii="Book Antiqua" w:hAnsi="Book Antiqua"/>
          <w:lang w:val="es-ES"/>
        </w:rPr>
        <w:t>de Representantes</w:t>
      </w:r>
      <w:r w:rsidR="008A40DC" w:rsidRPr="00783725">
        <w:rPr>
          <w:rFonts w:ascii="Book Antiqua" w:hAnsi="Book Antiqua"/>
          <w:lang w:val="es-ES"/>
        </w:rPr>
        <w:t xml:space="preserve"> de los Estados Unidos, al </w:t>
      </w:r>
      <w:r w:rsidR="008A40DC">
        <w:rPr>
          <w:rFonts w:ascii="Book Antiqua" w:hAnsi="Book Antiqua"/>
          <w:lang w:val="es-ES"/>
        </w:rPr>
        <w:t>Comité de Energía y Recursos Naturales del Senado</w:t>
      </w:r>
      <w:r w:rsidR="008A40DC" w:rsidRPr="00783725">
        <w:rPr>
          <w:rFonts w:ascii="Book Antiqua" w:hAnsi="Book Antiqua"/>
          <w:lang w:val="es-ES"/>
        </w:rPr>
        <w:t xml:space="preserve"> de los Estados Unidos</w:t>
      </w:r>
      <w:r w:rsidR="008A40DC">
        <w:rPr>
          <w:rFonts w:ascii="Book Antiqua" w:hAnsi="Book Antiqua"/>
          <w:lang w:val="es-ES"/>
        </w:rPr>
        <w:t>,</w:t>
      </w:r>
      <w:r w:rsidR="008A40DC" w:rsidRPr="00783725">
        <w:rPr>
          <w:rFonts w:ascii="Book Antiqua" w:hAnsi="Book Antiqua"/>
          <w:lang w:val="es-ES"/>
        </w:rPr>
        <w:t xml:space="preserve"> al </w:t>
      </w:r>
      <w:proofErr w:type="spellStart"/>
      <w:r w:rsidR="008A40DC" w:rsidRPr="00783725">
        <w:rPr>
          <w:rFonts w:ascii="Book Antiqua" w:hAnsi="Book Antiqua"/>
          <w:lang w:val="es-ES"/>
        </w:rPr>
        <w:t>Government</w:t>
      </w:r>
      <w:proofErr w:type="spellEnd"/>
      <w:r w:rsidR="008A40DC" w:rsidRPr="00783725">
        <w:rPr>
          <w:rFonts w:ascii="Book Antiqua" w:hAnsi="Book Antiqua"/>
          <w:lang w:val="es-ES"/>
        </w:rPr>
        <w:t xml:space="preserve"> </w:t>
      </w:r>
      <w:proofErr w:type="spellStart"/>
      <w:r w:rsidR="008A40DC" w:rsidRPr="00783725">
        <w:rPr>
          <w:rFonts w:ascii="Book Antiqua" w:hAnsi="Book Antiqua"/>
          <w:lang w:val="es-ES"/>
        </w:rPr>
        <w:t>Accountability</w:t>
      </w:r>
      <w:proofErr w:type="spellEnd"/>
      <w:r w:rsidR="008A40DC" w:rsidRPr="00783725">
        <w:rPr>
          <w:rFonts w:ascii="Book Antiqua" w:hAnsi="Book Antiqua"/>
          <w:lang w:val="es-ES"/>
        </w:rPr>
        <w:t xml:space="preserve"> Office (GAO)</w:t>
      </w:r>
      <w:r w:rsidR="008A40DC">
        <w:rPr>
          <w:rFonts w:ascii="Book Antiqua" w:hAnsi="Book Antiqua"/>
          <w:lang w:val="es-ES"/>
        </w:rPr>
        <w:t>,</w:t>
      </w:r>
      <w:r w:rsidR="008A40DC" w:rsidRPr="00783725">
        <w:rPr>
          <w:rFonts w:ascii="Book Antiqua" w:hAnsi="Book Antiqua"/>
          <w:lang w:val="es-ES"/>
        </w:rPr>
        <w:t xml:space="preserve"> al Departamento de Justicia de los Estados Unidos</w:t>
      </w:r>
      <w:r w:rsidR="008A40DC">
        <w:rPr>
          <w:rFonts w:ascii="Book Antiqua" w:hAnsi="Book Antiqua"/>
          <w:lang w:val="es-ES"/>
        </w:rPr>
        <w:t>,</w:t>
      </w:r>
      <w:r w:rsidR="008A40DC" w:rsidRPr="00B37285">
        <w:rPr>
          <w:rFonts w:ascii="Book Antiqua" w:hAnsi="Book Antiqua"/>
          <w:lang w:val="es-ES_tradnl"/>
        </w:rPr>
        <w:t xml:space="preserve"> a la Honorable Gobernadora de Puerto Rico; a la Junta de Supervisión y Administración Financiera para Puerto Rico; al Senado de Puerto Rico y a los principales medios de comunicación de</w:t>
      </w:r>
      <w:r w:rsidR="00DC0C7D">
        <w:rPr>
          <w:rFonts w:ascii="Book Antiqua" w:hAnsi="Book Antiqua"/>
          <w:lang w:val="es-ES_tradnl"/>
        </w:rPr>
        <w:t xml:space="preserve"> Puerto Rico</w:t>
      </w:r>
      <w:r w:rsidR="008A40DC" w:rsidRPr="00B37285">
        <w:rPr>
          <w:rFonts w:ascii="Book Antiqua" w:hAnsi="Book Antiqua"/>
          <w:lang w:val="es-ES_tradnl"/>
        </w:rPr>
        <w:t xml:space="preserve">, para </w:t>
      </w:r>
      <w:r w:rsidR="008A40DC">
        <w:rPr>
          <w:rFonts w:ascii="Book Antiqua" w:hAnsi="Book Antiqua"/>
          <w:lang w:val="es-ES_tradnl"/>
        </w:rPr>
        <w:t>su</w:t>
      </w:r>
      <w:r w:rsidR="008A40DC" w:rsidRPr="00B37285">
        <w:rPr>
          <w:rFonts w:ascii="Book Antiqua" w:hAnsi="Book Antiqua"/>
          <w:lang w:val="es-ES_tradnl"/>
        </w:rPr>
        <w:t xml:space="preserve"> conocimiento y la acción que proceda</w:t>
      </w:r>
      <w:r w:rsidRPr="00B37285">
        <w:rPr>
          <w:rFonts w:ascii="Book Antiqua" w:hAnsi="Book Antiqua"/>
          <w:lang w:val="es-ES_tradnl"/>
        </w:rPr>
        <w:t>.</w:t>
      </w:r>
    </w:p>
    <w:p w14:paraId="4F04BA2A" w14:textId="3318570B" w:rsidR="00484603" w:rsidRPr="00B37285" w:rsidRDefault="007C6FBE" w:rsidP="008E5947">
      <w:pPr>
        <w:spacing w:line="480" w:lineRule="auto"/>
        <w:ind w:firstLine="720"/>
        <w:jc w:val="both"/>
        <w:rPr>
          <w:rFonts w:ascii="Book Antiqua" w:hAnsi="Book Antiqua"/>
          <w:szCs w:val="24"/>
          <w:lang w:val="es-ES"/>
        </w:rPr>
      </w:pPr>
      <w:r w:rsidRPr="00B37285">
        <w:rPr>
          <w:rFonts w:ascii="Book Antiqua" w:hAnsi="Book Antiqua"/>
          <w:szCs w:val="24"/>
          <w:lang w:val="es-ES"/>
        </w:rPr>
        <w:lastRenderedPageBreak/>
        <w:t xml:space="preserve">Sección </w:t>
      </w:r>
      <w:r w:rsidR="0085679A">
        <w:rPr>
          <w:rFonts w:ascii="Book Antiqua" w:hAnsi="Book Antiqua"/>
          <w:szCs w:val="24"/>
          <w:lang w:val="es-ES"/>
        </w:rPr>
        <w:t>3</w:t>
      </w:r>
      <w:r w:rsidRPr="00B37285">
        <w:rPr>
          <w:rFonts w:ascii="Book Antiqua" w:hAnsi="Book Antiqua"/>
          <w:szCs w:val="24"/>
          <w:lang w:val="es-ES"/>
        </w:rPr>
        <w:t>.- Esta Resolución entrará en vigor inmediatamente después de su aprobación.</w:t>
      </w:r>
      <w:r w:rsidR="00550010" w:rsidRPr="00B37285">
        <w:rPr>
          <w:rFonts w:ascii="Book Antiqua" w:hAnsi="Book Antiqua"/>
          <w:szCs w:val="24"/>
          <w:lang w:val="es-ES"/>
        </w:rPr>
        <w:t xml:space="preserve"> </w:t>
      </w:r>
    </w:p>
    <w:sectPr w:rsidR="00484603" w:rsidRPr="00B37285" w:rsidSect="00465E72">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AD14F4" w14:textId="77777777" w:rsidR="004F3CE9" w:rsidRDefault="004F3CE9">
      <w:r>
        <w:separator/>
      </w:r>
    </w:p>
  </w:endnote>
  <w:endnote w:type="continuationSeparator" w:id="0">
    <w:p w14:paraId="2B72BBAD" w14:textId="77777777" w:rsidR="004F3CE9" w:rsidRDefault="004F3C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9917FC" w14:textId="77777777" w:rsidR="004F3CE9" w:rsidRDefault="004F3CE9">
      <w:r>
        <w:separator/>
      </w:r>
    </w:p>
  </w:footnote>
  <w:footnote w:type="continuationSeparator" w:id="0">
    <w:p w14:paraId="74F1C927" w14:textId="77777777" w:rsidR="004F3CE9" w:rsidRDefault="004F3C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061FC" w14:textId="77777777" w:rsidR="00323544" w:rsidRDefault="00323544">
    <w:pPr>
      <w:pStyle w:val="Header"/>
      <w:jc w:val="center"/>
    </w:pPr>
    <w:r>
      <w:rPr>
        <w:rStyle w:val="PageNumber"/>
      </w:rPr>
      <w:fldChar w:fldCharType="begin"/>
    </w:r>
    <w:r>
      <w:rPr>
        <w:rStyle w:val="PageNumber"/>
      </w:rPr>
      <w:instrText xml:space="preserve"> PAGE </w:instrText>
    </w:r>
    <w:r>
      <w:rPr>
        <w:rStyle w:val="PageNumber"/>
      </w:rPr>
      <w:fldChar w:fldCharType="separate"/>
    </w:r>
    <w:r w:rsidR="004F34BD">
      <w:rPr>
        <w:rStyle w:val="PageNumber"/>
        <w:noProof/>
      </w:rPr>
      <w:t>5</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23F0B" w14:textId="20F958BE" w:rsidR="00F55DB4" w:rsidRPr="00F55DB4" w:rsidRDefault="00F55DB4" w:rsidP="00F55DB4">
    <w:pPr>
      <w:pStyle w:val="Header"/>
      <w:jc w:val="center"/>
      <w:rPr>
        <w:rFonts w:ascii="Book Antiqua" w:hAnsi="Book Antiqu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72E63"/>
    <w:rsid w:val="000003F0"/>
    <w:rsid w:val="00031AF4"/>
    <w:rsid w:val="00031E22"/>
    <w:rsid w:val="00047E9E"/>
    <w:rsid w:val="0005234D"/>
    <w:rsid w:val="0005368E"/>
    <w:rsid w:val="00053F5A"/>
    <w:rsid w:val="0007128D"/>
    <w:rsid w:val="00074959"/>
    <w:rsid w:val="0008171F"/>
    <w:rsid w:val="000830F8"/>
    <w:rsid w:val="000848E3"/>
    <w:rsid w:val="00085098"/>
    <w:rsid w:val="000A326C"/>
    <w:rsid w:val="000A47EC"/>
    <w:rsid w:val="000B24F1"/>
    <w:rsid w:val="000C1D82"/>
    <w:rsid w:val="000C53A5"/>
    <w:rsid w:val="000D60BC"/>
    <w:rsid w:val="000D67BF"/>
    <w:rsid w:val="000E015F"/>
    <w:rsid w:val="000E4595"/>
    <w:rsid w:val="000F0CE9"/>
    <w:rsid w:val="000F3615"/>
    <w:rsid w:val="000F6834"/>
    <w:rsid w:val="00106EE6"/>
    <w:rsid w:val="00114C0F"/>
    <w:rsid w:val="001157FA"/>
    <w:rsid w:val="00116A88"/>
    <w:rsid w:val="001519D9"/>
    <w:rsid w:val="00152862"/>
    <w:rsid w:val="001663EC"/>
    <w:rsid w:val="00172CE8"/>
    <w:rsid w:val="00172E63"/>
    <w:rsid w:val="00192797"/>
    <w:rsid w:val="001A3802"/>
    <w:rsid w:val="001B68D2"/>
    <w:rsid w:val="001C0578"/>
    <w:rsid w:val="001D3831"/>
    <w:rsid w:val="001D51DD"/>
    <w:rsid w:val="001F4CC4"/>
    <w:rsid w:val="0020451A"/>
    <w:rsid w:val="002151F3"/>
    <w:rsid w:val="00215D27"/>
    <w:rsid w:val="002305E2"/>
    <w:rsid w:val="0025794E"/>
    <w:rsid w:val="00262904"/>
    <w:rsid w:val="00262C42"/>
    <w:rsid w:val="002725E2"/>
    <w:rsid w:val="002731B9"/>
    <w:rsid w:val="002754D5"/>
    <w:rsid w:val="00275D9E"/>
    <w:rsid w:val="0028783F"/>
    <w:rsid w:val="002A7119"/>
    <w:rsid w:val="002A7505"/>
    <w:rsid w:val="002B029C"/>
    <w:rsid w:val="002B2170"/>
    <w:rsid w:val="002B37EC"/>
    <w:rsid w:val="002B50E0"/>
    <w:rsid w:val="002D228E"/>
    <w:rsid w:val="002D2308"/>
    <w:rsid w:val="002E0E6E"/>
    <w:rsid w:val="002E6D71"/>
    <w:rsid w:val="002E7FC3"/>
    <w:rsid w:val="002F4CC5"/>
    <w:rsid w:val="00303290"/>
    <w:rsid w:val="00311F0E"/>
    <w:rsid w:val="00320D62"/>
    <w:rsid w:val="003215EF"/>
    <w:rsid w:val="00321EB7"/>
    <w:rsid w:val="00323544"/>
    <w:rsid w:val="003266A4"/>
    <w:rsid w:val="00354F2D"/>
    <w:rsid w:val="003626B1"/>
    <w:rsid w:val="00365111"/>
    <w:rsid w:val="00366BE9"/>
    <w:rsid w:val="003701B7"/>
    <w:rsid w:val="0038722C"/>
    <w:rsid w:val="00391E8F"/>
    <w:rsid w:val="003B7962"/>
    <w:rsid w:val="003C7CF5"/>
    <w:rsid w:val="003D7E92"/>
    <w:rsid w:val="00401236"/>
    <w:rsid w:val="00405FF0"/>
    <w:rsid w:val="0041459A"/>
    <w:rsid w:val="0042753F"/>
    <w:rsid w:val="00433EE6"/>
    <w:rsid w:val="00461280"/>
    <w:rsid w:val="00465E72"/>
    <w:rsid w:val="00484603"/>
    <w:rsid w:val="00487C64"/>
    <w:rsid w:val="00492AD1"/>
    <w:rsid w:val="004A4B46"/>
    <w:rsid w:val="004A5F8D"/>
    <w:rsid w:val="004A6874"/>
    <w:rsid w:val="004B4A04"/>
    <w:rsid w:val="004C3AC7"/>
    <w:rsid w:val="004C6DF2"/>
    <w:rsid w:val="004D6F12"/>
    <w:rsid w:val="004F1EE4"/>
    <w:rsid w:val="004F34BD"/>
    <w:rsid w:val="004F3CE9"/>
    <w:rsid w:val="00507C74"/>
    <w:rsid w:val="00513988"/>
    <w:rsid w:val="00550010"/>
    <w:rsid w:val="005559A1"/>
    <w:rsid w:val="0057426F"/>
    <w:rsid w:val="0057640C"/>
    <w:rsid w:val="0057712E"/>
    <w:rsid w:val="00577A24"/>
    <w:rsid w:val="00581513"/>
    <w:rsid w:val="00596744"/>
    <w:rsid w:val="005B1BDE"/>
    <w:rsid w:val="005D1A18"/>
    <w:rsid w:val="005D5296"/>
    <w:rsid w:val="005E37E7"/>
    <w:rsid w:val="00602FB4"/>
    <w:rsid w:val="0060590B"/>
    <w:rsid w:val="00610E86"/>
    <w:rsid w:val="006162A2"/>
    <w:rsid w:val="0063096D"/>
    <w:rsid w:val="0064066E"/>
    <w:rsid w:val="0064358F"/>
    <w:rsid w:val="00647437"/>
    <w:rsid w:val="006678EB"/>
    <w:rsid w:val="00690DA9"/>
    <w:rsid w:val="006B0440"/>
    <w:rsid w:val="006B3D69"/>
    <w:rsid w:val="006B559B"/>
    <w:rsid w:val="006C6D5F"/>
    <w:rsid w:val="006C71FE"/>
    <w:rsid w:val="006D54B1"/>
    <w:rsid w:val="00704860"/>
    <w:rsid w:val="007056EA"/>
    <w:rsid w:val="00711918"/>
    <w:rsid w:val="00713F54"/>
    <w:rsid w:val="00720AC3"/>
    <w:rsid w:val="00732289"/>
    <w:rsid w:val="007334BE"/>
    <w:rsid w:val="00735E08"/>
    <w:rsid w:val="00764258"/>
    <w:rsid w:val="00781B3E"/>
    <w:rsid w:val="00783725"/>
    <w:rsid w:val="00790637"/>
    <w:rsid w:val="00790B32"/>
    <w:rsid w:val="007964F0"/>
    <w:rsid w:val="007A1394"/>
    <w:rsid w:val="007A23C6"/>
    <w:rsid w:val="007C46EE"/>
    <w:rsid w:val="007C6FBE"/>
    <w:rsid w:val="007E111A"/>
    <w:rsid w:val="007E34E9"/>
    <w:rsid w:val="007F0B3D"/>
    <w:rsid w:val="007F4B14"/>
    <w:rsid w:val="0081402B"/>
    <w:rsid w:val="00827101"/>
    <w:rsid w:val="00831A4E"/>
    <w:rsid w:val="008453C0"/>
    <w:rsid w:val="008547BE"/>
    <w:rsid w:val="0085679A"/>
    <w:rsid w:val="00861635"/>
    <w:rsid w:val="00887E2F"/>
    <w:rsid w:val="008A40DC"/>
    <w:rsid w:val="008A65B2"/>
    <w:rsid w:val="008C4672"/>
    <w:rsid w:val="008D33E2"/>
    <w:rsid w:val="008D4280"/>
    <w:rsid w:val="008E2201"/>
    <w:rsid w:val="008E4B89"/>
    <w:rsid w:val="008E5947"/>
    <w:rsid w:val="008E63F8"/>
    <w:rsid w:val="008E6E58"/>
    <w:rsid w:val="008E6E97"/>
    <w:rsid w:val="008F1AA4"/>
    <w:rsid w:val="008F7A03"/>
    <w:rsid w:val="00907349"/>
    <w:rsid w:val="00912C56"/>
    <w:rsid w:val="00913803"/>
    <w:rsid w:val="0092176F"/>
    <w:rsid w:val="00922F47"/>
    <w:rsid w:val="00930714"/>
    <w:rsid w:val="0094540A"/>
    <w:rsid w:val="00951D8C"/>
    <w:rsid w:val="00975C40"/>
    <w:rsid w:val="00975C62"/>
    <w:rsid w:val="00980C1C"/>
    <w:rsid w:val="00982AD9"/>
    <w:rsid w:val="0099424C"/>
    <w:rsid w:val="00994AF6"/>
    <w:rsid w:val="0099508C"/>
    <w:rsid w:val="00997B5C"/>
    <w:rsid w:val="009A1323"/>
    <w:rsid w:val="009A3360"/>
    <w:rsid w:val="009B7A94"/>
    <w:rsid w:val="009C0CCE"/>
    <w:rsid w:val="009C765B"/>
    <w:rsid w:val="009E016B"/>
    <w:rsid w:val="009E4954"/>
    <w:rsid w:val="009E7151"/>
    <w:rsid w:val="00A10DD1"/>
    <w:rsid w:val="00A26652"/>
    <w:rsid w:val="00A43367"/>
    <w:rsid w:val="00A45079"/>
    <w:rsid w:val="00A4510D"/>
    <w:rsid w:val="00A47668"/>
    <w:rsid w:val="00A60AA5"/>
    <w:rsid w:val="00A67E11"/>
    <w:rsid w:val="00A74290"/>
    <w:rsid w:val="00A750BD"/>
    <w:rsid w:val="00A829DF"/>
    <w:rsid w:val="00A8371C"/>
    <w:rsid w:val="00A842D8"/>
    <w:rsid w:val="00AA3C05"/>
    <w:rsid w:val="00AD2C0E"/>
    <w:rsid w:val="00AD4BFD"/>
    <w:rsid w:val="00AD556F"/>
    <w:rsid w:val="00AE674B"/>
    <w:rsid w:val="00AF051E"/>
    <w:rsid w:val="00AF2EBA"/>
    <w:rsid w:val="00AF6D17"/>
    <w:rsid w:val="00B01077"/>
    <w:rsid w:val="00B2783D"/>
    <w:rsid w:val="00B37285"/>
    <w:rsid w:val="00B456A4"/>
    <w:rsid w:val="00B54A82"/>
    <w:rsid w:val="00B77E72"/>
    <w:rsid w:val="00B92627"/>
    <w:rsid w:val="00BA2247"/>
    <w:rsid w:val="00BB4B68"/>
    <w:rsid w:val="00BC0A6F"/>
    <w:rsid w:val="00BD3045"/>
    <w:rsid w:val="00BD4E15"/>
    <w:rsid w:val="00BE343E"/>
    <w:rsid w:val="00BF490C"/>
    <w:rsid w:val="00BF6758"/>
    <w:rsid w:val="00BF74CC"/>
    <w:rsid w:val="00C171BB"/>
    <w:rsid w:val="00C27704"/>
    <w:rsid w:val="00C433A2"/>
    <w:rsid w:val="00C555F5"/>
    <w:rsid w:val="00C652E0"/>
    <w:rsid w:val="00C70B7B"/>
    <w:rsid w:val="00C938E5"/>
    <w:rsid w:val="00CA1B4C"/>
    <w:rsid w:val="00CA5394"/>
    <w:rsid w:val="00CB179F"/>
    <w:rsid w:val="00CB28D1"/>
    <w:rsid w:val="00CB6722"/>
    <w:rsid w:val="00CB77A9"/>
    <w:rsid w:val="00CD4E16"/>
    <w:rsid w:val="00CE70E7"/>
    <w:rsid w:val="00CF113E"/>
    <w:rsid w:val="00D015FC"/>
    <w:rsid w:val="00D20C77"/>
    <w:rsid w:val="00D2211B"/>
    <w:rsid w:val="00D24550"/>
    <w:rsid w:val="00D31713"/>
    <w:rsid w:val="00D35E9A"/>
    <w:rsid w:val="00D41423"/>
    <w:rsid w:val="00D47B7C"/>
    <w:rsid w:val="00D51285"/>
    <w:rsid w:val="00D66A5E"/>
    <w:rsid w:val="00D67A2A"/>
    <w:rsid w:val="00DA1730"/>
    <w:rsid w:val="00DA20BB"/>
    <w:rsid w:val="00DA5F6D"/>
    <w:rsid w:val="00DB361C"/>
    <w:rsid w:val="00DB466E"/>
    <w:rsid w:val="00DB6BBE"/>
    <w:rsid w:val="00DC032E"/>
    <w:rsid w:val="00DC0C7D"/>
    <w:rsid w:val="00DD20DC"/>
    <w:rsid w:val="00DE591E"/>
    <w:rsid w:val="00E052F5"/>
    <w:rsid w:val="00E05BDE"/>
    <w:rsid w:val="00E15DAD"/>
    <w:rsid w:val="00E35207"/>
    <w:rsid w:val="00E50E97"/>
    <w:rsid w:val="00E532CF"/>
    <w:rsid w:val="00E55203"/>
    <w:rsid w:val="00E56B8F"/>
    <w:rsid w:val="00E673B1"/>
    <w:rsid w:val="00E82F08"/>
    <w:rsid w:val="00EA1132"/>
    <w:rsid w:val="00EA54F5"/>
    <w:rsid w:val="00EB4E42"/>
    <w:rsid w:val="00EB5C81"/>
    <w:rsid w:val="00EE4512"/>
    <w:rsid w:val="00EF1F37"/>
    <w:rsid w:val="00F072FE"/>
    <w:rsid w:val="00F21EFD"/>
    <w:rsid w:val="00F32787"/>
    <w:rsid w:val="00F338E9"/>
    <w:rsid w:val="00F47741"/>
    <w:rsid w:val="00F55DB4"/>
    <w:rsid w:val="00F7651C"/>
    <w:rsid w:val="00F836E2"/>
    <w:rsid w:val="00F96BDC"/>
    <w:rsid w:val="00FA2362"/>
    <w:rsid w:val="00FA70C8"/>
    <w:rsid w:val="00FB73A2"/>
    <w:rsid w:val="00FC2896"/>
    <w:rsid w:val="00FD025C"/>
    <w:rsid w:val="00FD05D7"/>
    <w:rsid w:val="00FF0836"/>
    <w:rsid w:val="00FF57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D3E2C6"/>
  <w15:chartTrackingRefBased/>
  <w15:docId w15:val="{D95915CE-1EC8-41E6-A513-D21B662DD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Hyperlink">
    <w:name w:val="Hyperlink"/>
    <w:rsid w:val="0099508C"/>
    <w:rPr>
      <w:color w:val="0563C1"/>
      <w:u w:val="single"/>
    </w:rPr>
  </w:style>
  <w:style w:type="paragraph" w:customStyle="1" w:styleId="Firmas">
    <w:name w:val="Firmas"/>
    <w:basedOn w:val="Normal"/>
    <w:pPr>
      <w:tabs>
        <w:tab w:val="center" w:pos="1440"/>
        <w:tab w:val="center" w:pos="7200"/>
      </w:tabs>
    </w:pPr>
    <w:rPr>
      <w:lang w:val="es-ES_tradnl"/>
    </w:rPr>
  </w:style>
  <w:style w:type="paragraph" w:styleId="NormalWeb">
    <w:name w:val="Normal (Web)"/>
    <w:basedOn w:val="Normal"/>
    <w:uiPriority w:val="99"/>
    <w:unhideWhenUsed/>
    <w:rsid w:val="00577A24"/>
    <w:pPr>
      <w:spacing w:before="100" w:beforeAutospacing="1" w:after="100" w:afterAutospacing="1"/>
    </w:pPr>
    <w:rPr>
      <w:szCs w:val="24"/>
    </w:rPr>
  </w:style>
  <w:style w:type="character" w:customStyle="1" w:styleId="citation-1473">
    <w:name w:val="citation-1473"/>
    <w:basedOn w:val="DefaultParagraphFont"/>
    <w:rsid w:val="00577A24"/>
  </w:style>
  <w:style w:type="character" w:customStyle="1" w:styleId="citation-1472">
    <w:name w:val="citation-1472"/>
    <w:basedOn w:val="DefaultParagraphFont"/>
    <w:rsid w:val="00577A24"/>
  </w:style>
  <w:style w:type="character" w:customStyle="1" w:styleId="citation-1471">
    <w:name w:val="citation-1471"/>
    <w:basedOn w:val="DefaultParagraphFont"/>
    <w:rsid w:val="00577A24"/>
  </w:style>
  <w:style w:type="character" w:customStyle="1" w:styleId="citation-1470">
    <w:name w:val="citation-1470"/>
    <w:basedOn w:val="DefaultParagraphFont"/>
    <w:rsid w:val="00577A24"/>
  </w:style>
  <w:style w:type="character" w:customStyle="1" w:styleId="citation-1469">
    <w:name w:val="citation-1469"/>
    <w:basedOn w:val="DefaultParagraphFont"/>
    <w:rsid w:val="00577A24"/>
  </w:style>
  <w:style w:type="character" w:customStyle="1" w:styleId="citation-1468">
    <w:name w:val="citation-1468"/>
    <w:basedOn w:val="DefaultParagraphFont"/>
    <w:rsid w:val="00577A24"/>
  </w:style>
  <w:style w:type="character" w:customStyle="1" w:styleId="citation-1467">
    <w:name w:val="citation-1467"/>
    <w:basedOn w:val="DefaultParagraphFont"/>
    <w:rsid w:val="00577A24"/>
  </w:style>
  <w:style w:type="character" w:customStyle="1" w:styleId="citation-1466">
    <w:name w:val="citation-1466"/>
    <w:basedOn w:val="DefaultParagraphFont"/>
    <w:rsid w:val="00577A24"/>
  </w:style>
  <w:style w:type="character" w:customStyle="1" w:styleId="citation-1465">
    <w:name w:val="citation-1465"/>
    <w:basedOn w:val="DefaultParagraphFont"/>
    <w:rsid w:val="00577A24"/>
  </w:style>
  <w:style w:type="character" w:customStyle="1" w:styleId="citation-1464">
    <w:name w:val="citation-1464"/>
    <w:basedOn w:val="DefaultParagraphFont"/>
    <w:rsid w:val="00577A24"/>
  </w:style>
  <w:style w:type="character" w:customStyle="1" w:styleId="citation-1463">
    <w:name w:val="citation-1463"/>
    <w:basedOn w:val="DefaultParagraphFont"/>
    <w:rsid w:val="00577A24"/>
  </w:style>
  <w:style w:type="character" w:customStyle="1" w:styleId="citation-1462">
    <w:name w:val="citation-1462"/>
    <w:basedOn w:val="DefaultParagraphFont"/>
    <w:rsid w:val="00577A24"/>
  </w:style>
  <w:style w:type="character" w:customStyle="1" w:styleId="citation-1461">
    <w:name w:val="citation-1461"/>
    <w:basedOn w:val="DefaultParagraphFont"/>
    <w:rsid w:val="00577A24"/>
  </w:style>
  <w:style w:type="character" w:customStyle="1" w:styleId="citation-1460">
    <w:name w:val="citation-1460"/>
    <w:basedOn w:val="DefaultParagraphFont"/>
    <w:rsid w:val="00577A24"/>
  </w:style>
  <w:style w:type="character" w:customStyle="1" w:styleId="citation-1459">
    <w:name w:val="citation-1459"/>
    <w:basedOn w:val="DefaultParagraphFont"/>
    <w:rsid w:val="00577A24"/>
  </w:style>
  <w:style w:type="character" w:customStyle="1" w:styleId="citation-1458">
    <w:name w:val="citation-1458"/>
    <w:basedOn w:val="DefaultParagraphFont"/>
    <w:rsid w:val="00577A24"/>
  </w:style>
  <w:style w:type="character" w:customStyle="1" w:styleId="citation-1457">
    <w:name w:val="citation-1457"/>
    <w:basedOn w:val="DefaultParagraphFont"/>
    <w:rsid w:val="00577A24"/>
  </w:style>
  <w:style w:type="character" w:customStyle="1" w:styleId="citation-1456">
    <w:name w:val="citation-1456"/>
    <w:basedOn w:val="DefaultParagraphFont"/>
    <w:rsid w:val="00577A24"/>
  </w:style>
  <w:style w:type="character" w:customStyle="1" w:styleId="citation-1455">
    <w:name w:val="citation-1455"/>
    <w:basedOn w:val="DefaultParagraphFont"/>
    <w:rsid w:val="00577A24"/>
  </w:style>
  <w:style w:type="character" w:customStyle="1" w:styleId="citation-1454">
    <w:name w:val="citation-1454"/>
    <w:basedOn w:val="DefaultParagraphFont"/>
    <w:rsid w:val="00577A24"/>
  </w:style>
  <w:style w:type="character" w:customStyle="1" w:styleId="citation-1453">
    <w:name w:val="citation-1453"/>
    <w:basedOn w:val="DefaultParagraphFont"/>
    <w:rsid w:val="00577A24"/>
  </w:style>
  <w:style w:type="character" w:customStyle="1" w:styleId="citation-1452">
    <w:name w:val="citation-1452"/>
    <w:basedOn w:val="DefaultParagraphFont"/>
    <w:rsid w:val="00577A24"/>
  </w:style>
  <w:style w:type="character" w:customStyle="1" w:styleId="citation-1451">
    <w:name w:val="citation-1451"/>
    <w:basedOn w:val="DefaultParagraphFont"/>
    <w:rsid w:val="00577A24"/>
  </w:style>
  <w:style w:type="character" w:customStyle="1" w:styleId="citation-1592">
    <w:name w:val="citation-1592"/>
    <w:basedOn w:val="DefaultParagraphFont"/>
    <w:rsid w:val="00577A24"/>
  </w:style>
  <w:style w:type="character" w:customStyle="1" w:styleId="citation-1591">
    <w:name w:val="citation-1591"/>
    <w:basedOn w:val="DefaultParagraphFont"/>
    <w:rsid w:val="00577A24"/>
  </w:style>
  <w:style w:type="character" w:customStyle="1" w:styleId="citation-1590">
    <w:name w:val="citation-1590"/>
    <w:basedOn w:val="DefaultParagraphFont"/>
    <w:rsid w:val="00577A24"/>
  </w:style>
  <w:style w:type="character" w:customStyle="1" w:styleId="citation-1589">
    <w:name w:val="citation-1589"/>
    <w:basedOn w:val="DefaultParagraphFont"/>
    <w:rsid w:val="00577A24"/>
  </w:style>
  <w:style w:type="character" w:customStyle="1" w:styleId="citation-1588">
    <w:name w:val="citation-1588"/>
    <w:basedOn w:val="DefaultParagraphFont"/>
    <w:rsid w:val="00577A24"/>
  </w:style>
  <w:style w:type="character" w:customStyle="1" w:styleId="citation-1587">
    <w:name w:val="citation-1587"/>
    <w:basedOn w:val="DefaultParagraphFont"/>
    <w:rsid w:val="00577A24"/>
  </w:style>
  <w:style w:type="character" w:customStyle="1" w:styleId="citation-1586">
    <w:name w:val="citation-1586"/>
    <w:basedOn w:val="DefaultParagraphFont"/>
    <w:rsid w:val="00577A24"/>
  </w:style>
  <w:style w:type="character" w:customStyle="1" w:styleId="citation-1585">
    <w:name w:val="citation-1585"/>
    <w:basedOn w:val="DefaultParagraphFont"/>
    <w:rsid w:val="00577A24"/>
  </w:style>
  <w:style w:type="character" w:customStyle="1" w:styleId="citation-1584">
    <w:name w:val="citation-1584"/>
    <w:basedOn w:val="DefaultParagraphFont"/>
    <w:rsid w:val="00577A24"/>
  </w:style>
  <w:style w:type="character" w:customStyle="1" w:styleId="citation-1583">
    <w:name w:val="citation-1583"/>
    <w:basedOn w:val="DefaultParagraphFont"/>
    <w:rsid w:val="00577A24"/>
  </w:style>
  <w:style w:type="character" w:customStyle="1" w:styleId="citation-1582">
    <w:name w:val="citation-1582"/>
    <w:basedOn w:val="DefaultParagraphFont"/>
    <w:rsid w:val="00577A24"/>
  </w:style>
  <w:style w:type="character" w:customStyle="1" w:styleId="citation-1581">
    <w:name w:val="citation-1581"/>
    <w:basedOn w:val="DefaultParagraphFont"/>
    <w:rsid w:val="00577A24"/>
  </w:style>
  <w:style w:type="character" w:customStyle="1" w:styleId="citation-1580">
    <w:name w:val="citation-1580"/>
    <w:basedOn w:val="DefaultParagraphFont"/>
    <w:rsid w:val="00577A24"/>
  </w:style>
  <w:style w:type="character" w:customStyle="1" w:styleId="citation-1579">
    <w:name w:val="citation-1579"/>
    <w:basedOn w:val="DefaultParagraphFont"/>
    <w:rsid w:val="00577A24"/>
  </w:style>
  <w:style w:type="character" w:customStyle="1" w:styleId="citation-1578">
    <w:name w:val="citation-1578"/>
    <w:basedOn w:val="DefaultParagraphFont"/>
    <w:rsid w:val="00577A24"/>
  </w:style>
  <w:style w:type="character" w:customStyle="1" w:styleId="citation-1577">
    <w:name w:val="citation-1577"/>
    <w:basedOn w:val="DefaultParagraphFont"/>
    <w:rsid w:val="00577A24"/>
  </w:style>
  <w:style w:type="character" w:customStyle="1" w:styleId="citation-1576">
    <w:name w:val="citation-1576"/>
    <w:basedOn w:val="DefaultParagraphFont"/>
    <w:rsid w:val="00577A24"/>
  </w:style>
  <w:style w:type="character" w:customStyle="1" w:styleId="citation-1575">
    <w:name w:val="citation-1575"/>
    <w:basedOn w:val="DefaultParagraphFont"/>
    <w:rsid w:val="00577A24"/>
  </w:style>
  <w:style w:type="character" w:customStyle="1" w:styleId="citation-1574">
    <w:name w:val="citation-1574"/>
    <w:basedOn w:val="DefaultParagraphFont"/>
    <w:rsid w:val="00577A24"/>
  </w:style>
  <w:style w:type="character" w:customStyle="1" w:styleId="citation-1573">
    <w:name w:val="citation-1573"/>
    <w:basedOn w:val="DefaultParagraphFont"/>
    <w:rsid w:val="00577A24"/>
  </w:style>
  <w:style w:type="character" w:customStyle="1" w:styleId="citation-1572">
    <w:name w:val="citation-1572"/>
    <w:basedOn w:val="DefaultParagraphFont"/>
    <w:rsid w:val="00577A24"/>
  </w:style>
  <w:style w:type="character" w:customStyle="1" w:styleId="citation-1832">
    <w:name w:val="citation-1832"/>
    <w:basedOn w:val="DefaultParagraphFont"/>
    <w:rsid w:val="000A47EC"/>
  </w:style>
  <w:style w:type="character" w:customStyle="1" w:styleId="citation-1831">
    <w:name w:val="citation-1831"/>
    <w:basedOn w:val="DefaultParagraphFont"/>
    <w:rsid w:val="000A47EC"/>
  </w:style>
  <w:style w:type="character" w:customStyle="1" w:styleId="citation-1830">
    <w:name w:val="citation-1830"/>
    <w:basedOn w:val="DefaultParagraphFont"/>
    <w:rsid w:val="000A47EC"/>
  </w:style>
  <w:style w:type="character" w:customStyle="1" w:styleId="citation-1829">
    <w:name w:val="citation-1829"/>
    <w:basedOn w:val="DefaultParagraphFont"/>
    <w:rsid w:val="000A47EC"/>
  </w:style>
  <w:style w:type="character" w:customStyle="1" w:styleId="citation-1828">
    <w:name w:val="citation-1828"/>
    <w:basedOn w:val="DefaultParagraphFont"/>
    <w:rsid w:val="000A47EC"/>
  </w:style>
  <w:style w:type="character" w:customStyle="1" w:styleId="citation-1827">
    <w:name w:val="citation-1827"/>
    <w:basedOn w:val="DefaultParagraphFont"/>
    <w:rsid w:val="000A47EC"/>
  </w:style>
  <w:style w:type="character" w:customStyle="1" w:styleId="citation-1826">
    <w:name w:val="citation-1826"/>
    <w:basedOn w:val="DefaultParagraphFont"/>
    <w:rsid w:val="000A47EC"/>
  </w:style>
  <w:style w:type="character" w:customStyle="1" w:styleId="citation-1825">
    <w:name w:val="citation-1825"/>
    <w:basedOn w:val="DefaultParagraphFont"/>
    <w:rsid w:val="000A47EC"/>
  </w:style>
  <w:style w:type="character" w:customStyle="1" w:styleId="citation-1824">
    <w:name w:val="citation-1824"/>
    <w:basedOn w:val="DefaultParagraphFont"/>
    <w:rsid w:val="000A47EC"/>
  </w:style>
  <w:style w:type="character" w:customStyle="1" w:styleId="citation-1823">
    <w:name w:val="citation-1823"/>
    <w:basedOn w:val="DefaultParagraphFont"/>
    <w:rsid w:val="000A47EC"/>
  </w:style>
  <w:style w:type="character" w:customStyle="1" w:styleId="citation-1822">
    <w:name w:val="citation-1822"/>
    <w:basedOn w:val="DefaultParagraphFont"/>
    <w:rsid w:val="000A47EC"/>
  </w:style>
  <w:style w:type="character" w:customStyle="1" w:styleId="citation-1821">
    <w:name w:val="citation-1821"/>
    <w:basedOn w:val="DefaultParagraphFont"/>
    <w:rsid w:val="000A47EC"/>
  </w:style>
  <w:style w:type="character" w:customStyle="1" w:styleId="citation-1820">
    <w:name w:val="citation-1820"/>
    <w:basedOn w:val="DefaultParagraphFont"/>
    <w:rsid w:val="000A47EC"/>
  </w:style>
  <w:style w:type="character" w:customStyle="1" w:styleId="citation-1819">
    <w:name w:val="citation-1819"/>
    <w:basedOn w:val="DefaultParagraphFont"/>
    <w:rsid w:val="000A47EC"/>
  </w:style>
  <w:style w:type="character" w:customStyle="1" w:styleId="citation-1818">
    <w:name w:val="citation-1818"/>
    <w:basedOn w:val="DefaultParagraphFont"/>
    <w:rsid w:val="000A47EC"/>
  </w:style>
  <w:style w:type="character" w:customStyle="1" w:styleId="citation-1817">
    <w:name w:val="citation-1817"/>
    <w:basedOn w:val="DefaultParagraphFont"/>
    <w:rsid w:val="000A47EC"/>
  </w:style>
  <w:style w:type="character" w:customStyle="1" w:styleId="citation-1816">
    <w:name w:val="citation-1816"/>
    <w:basedOn w:val="DefaultParagraphFont"/>
    <w:rsid w:val="000A47EC"/>
  </w:style>
  <w:style w:type="character" w:customStyle="1" w:styleId="citation-1815">
    <w:name w:val="citation-1815"/>
    <w:basedOn w:val="DefaultParagraphFont"/>
    <w:rsid w:val="000A47EC"/>
  </w:style>
  <w:style w:type="character" w:customStyle="1" w:styleId="citation-1814">
    <w:name w:val="citation-1814"/>
    <w:basedOn w:val="DefaultParagraphFont"/>
    <w:rsid w:val="000A47EC"/>
  </w:style>
  <w:style w:type="character" w:customStyle="1" w:styleId="citation-1813">
    <w:name w:val="citation-1813"/>
    <w:basedOn w:val="DefaultParagraphFont"/>
    <w:rsid w:val="000A47EC"/>
  </w:style>
  <w:style w:type="character" w:customStyle="1" w:styleId="citation-1812">
    <w:name w:val="citation-1812"/>
    <w:basedOn w:val="DefaultParagraphFont"/>
    <w:rsid w:val="000A47EC"/>
  </w:style>
  <w:style w:type="character" w:customStyle="1" w:styleId="citation-1811">
    <w:name w:val="citation-1811"/>
    <w:basedOn w:val="DefaultParagraphFont"/>
    <w:rsid w:val="000A47EC"/>
  </w:style>
  <w:style w:type="character" w:customStyle="1" w:styleId="citation-1810">
    <w:name w:val="citation-1810"/>
    <w:basedOn w:val="DefaultParagraphFont"/>
    <w:rsid w:val="000A47EC"/>
  </w:style>
  <w:style w:type="character" w:customStyle="1" w:styleId="citation-1809">
    <w:name w:val="citation-1809"/>
    <w:basedOn w:val="DefaultParagraphFont"/>
    <w:rsid w:val="000A47EC"/>
  </w:style>
  <w:style w:type="character" w:customStyle="1" w:styleId="citation-1808">
    <w:name w:val="citation-1808"/>
    <w:basedOn w:val="DefaultParagraphFont"/>
    <w:rsid w:val="000A47EC"/>
  </w:style>
  <w:style w:type="character" w:customStyle="1" w:styleId="citation-1807">
    <w:name w:val="citation-1807"/>
    <w:basedOn w:val="DefaultParagraphFont"/>
    <w:rsid w:val="000A47EC"/>
  </w:style>
  <w:style w:type="character" w:customStyle="1" w:styleId="citation-1806">
    <w:name w:val="citation-1806"/>
    <w:basedOn w:val="DefaultParagraphFont"/>
    <w:rsid w:val="000A47EC"/>
  </w:style>
  <w:style w:type="character" w:customStyle="1" w:styleId="citation-1805">
    <w:name w:val="citation-1805"/>
    <w:basedOn w:val="DefaultParagraphFont"/>
    <w:rsid w:val="000A47EC"/>
  </w:style>
  <w:style w:type="character" w:customStyle="1" w:styleId="citation-1804">
    <w:name w:val="citation-1804"/>
    <w:basedOn w:val="DefaultParagraphFont"/>
    <w:rsid w:val="000A47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131458">
      <w:bodyDiv w:val="1"/>
      <w:marLeft w:val="0"/>
      <w:marRight w:val="0"/>
      <w:marTop w:val="0"/>
      <w:marBottom w:val="0"/>
      <w:divBdr>
        <w:top w:val="none" w:sz="0" w:space="0" w:color="auto"/>
        <w:left w:val="none" w:sz="0" w:space="0" w:color="auto"/>
        <w:bottom w:val="none" w:sz="0" w:space="0" w:color="auto"/>
        <w:right w:val="none" w:sz="0" w:space="0" w:color="auto"/>
      </w:divBdr>
    </w:div>
    <w:div w:id="310138233">
      <w:bodyDiv w:val="1"/>
      <w:marLeft w:val="0"/>
      <w:marRight w:val="0"/>
      <w:marTop w:val="0"/>
      <w:marBottom w:val="0"/>
      <w:divBdr>
        <w:top w:val="none" w:sz="0" w:space="0" w:color="auto"/>
        <w:left w:val="none" w:sz="0" w:space="0" w:color="auto"/>
        <w:bottom w:val="none" w:sz="0" w:space="0" w:color="auto"/>
        <w:right w:val="none" w:sz="0" w:space="0" w:color="auto"/>
      </w:divBdr>
    </w:div>
    <w:div w:id="386953721">
      <w:bodyDiv w:val="1"/>
      <w:marLeft w:val="0"/>
      <w:marRight w:val="0"/>
      <w:marTop w:val="0"/>
      <w:marBottom w:val="0"/>
      <w:divBdr>
        <w:top w:val="none" w:sz="0" w:space="0" w:color="auto"/>
        <w:left w:val="none" w:sz="0" w:space="0" w:color="auto"/>
        <w:bottom w:val="none" w:sz="0" w:space="0" w:color="auto"/>
        <w:right w:val="none" w:sz="0" w:space="0" w:color="auto"/>
      </w:divBdr>
    </w:div>
    <w:div w:id="1150515380">
      <w:bodyDiv w:val="1"/>
      <w:marLeft w:val="0"/>
      <w:marRight w:val="0"/>
      <w:marTop w:val="0"/>
      <w:marBottom w:val="0"/>
      <w:divBdr>
        <w:top w:val="none" w:sz="0" w:space="0" w:color="auto"/>
        <w:left w:val="none" w:sz="0" w:space="0" w:color="auto"/>
        <w:bottom w:val="none" w:sz="0" w:space="0" w:color="auto"/>
        <w:right w:val="none" w:sz="0" w:space="0" w:color="auto"/>
      </w:divBdr>
    </w:div>
    <w:div w:id="1179582500">
      <w:bodyDiv w:val="1"/>
      <w:marLeft w:val="0"/>
      <w:marRight w:val="0"/>
      <w:marTop w:val="0"/>
      <w:marBottom w:val="0"/>
      <w:divBdr>
        <w:top w:val="none" w:sz="0" w:space="0" w:color="auto"/>
        <w:left w:val="none" w:sz="0" w:space="0" w:color="auto"/>
        <w:bottom w:val="none" w:sz="0" w:space="0" w:color="auto"/>
        <w:right w:val="none" w:sz="0" w:space="0" w:color="auto"/>
      </w:divBdr>
    </w:div>
    <w:div w:id="1274291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barbosa\Desktop\Medida-v202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2231094-78A5-4593-9FA8-559511B038AE}">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2.xml><?xml version="1.0" encoding="utf-8"?>
<ds:datastoreItem xmlns:ds="http://schemas.openxmlformats.org/officeDocument/2006/customXml" ds:itemID="{E4FE7E93-53CA-4B14-9C1A-30A9CBE51859}">
  <ds:schemaRefs>
    <ds:schemaRef ds:uri="http://schemas.microsoft.com/office/2006/metadata/longProperties"/>
  </ds:schemaRefs>
</ds:datastoreItem>
</file>

<file path=customXml/itemProps3.xml><?xml version="1.0" encoding="utf-8"?>
<ds:datastoreItem xmlns:ds="http://schemas.openxmlformats.org/officeDocument/2006/customXml" ds:itemID="{E7A1148C-6985-43D1-B88F-13999426DD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0B3198C-6870-4079-84D9-A8AE9196B343}">
  <ds:schemaRefs>
    <ds:schemaRef ds:uri="http://schemas.microsoft.com/sharepoint/v3/contenttype/forms"/>
  </ds:schemaRefs>
</ds:datastoreItem>
</file>

<file path=customXml/itemProps5.xml><?xml version="1.0" encoding="utf-8"?>
<ds:datastoreItem xmlns:ds="http://schemas.openxmlformats.org/officeDocument/2006/customXml" ds:itemID="{DDC7FA38-81D0-4713-99C5-0AEF720AB74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Medida-v2021</Template>
  <TotalTime>0</TotalTime>
  <Pages>7</Pages>
  <Words>2167</Words>
  <Characters>11922</Characters>
  <Application>Microsoft Office Word</Application>
  <DocSecurity>0</DocSecurity>
  <Lines>99</Lines>
  <Paragraphs>28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ESTADO LIBRE ASOCIADO DE PUERTO RICO</vt:lpstr>
      <vt:lpstr>ESTADO LIBRE ASOCIADO DE PUERTO RICO</vt:lpstr>
    </vt:vector>
  </TitlesOfParts>
  <Company> </Company>
  <LinksUpToDate>false</LinksUpToDate>
  <CharactersWithSpaces>14061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Miguel Oppenheimer</dc:creator>
  <cp:keywords>Angel Morey</cp:keywords>
  <dc:description/>
  <cp:lastModifiedBy>Gloria de Jesús Maldonado</cp:lastModifiedBy>
  <cp:revision>2</cp:revision>
  <cp:lastPrinted>2026-04-16T00:56:00Z</cp:lastPrinted>
  <dcterms:created xsi:type="dcterms:W3CDTF">2026-06-16T20:13:00Z</dcterms:created>
  <dcterms:modified xsi:type="dcterms:W3CDTF">2026-06-16T20:13:00Z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4SQX5P7U7WPY-958212181-816417</vt:lpwstr>
  </property>
  <property fmtid="{D5CDD505-2E9C-101B-9397-08002B2CF9AE}" pid="3" name="_dlc_DocIdItemGuid">
    <vt:lpwstr>88fe0dfd-538b-4db4-a85a-121b402bc7b9</vt:lpwstr>
  </property>
  <property fmtid="{D5CDD505-2E9C-101B-9397-08002B2CF9AE}" pid="4" name="_dlc_DocIdUrl">
    <vt:lpwstr>https://senpr.sharepoint.com/sites/obralegislativa/_layouts/15/DocIdRedir.aspx?ID=4SQX5P7U7WPY-958212181-816417, 4SQX5P7U7WPY-958212181-816417</vt:lpwstr>
  </property>
</Properties>
</file>