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87672" w14:textId="03ECDCD4" w:rsidR="000C1D82" w:rsidRPr="00FD1DE9" w:rsidRDefault="00D31713" w:rsidP="000C1D82">
      <w:pPr>
        <w:suppressLineNumbers/>
        <w:suppressAutoHyphens/>
        <w:jc w:val="center"/>
        <w:rPr>
          <w:rFonts w:ascii="Book Antiqua" w:hAnsi="Book Antiqua"/>
          <w:sz w:val="28"/>
          <w:szCs w:val="28"/>
          <w:lang w:val="es-PR"/>
        </w:rPr>
      </w:pPr>
      <w:r>
        <w:rPr>
          <w:rFonts w:ascii="Book Antiqua" w:hAnsi="Book Antiqua"/>
          <w:sz w:val="28"/>
          <w:szCs w:val="28"/>
          <w:lang w:val="es-PR"/>
        </w:rPr>
        <w:t>GOBIERNO</w:t>
      </w:r>
      <w:r w:rsidRPr="00FD1DE9">
        <w:rPr>
          <w:rFonts w:ascii="Book Antiqua" w:hAnsi="Book Antiqua"/>
          <w:sz w:val="28"/>
          <w:szCs w:val="28"/>
          <w:lang w:val="es-PR"/>
        </w:rPr>
        <w:t xml:space="preserve"> DE PUERTO RICO</w:t>
      </w:r>
    </w:p>
    <w:p w14:paraId="1B71544F" w14:textId="6414B108" w:rsidR="007334BE" w:rsidRPr="004C75C2" w:rsidRDefault="007334BE" w:rsidP="007334BE">
      <w:pPr>
        <w:suppressLineNumbers/>
        <w:jc w:val="center"/>
        <w:rPr>
          <w:rFonts w:ascii="Book Antiqua" w:hAnsi="Book Antiqua"/>
          <w:szCs w:val="24"/>
          <w:lang w:val="es-PR"/>
        </w:rPr>
      </w:pPr>
    </w:p>
    <w:p w14:paraId="7D7263BF" w14:textId="71F84BEA" w:rsidR="007334BE" w:rsidRPr="002754D5" w:rsidRDefault="002754D5" w:rsidP="002754D5">
      <w:pPr>
        <w:pStyle w:val="Title2"/>
        <w:suppressLineNumbers/>
        <w:tabs>
          <w:tab w:val="clear" w:pos="648"/>
          <w:tab w:val="clear" w:pos="7776"/>
          <w:tab w:val="clear" w:pos="7848"/>
        </w:tabs>
        <w:rPr>
          <w:rFonts w:ascii="Book Antiqua" w:hAnsi="Book Antiqua"/>
          <w:szCs w:val="24"/>
          <w:lang w:val="it-IT"/>
        </w:rPr>
      </w:pPr>
      <w:r w:rsidRPr="002754D5">
        <w:rPr>
          <w:rFonts w:ascii="Book Antiqua" w:hAnsi="Book Antiqua"/>
          <w:szCs w:val="24"/>
          <w:lang w:val="it-IT"/>
        </w:rPr>
        <w:t>20ma.</w:t>
      </w:r>
      <w:r w:rsidR="007334BE" w:rsidRPr="002754D5">
        <w:rPr>
          <w:rFonts w:ascii="Book Antiqua" w:hAnsi="Book Antiqua"/>
          <w:szCs w:val="24"/>
          <w:vertAlign w:val="superscript"/>
          <w:lang w:val="it-IT"/>
        </w:rPr>
        <w:tab/>
      </w:r>
      <w:r w:rsidR="007334BE" w:rsidRPr="002754D5">
        <w:rPr>
          <w:rFonts w:ascii="Book Antiqua" w:hAnsi="Book Antiqua"/>
          <w:szCs w:val="24"/>
          <w:lang w:val="it-IT"/>
        </w:rPr>
        <w:t>Asamblea</w:t>
      </w:r>
      <w:r w:rsidR="007334BE" w:rsidRPr="002754D5">
        <w:rPr>
          <w:rFonts w:ascii="Book Antiqua" w:hAnsi="Book Antiqua"/>
          <w:szCs w:val="24"/>
          <w:lang w:val="it-IT"/>
        </w:rPr>
        <w:tab/>
      </w:r>
      <w:r>
        <w:rPr>
          <w:rFonts w:ascii="Book Antiqua" w:hAnsi="Book Antiqua"/>
          <w:szCs w:val="24"/>
          <w:lang w:val="it-IT"/>
        </w:rPr>
        <w:t xml:space="preserve">                                                                                               </w:t>
      </w:r>
      <w:r w:rsidRPr="002754D5">
        <w:rPr>
          <w:rFonts w:ascii="Book Antiqua" w:hAnsi="Book Antiqua"/>
          <w:szCs w:val="24"/>
          <w:lang w:val="it-IT"/>
        </w:rPr>
        <w:t xml:space="preserve">3ra. </w:t>
      </w:r>
      <w:r w:rsidR="007334BE" w:rsidRPr="002754D5">
        <w:rPr>
          <w:rFonts w:ascii="Book Antiqua" w:hAnsi="Book Antiqua"/>
          <w:szCs w:val="24"/>
          <w:lang w:val="it-IT"/>
        </w:rPr>
        <w:t>Sesión</w:t>
      </w:r>
    </w:p>
    <w:p w14:paraId="2869843C" w14:textId="2A1A7D6E" w:rsidR="007334BE" w:rsidRPr="002754D5" w:rsidRDefault="007334BE" w:rsidP="002754D5">
      <w:pPr>
        <w:pStyle w:val="Title2"/>
        <w:suppressLineNumbers/>
        <w:tabs>
          <w:tab w:val="clear" w:pos="648"/>
          <w:tab w:val="clear" w:pos="7776"/>
          <w:tab w:val="clear" w:pos="7848"/>
        </w:tabs>
        <w:rPr>
          <w:rFonts w:ascii="Book Antiqua" w:hAnsi="Book Antiqua"/>
          <w:szCs w:val="24"/>
          <w:lang w:val="it-IT"/>
        </w:rPr>
      </w:pPr>
      <w:r w:rsidRPr="002754D5">
        <w:rPr>
          <w:rFonts w:ascii="Book Antiqua" w:hAnsi="Book Antiqua"/>
          <w:szCs w:val="24"/>
          <w:lang w:val="it-IT"/>
        </w:rPr>
        <w:tab/>
        <w:t>Legislativa</w:t>
      </w:r>
      <w:r w:rsidRPr="002754D5">
        <w:rPr>
          <w:rFonts w:ascii="Book Antiqua" w:hAnsi="Book Antiqua"/>
          <w:szCs w:val="24"/>
          <w:lang w:val="it-IT"/>
        </w:rPr>
        <w:tab/>
      </w:r>
      <w:r w:rsidRPr="002754D5">
        <w:rPr>
          <w:rFonts w:ascii="Book Antiqua" w:hAnsi="Book Antiqua"/>
          <w:szCs w:val="24"/>
          <w:lang w:val="it-IT"/>
        </w:rPr>
        <w:tab/>
      </w:r>
      <w:r w:rsidR="002754D5" w:rsidRPr="002754D5">
        <w:rPr>
          <w:rFonts w:ascii="Book Antiqua" w:hAnsi="Book Antiqua"/>
          <w:szCs w:val="24"/>
          <w:lang w:val="it-IT"/>
        </w:rPr>
        <w:t xml:space="preserve"> </w:t>
      </w:r>
      <w:r w:rsidR="002754D5">
        <w:rPr>
          <w:rFonts w:ascii="Book Antiqua" w:hAnsi="Book Antiqua"/>
          <w:szCs w:val="24"/>
          <w:lang w:val="it-IT"/>
        </w:rPr>
        <w:t xml:space="preserve">                                                                                         </w:t>
      </w:r>
      <w:r w:rsidRPr="002754D5">
        <w:rPr>
          <w:rFonts w:ascii="Book Antiqua" w:hAnsi="Book Antiqua"/>
          <w:szCs w:val="24"/>
          <w:lang w:val="it-IT"/>
        </w:rPr>
        <w:t>Ordinaria</w:t>
      </w:r>
    </w:p>
    <w:p w14:paraId="7302B05C" w14:textId="77777777" w:rsidR="007334BE" w:rsidRPr="002754D5" w:rsidRDefault="007334BE" w:rsidP="007334BE">
      <w:pPr>
        <w:suppressLineNumbers/>
        <w:rPr>
          <w:szCs w:val="24"/>
          <w:lang w:val="it-IT"/>
        </w:rPr>
      </w:pPr>
    </w:p>
    <w:p w14:paraId="4934ACF6" w14:textId="77777777" w:rsidR="007334BE" w:rsidRPr="004C75C2" w:rsidRDefault="007334BE" w:rsidP="004A6874">
      <w:pPr>
        <w:suppressLineNumbers/>
        <w:jc w:val="center"/>
        <w:rPr>
          <w:rFonts w:ascii="Book Antiqua" w:hAnsi="Book Antiqua"/>
          <w:b/>
          <w:sz w:val="36"/>
          <w:szCs w:val="36"/>
          <w:lang w:val="es-PR"/>
        </w:rPr>
      </w:pPr>
      <w:r w:rsidRPr="004C75C2">
        <w:rPr>
          <w:rFonts w:ascii="Book Antiqua" w:hAnsi="Book Antiqua"/>
          <w:b/>
          <w:sz w:val="36"/>
          <w:szCs w:val="36"/>
          <w:lang w:val="es-PR"/>
        </w:rPr>
        <w:t>CÁMARA DE REPRESENTANTES</w:t>
      </w:r>
    </w:p>
    <w:p w14:paraId="04DC36CF" w14:textId="77777777" w:rsidR="007334BE" w:rsidRPr="004C75C2" w:rsidRDefault="007334BE" w:rsidP="004A6874">
      <w:pPr>
        <w:suppressLineNumbers/>
        <w:jc w:val="center"/>
        <w:rPr>
          <w:rFonts w:ascii="Book Antiqua" w:hAnsi="Book Antiqua"/>
          <w:b/>
          <w:szCs w:val="24"/>
          <w:lang w:val="es-PR"/>
        </w:rPr>
      </w:pPr>
    </w:p>
    <w:p w14:paraId="2345BD3E" w14:textId="50EA0180" w:rsidR="007334BE" w:rsidRPr="004A6874" w:rsidRDefault="007334BE" w:rsidP="004A6874">
      <w:pPr>
        <w:suppressLineNumbers/>
        <w:jc w:val="center"/>
        <w:rPr>
          <w:rFonts w:ascii="Book Antiqua" w:hAnsi="Book Antiqua"/>
          <w:b/>
          <w:sz w:val="52"/>
          <w:szCs w:val="52"/>
          <w:lang w:val="es-PR"/>
        </w:rPr>
      </w:pPr>
      <w:r w:rsidRPr="004C75C2">
        <w:rPr>
          <w:rFonts w:ascii="Book Antiqua" w:hAnsi="Book Antiqua"/>
          <w:b/>
          <w:sz w:val="52"/>
          <w:szCs w:val="52"/>
          <w:lang w:val="es-PR"/>
        </w:rPr>
        <w:t xml:space="preserve">R. de la C. </w:t>
      </w:r>
      <w:r w:rsidR="007056EA">
        <w:rPr>
          <w:rFonts w:ascii="Book Antiqua" w:hAnsi="Book Antiqua"/>
          <w:b/>
          <w:sz w:val="52"/>
          <w:szCs w:val="52"/>
          <w:lang w:val="es-PR"/>
        </w:rPr>
        <w:t>675</w:t>
      </w:r>
    </w:p>
    <w:p w14:paraId="26BA4D17" w14:textId="77777777" w:rsidR="004A6874" w:rsidRDefault="004A6874" w:rsidP="004A6874">
      <w:pPr>
        <w:jc w:val="center"/>
        <w:rPr>
          <w:rFonts w:ascii="Book Antiqua" w:hAnsi="Book Antiqua"/>
          <w:szCs w:val="24"/>
          <w:lang w:val="es-ES"/>
        </w:rPr>
      </w:pPr>
    </w:p>
    <w:p w14:paraId="39D02EDE" w14:textId="25A72F83" w:rsidR="00172E63" w:rsidRPr="00783725" w:rsidRDefault="00152862" w:rsidP="004A6874">
      <w:pPr>
        <w:jc w:val="center"/>
        <w:rPr>
          <w:rFonts w:ascii="Book Antiqua" w:hAnsi="Book Antiqua"/>
          <w:szCs w:val="24"/>
          <w:lang w:val="es-ES"/>
        </w:rPr>
      </w:pPr>
      <w:r>
        <w:rPr>
          <w:rFonts w:ascii="Book Antiqua" w:hAnsi="Book Antiqua"/>
          <w:szCs w:val="24"/>
          <w:lang w:val="es-ES"/>
        </w:rPr>
        <w:t>21</w:t>
      </w:r>
      <w:r w:rsidR="000830F8" w:rsidRPr="00783725">
        <w:rPr>
          <w:rFonts w:ascii="Book Antiqua" w:hAnsi="Book Antiqua"/>
          <w:szCs w:val="24"/>
          <w:lang w:val="es-ES"/>
        </w:rPr>
        <w:t xml:space="preserve"> </w:t>
      </w:r>
      <w:r w:rsidR="002754D5">
        <w:rPr>
          <w:rFonts w:ascii="Book Antiqua" w:hAnsi="Book Antiqua"/>
          <w:szCs w:val="24"/>
          <w:lang w:val="es-ES"/>
        </w:rPr>
        <w:t>DE ABRIL DE</w:t>
      </w:r>
      <w:r w:rsidR="00172E63" w:rsidRPr="00783725">
        <w:rPr>
          <w:rFonts w:ascii="Book Antiqua" w:hAnsi="Book Antiqua"/>
          <w:szCs w:val="24"/>
          <w:lang w:val="es-ES"/>
        </w:rPr>
        <w:t xml:space="preserve"> 202</w:t>
      </w:r>
      <w:r w:rsidR="00B37285">
        <w:rPr>
          <w:rFonts w:ascii="Book Antiqua" w:hAnsi="Book Antiqua"/>
          <w:szCs w:val="24"/>
          <w:lang w:val="es-ES"/>
        </w:rPr>
        <w:t>6</w:t>
      </w:r>
    </w:p>
    <w:p w14:paraId="40678C59" w14:textId="77777777" w:rsidR="004A6874" w:rsidRDefault="004A6874" w:rsidP="004A6874">
      <w:pPr>
        <w:jc w:val="center"/>
        <w:rPr>
          <w:rFonts w:ascii="Book Antiqua" w:hAnsi="Book Antiqua"/>
          <w:szCs w:val="24"/>
          <w:lang w:val="es-ES"/>
        </w:rPr>
      </w:pPr>
    </w:p>
    <w:p w14:paraId="68B7B56A" w14:textId="7593A972" w:rsidR="001663EC" w:rsidRPr="003933B0" w:rsidRDefault="00172E63" w:rsidP="001663EC">
      <w:pPr>
        <w:ind w:left="810" w:hanging="810"/>
        <w:jc w:val="both"/>
        <w:rPr>
          <w:rFonts w:ascii="Book Antiqua" w:eastAsia="Aptos" w:hAnsi="Book Antiqua"/>
          <w:lang w:val="es-ES"/>
        </w:rPr>
      </w:pPr>
      <w:r w:rsidRPr="00783725">
        <w:rPr>
          <w:rFonts w:ascii="Book Antiqua" w:hAnsi="Book Antiqua"/>
          <w:szCs w:val="24"/>
          <w:lang w:val="es-ES"/>
        </w:rPr>
        <w:t>Presentad</w:t>
      </w:r>
      <w:r w:rsidR="00513988" w:rsidRPr="00783725">
        <w:rPr>
          <w:rFonts w:ascii="Book Antiqua" w:hAnsi="Book Antiqua"/>
          <w:szCs w:val="24"/>
          <w:lang w:val="es-ES"/>
        </w:rPr>
        <w:t>a</w:t>
      </w:r>
      <w:r w:rsidRPr="00783725">
        <w:rPr>
          <w:rFonts w:ascii="Book Antiqua" w:hAnsi="Book Antiqua"/>
          <w:szCs w:val="24"/>
          <w:lang w:val="es-ES"/>
        </w:rPr>
        <w:t xml:space="preserve"> por</w:t>
      </w:r>
      <w:r w:rsidR="000830F8" w:rsidRPr="00783725">
        <w:rPr>
          <w:rFonts w:ascii="Book Antiqua" w:hAnsi="Book Antiqua"/>
          <w:szCs w:val="24"/>
          <w:lang w:val="es-ES"/>
        </w:rPr>
        <w:t xml:space="preserve"> </w:t>
      </w:r>
      <w:r w:rsidR="001663EC">
        <w:rPr>
          <w:rFonts w:ascii="Book Antiqua" w:hAnsi="Book Antiqua"/>
          <w:szCs w:val="24"/>
          <w:lang w:val="es-ES"/>
        </w:rPr>
        <w:t>los</w:t>
      </w:r>
      <w:r w:rsidR="00E052F5">
        <w:rPr>
          <w:rFonts w:ascii="Book Antiqua" w:hAnsi="Book Antiqua"/>
          <w:szCs w:val="24"/>
          <w:lang w:val="es-ES"/>
        </w:rPr>
        <w:t xml:space="preserve"> </w:t>
      </w:r>
      <w:r w:rsidR="00B37285">
        <w:rPr>
          <w:rFonts w:ascii="Book Antiqua" w:hAnsi="Book Antiqua"/>
          <w:szCs w:val="24"/>
          <w:lang w:val="es-ES"/>
        </w:rPr>
        <w:t>representante</w:t>
      </w:r>
      <w:r w:rsidR="001663EC">
        <w:rPr>
          <w:rFonts w:ascii="Book Antiqua" w:hAnsi="Book Antiqua"/>
          <w:szCs w:val="24"/>
          <w:lang w:val="es-ES"/>
        </w:rPr>
        <w:t>s</w:t>
      </w:r>
      <w:r w:rsidR="000830F8" w:rsidRPr="00783725">
        <w:rPr>
          <w:rFonts w:ascii="Book Antiqua" w:hAnsi="Book Antiqua"/>
          <w:szCs w:val="24"/>
          <w:lang w:val="es-ES"/>
        </w:rPr>
        <w:t xml:space="preserve"> </w:t>
      </w:r>
      <w:r w:rsidR="00B37285">
        <w:rPr>
          <w:rFonts w:ascii="Book Antiqua" w:hAnsi="Book Antiqua"/>
          <w:i/>
          <w:iCs/>
          <w:szCs w:val="24"/>
          <w:lang w:val="es-ES"/>
        </w:rPr>
        <w:t>Morey Nobl</w:t>
      </w:r>
      <w:r w:rsidR="001663EC">
        <w:rPr>
          <w:rFonts w:ascii="Book Antiqua" w:hAnsi="Book Antiqua"/>
          <w:i/>
          <w:iCs/>
          <w:szCs w:val="24"/>
          <w:lang w:val="es-ES"/>
        </w:rPr>
        <w:t xml:space="preserve">e, Méndez Núñez, </w:t>
      </w:r>
      <w:r w:rsidR="001663EC" w:rsidRPr="001663EC">
        <w:rPr>
          <w:rFonts w:ascii="Book Antiqua" w:hAnsi="Book Antiqua"/>
          <w:szCs w:val="24"/>
          <w:lang w:val="es-ES"/>
        </w:rPr>
        <w:t>la representante</w:t>
      </w:r>
      <w:r w:rsidR="001663EC">
        <w:rPr>
          <w:rFonts w:ascii="Book Antiqua" w:hAnsi="Book Antiqua"/>
          <w:i/>
          <w:iCs/>
          <w:szCs w:val="24"/>
          <w:lang w:val="es-ES"/>
        </w:rPr>
        <w:t xml:space="preserve"> Lebrón Rodríguez, </w:t>
      </w:r>
      <w:r w:rsidR="001663EC" w:rsidRPr="003933B0">
        <w:rPr>
          <w:rFonts w:ascii="Book Antiqua" w:eastAsia="Aptos" w:hAnsi="Book Antiqua"/>
          <w:lang w:val="es-ES"/>
        </w:rPr>
        <w:t xml:space="preserve">los representantes </w:t>
      </w:r>
      <w:r w:rsidR="001663EC" w:rsidRPr="002754D5">
        <w:rPr>
          <w:rFonts w:ascii="Book Antiqua" w:eastAsia="Aptos" w:hAnsi="Book Antiqua"/>
          <w:i/>
          <w:iCs/>
          <w:lang w:val="es-ES"/>
        </w:rPr>
        <w:t>Peña Ramírez, Torres Zamora</w:t>
      </w:r>
      <w:r w:rsidR="001663EC" w:rsidRPr="003933B0">
        <w:rPr>
          <w:rFonts w:ascii="Book Antiqua" w:eastAsia="Aptos" w:hAnsi="Book Antiqua"/>
          <w:lang w:val="es-ES"/>
        </w:rPr>
        <w:t xml:space="preserve">, </w:t>
      </w:r>
      <w:r w:rsidR="001663EC" w:rsidRPr="002754D5">
        <w:rPr>
          <w:rFonts w:ascii="Book Antiqua" w:eastAsia="Aptos" w:hAnsi="Book Antiqua"/>
          <w:i/>
          <w:iCs/>
          <w:lang w:val="es-ES"/>
        </w:rPr>
        <w:t>Román López</w:t>
      </w:r>
      <w:r w:rsidR="001663EC" w:rsidRPr="002754D5">
        <w:rPr>
          <w:rFonts w:ascii="Book Antiqua" w:eastAsia="Aptos" w:hAnsi="Book Antiqua"/>
          <w:lang w:val="es-ES"/>
        </w:rPr>
        <w:t>,</w:t>
      </w:r>
      <w:r w:rsidR="001663EC" w:rsidRPr="002754D5">
        <w:rPr>
          <w:rFonts w:ascii="Book Antiqua" w:eastAsia="Aptos" w:hAnsi="Book Antiqua"/>
          <w:i/>
          <w:iCs/>
          <w:lang w:val="es-ES"/>
        </w:rPr>
        <w:t xml:space="preserve"> Ocasio Ramos</w:t>
      </w:r>
      <w:r w:rsidR="001663EC">
        <w:rPr>
          <w:rFonts w:ascii="Book Antiqua" w:eastAsia="Aptos" w:hAnsi="Book Antiqua"/>
          <w:lang w:val="es-ES"/>
        </w:rPr>
        <w:t xml:space="preserve">, </w:t>
      </w:r>
      <w:r w:rsidR="001663EC" w:rsidRPr="002754D5">
        <w:rPr>
          <w:rFonts w:ascii="Book Antiqua" w:eastAsia="Aptos" w:hAnsi="Book Antiqua"/>
          <w:i/>
          <w:iCs/>
          <w:lang w:val="es-ES"/>
        </w:rPr>
        <w:t xml:space="preserve">Hernández </w:t>
      </w:r>
      <w:r w:rsidR="002754D5" w:rsidRPr="002754D5">
        <w:rPr>
          <w:rFonts w:ascii="Book Antiqua" w:eastAsia="Aptos" w:hAnsi="Book Antiqua"/>
          <w:i/>
          <w:iCs/>
          <w:lang w:val="es-ES"/>
        </w:rPr>
        <w:t>Concepción</w:t>
      </w:r>
      <w:r w:rsidR="001663EC">
        <w:rPr>
          <w:rFonts w:ascii="Book Antiqua" w:eastAsia="Aptos" w:hAnsi="Book Antiqua"/>
          <w:lang w:val="es-ES"/>
        </w:rPr>
        <w:t xml:space="preserve">, </w:t>
      </w:r>
      <w:r w:rsidR="001663EC" w:rsidRPr="002754D5">
        <w:rPr>
          <w:rFonts w:ascii="Book Antiqua" w:eastAsia="Aptos" w:hAnsi="Book Antiqua"/>
          <w:i/>
          <w:iCs/>
          <w:lang w:val="es-ES"/>
        </w:rPr>
        <w:t>Navarro Súarez</w:t>
      </w:r>
      <w:r w:rsidR="001663EC">
        <w:rPr>
          <w:rFonts w:ascii="Book Antiqua" w:eastAsia="Aptos" w:hAnsi="Book Antiqua"/>
          <w:lang w:val="es-ES"/>
        </w:rPr>
        <w:t xml:space="preserve">, </w:t>
      </w:r>
      <w:r w:rsidR="001663EC" w:rsidRPr="002754D5">
        <w:rPr>
          <w:rFonts w:ascii="Book Antiqua" w:eastAsia="Aptos" w:hAnsi="Book Antiqua"/>
          <w:i/>
          <w:iCs/>
          <w:lang w:val="es-ES"/>
        </w:rPr>
        <w:t>Pacheco Burgos</w:t>
      </w:r>
      <w:r w:rsidR="001663EC">
        <w:rPr>
          <w:rFonts w:ascii="Book Antiqua" w:eastAsia="Aptos" w:hAnsi="Book Antiqua"/>
          <w:lang w:val="es-ES"/>
        </w:rPr>
        <w:t xml:space="preserve">, </w:t>
      </w:r>
      <w:r w:rsidR="001663EC" w:rsidRPr="002754D5">
        <w:rPr>
          <w:rFonts w:ascii="Book Antiqua" w:eastAsia="Aptos" w:hAnsi="Book Antiqua"/>
          <w:i/>
          <w:iCs/>
          <w:lang w:val="es-ES"/>
        </w:rPr>
        <w:t>Santiago Guzmán</w:t>
      </w:r>
      <w:r w:rsidR="001663EC">
        <w:rPr>
          <w:rFonts w:ascii="Book Antiqua" w:eastAsia="Aptos" w:hAnsi="Book Antiqua"/>
          <w:lang w:val="es-ES"/>
        </w:rPr>
        <w:t>, la</w:t>
      </w:r>
      <w:r w:rsidR="001663EC" w:rsidRPr="002754D5">
        <w:rPr>
          <w:rFonts w:ascii="Book Antiqua" w:eastAsia="Aptos" w:hAnsi="Book Antiqua"/>
          <w:lang w:val="es-ES"/>
        </w:rPr>
        <w:t>s</w:t>
      </w:r>
      <w:r w:rsidR="001663EC">
        <w:rPr>
          <w:rFonts w:ascii="Book Antiqua" w:eastAsia="Aptos" w:hAnsi="Book Antiqua"/>
          <w:lang w:val="es-ES"/>
        </w:rPr>
        <w:t xml:space="preserve"> </w:t>
      </w:r>
      <w:r w:rsidR="002754D5">
        <w:rPr>
          <w:rFonts w:ascii="Book Antiqua" w:eastAsia="Aptos" w:hAnsi="Book Antiqua"/>
          <w:lang w:val="es-ES"/>
        </w:rPr>
        <w:t xml:space="preserve">representantes </w:t>
      </w:r>
      <w:r w:rsidR="001663EC" w:rsidRPr="002754D5">
        <w:rPr>
          <w:rFonts w:ascii="Book Antiqua" w:eastAsia="Aptos" w:hAnsi="Book Antiqua"/>
          <w:i/>
          <w:iCs/>
          <w:lang w:val="es-ES"/>
        </w:rPr>
        <w:t>González Aguayo</w:t>
      </w:r>
      <w:r w:rsidR="001663EC">
        <w:rPr>
          <w:rFonts w:ascii="Book Antiqua" w:eastAsia="Aptos" w:hAnsi="Book Antiqua"/>
          <w:lang w:val="es-ES"/>
        </w:rPr>
        <w:t xml:space="preserve">, </w:t>
      </w:r>
      <w:r w:rsidR="001663EC" w:rsidRPr="002754D5">
        <w:rPr>
          <w:rFonts w:ascii="Book Antiqua" w:eastAsia="Aptos" w:hAnsi="Book Antiqua"/>
          <w:i/>
          <w:iCs/>
          <w:lang w:val="es-ES"/>
        </w:rPr>
        <w:t xml:space="preserve">González </w:t>
      </w:r>
      <w:proofErr w:type="spellStart"/>
      <w:r w:rsidR="001663EC" w:rsidRPr="002754D5">
        <w:rPr>
          <w:rFonts w:ascii="Book Antiqua" w:eastAsia="Aptos" w:hAnsi="Book Antiqua"/>
          <w:i/>
          <w:iCs/>
          <w:lang w:val="es-ES"/>
        </w:rPr>
        <w:t>González</w:t>
      </w:r>
      <w:proofErr w:type="spellEnd"/>
      <w:r w:rsidR="001663EC">
        <w:rPr>
          <w:rFonts w:ascii="Book Antiqua" w:eastAsia="Aptos" w:hAnsi="Book Antiqua"/>
          <w:lang w:val="es-ES"/>
        </w:rPr>
        <w:t xml:space="preserve">, </w:t>
      </w:r>
      <w:r w:rsidR="001663EC" w:rsidRPr="002754D5">
        <w:rPr>
          <w:rFonts w:ascii="Book Antiqua" w:eastAsia="Aptos" w:hAnsi="Book Antiqua"/>
          <w:i/>
          <w:iCs/>
          <w:lang w:val="es-ES"/>
        </w:rPr>
        <w:t>Martínez Vázquez</w:t>
      </w:r>
      <w:r w:rsidR="001663EC">
        <w:rPr>
          <w:rFonts w:ascii="Book Antiqua" w:eastAsia="Aptos" w:hAnsi="Book Antiqua"/>
          <w:lang w:val="es-ES"/>
        </w:rPr>
        <w:t xml:space="preserve">, los representantes </w:t>
      </w:r>
      <w:r w:rsidR="001663EC" w:rsidRPr="002754D5">
        <w:rPr>
          <w:rFonts w:ascii="Book Antiqua" w:eastAsia="Aptos" w:hAnsi="Book Antiqua"/>
          <w:i/>
          <w:iCs/>
          <w:lang w:val="es-ES"/>
        </w:rPr>
        <w:t>Roque Gracia</w:t>
      </w:r>
      <w:r w:rsidR="001663EC">
        <w:rPr>
          <w:rFonts w:ascii="Book Antiqua" w:eastAsia="Aptos" w:hAnsi="Book Antiqua"/>
          <w:lang w:val="es-ES"/>
        </w:rPr>
        <w:t xml:space="preserve">, </w:t>
      </w:r>
      <w:r w:rsidR="001663EC" w:rsidRPr="002754D5">
        <w:rPr>
          <w:rFonts w:ascii="Book Antiqua" w:eastAsia="Aptos" w:hAnsi="Book Antiqua"/>
          <w:i/>
          <w:iCs/>
          <w:lang w:val="es-ES"/>
        </w:rPr>
        <w:t>Sanabria Colón</w:t>
      </w:r>
      <w:r w:rsidR="001663EC">
        <w:rPr>
          <w:rFonts w:ascii="Book Antiqua" w:eastAsia="Aptos" w:hAnsi="Book Antiqua"/>
          <w:lang w:val="es-ES"/>
        </w:rPr>
        <w:t xml:space="preserve">, </w:t>
      </w:r>
      <w:r w:rsidR="001663EC" w:rsidRPr="002754D5">
        <w:rPr>
          <w:rFonts w:ascii="Book Antiqua" w:eastAsia="Aptos" w:hAnsi="Book Antiqua"/>
          <w:i/>
          <w:iCs/>
          <w:lang w:val="es-ES"/>
        </w:rPr>
        <w:t>Muriel Sánchez</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Aponte Hernández</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Parés Otero</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w:t>
      </w:r>
      <w:r w:rsidR="00DC032E" w:rsidRPr="002754D5">
        <w:rPr>
          <w:rFonts w:ascii="Book Antiqua" w:eastAsia="Aptos" w:hAnsi="Book Antiqua"/>
          <w:lang w:val="es-ES"/>
        </w:rPr>
        <w:t>la representante</w:t>
      </w:r>
      <w:r w:rsidR="00DC032E" w:rsidRPr="002754D5">
        <w:rPr>
          <w:rFonts w:ascii="Book Antiqua" w:eastAsia="Aptos" w:hAnsi="Book Antiqua"/>
          <w:i/>
          <w:iCs/>
          <w:lang w:val="es-ES"/>
        </w:rPr>
        <w:t xml:space="preserve"> Pérez Ramírez</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w:t>
      </w:r>
      <w:r w:rsidR="00DC032E" w:rsidRPr="002754D5">
        <w:rPr>
          <w:rFonts w:ascii="Book Antiqua" w:eastAsia="Aptos" w:hAnsi="Book Antiqua"/>
          <w:lang w:val="es-ES"/>
        </w:rPr>
        <w:t>el representante</w:t>
      </w:r>
      <w:r w:rsidR="00DC032E">
        <w:rPr>
          <w:rFonts w:ascii="Book Antiqua" w:eastAsia="Aptos" w:hAnsi="Book Antiqua"/>
          <w:lang w:val="es-ES"/>
        </w:rPr>
        <w:t xml:space="preserve"> </w:t>
      </w:r>
      <w:r w:rsidR="00DC032E" w:rsidRPr="002754D5">
        <w:rPr>
          <w:rFonts w:ascii="Book Antiqua" w:eastAsia="Aptos" w:hAnsi="Book Antiqua"/>
          <w:i/>
          <w:iCs/>
          <w:lang w:val="es-ES"/>
        </w:rPr>
        <w:t>Carlo Acosta</w:t>
      </w:r>
      <w:r w:rsidR="00DC032E">
        <w:rPr>
          <w:rFonts w:ascii="Book Antiqua" w:eastAsia="Aptos" w:hAnsi="Book Antiqua"/>
          <w:lang w:val="es-ES"/>
        </w:rPr>
        <w:t xml:space="preserve">, </w:t>
      </w:r>
      <w:r w:rsidR="00DC032E" w:rsidRPr="002754D5">
        <w:rPr>
          <w:rFonts w:ascii="Book Antiqua" w:eastAsia="Aptos" w:hAnsi="Book Antiqua"/>
          <w:i/>
          <w:iCs/>
          <w:lang w:val="es-ES"/>
        </w:rPr>
        <w:t>Colón Rodríguez</w:t>
      </w:r>
      <w:r w:rsidR="00DC032E">
        <w:rPr>
          <w:rFonts w:ascii="Book Antiqua" w:eastAsia="Aptos" w:hAnsi="Book Antiqua"/>
          <w:lang w:val="es-ES"/>
        </w:rPr>
        <w:t xml:space="preserve">, </w:t>
      </w:r>
      <w:r w:rsidR="00DC032E" w:rsidRPr="002754D5">
        <w:rPr>
          <w:rFonts w:ascii="Book Antiqua" w:eastAsia="Aptos" w:hAnsi="Book Antiqua"/>
          <w:i/>
          <w:iCs/>
          <w:lang w:val="es-ES"/>
        </w:rPr>
        <w:t>Jiménez Torres</w:t>
      </w:r>
      <w:r w:rsidR="00DC032E">
        <w:rPr>
          <w:rFonts w:ascii="Book Antiqua" w:eastAsia="Aptos" w:hAnsi="Book Antiqua"/>
          <w:lang w:val="es-ES"/>
        </w:rPr>
        <w:t xml:space="preserve">, la representante </w:t>
      </w:r>
      <w:r w:rsidR="00DC032E" w:rsidRPr="002754D5">
        <w:rPr>
          <w:rFonts w:ascii="Book Antiqua" w:eastAsia="Aptos" w:hAnsi="Book Antiqua"/>
          <w:i/>
          <w:iCs/>
          <w:lang w:val="es-ES"/>
        </w:rPr>
        <w:t>Medina Calderon</w:t>
      </w:r>
      <w:r w:rsidR="00DC032E">
        <w:rPr>
          <w:rFonts w:ascii="Book Antiqua" w:eastAsia="Aptos" w:hAnsi="Book Antiqua"/>
          <w:lang w:val="es-ES"/>
        </w:rPr>
        <w:t xml:space="preserve">, </w:t>
      </w:r>
      <w:r w:rsidR="002754D5" w:rsidRPr="002754D5">
        <w:rPr>
          <w:rFonts w:ascii="Book Antiqua" w:eastAsia="Aptos" w:hAnsi="Book Antiqua"/>
          <w:i/>
          <w:iCs/>
          <w:lang w:val="es-ES"/>
        </w:rPr>
        <w:t>Del Valle Correa</w:t>
      </w:r>
      <w:r w:rsidR="002754D5">
        <w:rPr>
          <w:rFonts w:ascii="Book Antiqua" w:eastAsia="Aptos" w:hAnsi="Book Antiqua"/>
          <w:lang w:val="es-ES"/>
        </w:rPr>
        <w:t xml:space="preserve">, los representantes </w:t>
      </w:r>
      <w:r w:rsidR="002754D5" w:rsidRPr="002754D5">
        <w:rPr>
          <w:rFonts w:ascii="Book Antiqua" w:eastAsia="Aptos" w:hAnsi="Book Antiqua"/>
          <w:i/>
          <w:iCs/>
          <w:lang w:val="es-ES"/>
        </w:rPr>
        <w:t>López Román</w:t>
      </w:r>
      <w:r w:rsidR="002754D5">
        <w:rPr>
          <w:rFonts w:ascii="Book Antiqua" w:eastAsia="Aptos" w:hAnsi="Book Antiqua"/>
          <w:lang w:val="es-ES"/>
        </w:rPr>
        <w:t xml:space="preserve">, </w:t>
      </w:r>
      <w:r w:rsidR="002754D5" w:rsidRPr="002754D5">
        <w:rPr>
          <w:rFonts w:ascii="Book Antiqua" w:eastAsia="Aptos" w:hAnsi="Book Antiqua"/>
          <w:i/>
          <w:iCs/>
          <w:lang w:val="es-ES"/>
        </w:rPr>
        <w:t>Rodríguez Aguiló</w:t>
      </w:r>
      <w:r w:rsidR="002754D5">
        <w:rPr>
          <w:rFonts w:ascii="Book Antiqua" w:eastAsia="Aptos" w:hAnsi="Book Antiqua"/>
          <w:lang w:val="es-ES"/>
        </w:rPr>
        <w:t xml:space="preserve"> y </w:t>
      </w:r>
      <w:r w:rsidR="002754D5" w:rsidRPr="002754D5">
        <w:rPr>
          <w:rFonts w:ascii="Book Antiqua" w:eastAsia="Aptos" w:hAnsi="Book Antiqua"/>
          <w:i/>
          <w:iCs/>
          <w:lang w:val="es-ES"/>
        </w:rPr>
        <w:t>Pérez Ortiz</w:t>
      </w:r>
    </w:p>
    <w:p w14:paraId="5D219C61" w14:textId="77777777" w:rsidR="004A6874" w:rsidRDefault="004A6874" w:rsidP="004A6874">
      <w:pPr>
        <w:jc w:val="center"/>
        <w:rPr>
          <w:rFonts w:ascii="Book Antiqua" w:hAnsi="Book Antiqua"/>
          <w:i/>
          <w:szCs w:val="24"/>
          <w:lang w:val="es-ES"/>
        </w:rPr>
      </w:pPr>
    </w:p>
    <w:p w14:paraId="3BD86FEB" w14:textId="33681CD7" w:rsidR="007E34E9" w:rsidRPr="00783725" w:rsidRDefault="004A6874" w:rsidP="004A6874">
      <w:pPr>
        <w:jc w:val="center"/>
        <w:rPr>
          <w:rFonts w:ascii="Book Antiqua" w:hAnsi="Book Antiqua"/>
          <w:i/>
          <w:szCs w:val="24"/>
          <w:lang w:val="es-ES"/>
        </w:rPr>
      </w:pPr>
      <w:r>
        <w:rPr>
          <w:rFonts w:ascii="Book Antiqua" w:hAnsi="Book Antiqua"/>
          <w:iCs/>
          <w:szCs w:val="24"/>
          <w:lang w:val="es-ES"/>
        </w:rPr>
        <w:t xml:space="preserve">Referida a la Comisión </w:t>
      </w:r>
      <w:r w:rsidRPr="004A6874">
        <w:rPr>
          <w:rFonts w:ascii="Book Antiqua" w:hAnsi="Book Antiqua"/>
          <w:iCs/>
          <w:szCs w:val="24"/>
          <w:lang w:val="es-ES"/>
        </w:rPr>
        <w:t>de Asuntos Internos</w:t>
      </w:r>
    </w:p>
    <w:p w14:paraId="14805E62" w14:textId="77777777" w:rsidR="004A6874" w:rsidRDefault="004A6874" w:rsidP="004A6874">
      <w:pPr>
        <w:pStyle w:val="NormalWeb"/>
        <w:spacing w:before="0" w:beforeAutospacing="0" w:after="0" w:afterAutospacing="0"/>
        <w:jc w:val="center"/>
        <w:rPr>
          <w:rFonts w:ascii="Book Antiqua" w:hAnsi="Book Antiqua"/>
          <w:b/>
          <w:lang w:val="es-ES"/>
        </w:rPr>
      </w:pPr>
    </w:p>
    <w:p w14:paraId="794A6509" w14:textId="4808CBD4" w:rsidR="00E82F08" w:rsidRPr="004A6874" w:rsidRDefault="0028783F" w:rsidP="004A6874">
      <w:pPr>
        <w:pStyle w:val="NormalWeb"/>
        <w:spacing w:before="0" w:beforeAutospacing="0" w:after="0" w:afterAutospacing="0"/>
        <w:jc w:val="center"/>
        <w:rPr>
          <w:rFonts w:ascii="Book Antiqua" w:hAnsi="Book Antiqua"/>
          <w:b/>
          <w:sz w:val="28"/>
          <w:szCs w:val="28"/>
          <w:lang w:val="es-ES"/>
        </w:rPr>
      </w:pPr>
      <w:r w:rsidRPr="004A6874">
        <w:rPr>
          <w:rFonts w:ascii="Book Antiqua" w:hAnsi="Book Antiqua"/>
          <w:b/>
          <w:sz w:val="28"/>
          <w:szCs w:val="28"/>
          <w:lang w:val="es-ES"/>
        </w:rPr>
        <w:t>RESOLUCIÓN</w:t>
      </w:r>
    </w:p>
    <w:p w14:paraId="1A23FFD6" w14:textId="77777777" w:rsidR="004A6874" w:rsidRPr="00B37285" w:rsidRDefault="004A6874" w:rsidP="004A6874">
      <w:pPr>
        <w:pStyle w:val="NormalWeb"/>
        <w:spacing w:before="0" w:beforeAutospacing="0" w:after="0" w:afterAutospacing="0"/>
        <w:jc w:val="center"/>
        <w:rPr>
          <w:rFonts w:ascii="Book Antiqua" w:hAnsi="Book Antiqua"/>
          <w:lang w:val="es-PR"/>
        </w:rPr>
      </w:pPr>
    </w:p>
    <w:p w14:paraId="3A3739DD" w14:textId="2E1D41B4" w:rsidR="00D31713" w:rsidRPr="00B37285" w:rsidRDefault="00B37285" w:rsidP="004A6874">
      <w:pPr>
        <w:ind w:left="720" w:hanging="720"/>
        <w:jc w:val="both"/>
        <w:rPr>
          <w:rFonts w:ascii="Book Antiqua" w:hAnsi="Book Antiqua"/>
          <w:lang w:val="es-ES_tradnl"/>
        </w:rPr>
      </w:pPr>
      <w:r w:rsidRPr="004A6874">
        <w:rPr>
          <w:rFonts w:ascii="Book Antiqua" w:hAnsi="Book Antiqua"/>
          <w:lang w:val="es-ES_tradnl"/>
        </w:rPr>
        <w:t>P</w:t>
      </w:r>
      <w:r w:rsidR="004A6874" w:rsidRPr="004A6874">
        <w:rPr>
          <w:rFonts w:ascii="Book Antiqua" w:hAnsi="Book Antiqua"/>
          <w:lang w:val="es-ES_tradnl"/>
        </w:rPr>
        <w:t>ara</w:t>
      </w:r>
      <w:r w:rsidRPr="00B37285">
        <w:rPr>
          <w:rFonts w:ascii="Book Antiqua" w:hAnsi="Book Antiqua"/>
          <w:b/>
          <w:bCs/>
          <w:lang w:val="es-ES_tradnl"/>
        </w:rPr>
        <w:t xml:space="preserve"> </w:t>
      </w:r>
      <w:r w:rsidRPr="00B37285">
        <w:rPr>
          <w:rFonts w:ascii="Book Antiqua" w:hAnsi="Book Antiqua"/>
          <w:lang w:val="es-ES_tradnl"/>
        </w:rPr>
        <w:t xml:space="preserve">solicitar respetuosamente a la Honorable Laura Taylor Swain, que tome una decisión final y definitiva sobre el proceso de reestructuración de la deuda de la Autoridad de Energía Eléctrica de Puerto Rico (AEE), que no conceda extensiones adicionales al período de mediación y que culmine el proceso sin más dilaciones, en aras del bienestar económico y social del </w:t>
      </w:r>
      <w:r w:rsidR="00D31713">
        <w:rPr>
          <w:rFonts w:ascii="Book Antiqua" w:hAnsi="Book Antiqua"/>
          <w:lang w:val="es-ES_tradnl"/>
        </w:rPr>
        <w:t>P</w:t>
      </w:r>
      <w:r w:rsidRPr="00B37285">
        <w:rPr>
          <w:rFonts w:ascii="Book Antiqua" w:hAnsi="Book Antiqua"/>
          <w:lang w:val="es-ES_tradnl"/>
        </w:rPr>
        <w:t>ueblo de Puerto Rico.</w:t>
      </w:r>
    </w:p>
    <w:p w14:paraId="7047B1C5" w14:textId="77777777" w:rsidR="004A6874" w:rsidRDefault="004A6874" w:rsidP="004A6874">
      <w:pPr>
        <w:jc w:val="center"/>
        <w:rPr>
          <w:rFonts w:ascii="Book Antiqua" w:hAnsi="Book Antiqua"/>
          <w:b/>
          <w:szCs w:val="24"/>
          <w:lang w:val="es-ES"/>
        </w:rPr>
      </w:pPr>
    </w:p>
    <w:p w14:paraId="0FFC1E5F" w14:textId="284EC0D0" w:rsidR="00B54A82" w:rsidRPr="004A6874" w:rsidRDefault="00172E63" w:rsidP="004A6874">
      <w:pPr>
        <w:jc w:val="center"/>
        <w:rPr>
          <w:rFonts w:ascii="Book Antiqua" w:hAnsi="Book Antiqua"/>
          <w:bCs/>
          <w:szCs w:val="24"/>
          <w:lang w:val="es-ES"/>
        </w:rPr>
      </w:pPr>
      <w:r w:rsidRPr="004A6874">
        <w:rPr>
          <w:rFonts w:ascii="Book Antiqua" w:hAnsi="Book Antiqua"/>
          <w:bCs/>
          <w:szCs w:val="24"/>
          <w:lang w:val="es-ES"/>
        </w:rPr>
        <w:t>EXPOSICIÓN DE MOTIVOS</w:t>
      </w:r>
    </w:p>
    <w:p w14:paraId="2EFC3BA4" w14:textId="77777777" w:rsidR="004A6874" w:rsidRPr="00B37285" w:rsidRDefault="004A6874" w:rsidP="004A6874">
      <w:pPr>
        <w:jc w:val="center"/>
        <w:rPr>
          <w:rFonts w:ascii="Book Antiqua" w:hAnsi="Book Antiqua"/>
          <w:b/>
          <w:szCs w:val="24"/>
          <w:lang w:val="es-ES"/>
        </w:rPr>
      </w:pPr>
    </w:p>
    <w:p w14:paraId="3245C120" w14:textId="4E508CCC" w:rsidR="00B37285" w:rsidRDefault="00B37285" w:rsidP="004A6874">
      <w:pPr>
        <w:ind w:firstLine="720"/>
        <w:jc w:val="both"/>
        <w:rPr>
          <w:rFonts w:ascii="Book Antiqua" w:hAnsi="Book Antiqua"/>
          <w:lang w:val="es-ES_tradnl"/>
        </w:rPr>
      </w:pPr>
      <w:r w:rsidRPr="00B37285">
        <w:rPr>
          <w:rFonts w:ascii="Book Antiqua" w:hAnsi="Book Antiqua"/>
          <w:lang w:val="es-ES_tradnl"/>
        </w:rPr>
        <w:t>La Autoridad de Energía Eléctrica de Puerto Rico (en adelante, "AEE") es la corporación pública encargada de la generación, transmisión y distribución de energía eléctrica en Puerto Rico. Por décadas, la AEE acumuló una deuda de aproximadamente nueve mil millones de dólares ($9,000,000,000)</w:t>
      </w:r>
      <w:r w:rsidR="008A40DC">
        <w:rPr>
          <w:rFonts w:ascii="Book Antiqua" w:hAnsi="Book Antiqua"/>
          <w:lang w:val="es-ES_tradnl"/>
        </w:rPr>
        <w:t xml:space="preserve"> en principal</w:t>
      </w:r>
      <w:r w:rsidRPr="00B37285">
        <w:rPr>
          <w:rFonts w:ascii="Book Antiqua" w:hAnsi="Book Antiqua"/>
          <w:lang w:val="es-ES_tradnl"/>
        </w:rPr>
        <w:t>, producto de malas prácticas administrativas, subsidios políticos, corrupción, y la incapacidad de modernizar su infraestructura energética. Esta deuda convirtió a la AEE en uno de los principales impedimentos para el desarrollo económico de la Isla y en una carga insostenible para sus abonados y contribuyentes.</w:t>
      </w:r>
    </w:p>
    <w:p w14:paraId="69B43664" w14:textId="77777777" w:rsidR="004A6874" w:rsidRPr="00B37285" w:rsidRDefault="004A6874" w:rsidP="004A6874">
      <w:pPr>
        <w:ind w:firstLine="720"/>
        <w:jc w:val="both"/>
        <w:rPr>
          <w:rFonts w:ascii="Book Antiqua" w:hAnsi="Book Antiqua"/>
          <w:lang w:val="es-ES_tradnl"/>
        </w:rPr>
      </w:pPr>
    </w:p>
    <w:p w14:paraId="390EAA43"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lastRenderedPageBreak/>
        <w:t>El 2 de julio de 2017, la Junta de Supervisión y Administración Financiera para Puerto Rico (en adelante, "la Junta") presentó, en representación de la AEE, una petición de ajuste de deudas al amparo del Título III de la Ley de Supervisión, Administración y Estabilidad Económica de Puerto Rico (PROMESA, Ley Pública 114-187). Dicho caso fue asignado a la Honorable Laura Taylor Swain.  Desde esa fecha hasta el presente, han transcurrido casi nueve (9) años sin que el proceso haya concluido con una resolución definitiva que permita a la AEE reorganizarse, modernizarse y ofrecer servicio confiable y asequible al pueblo de Puerto Rico.</w:t>
      </w:r>
    </w:p>
    <w:p w14:paraId="7CB375A8" w14:textId="77777777" w:rsidR="004A6874" w:rsidRPr="00B37285" w:rsidRDefault="004A6874" w:rsidP="004A6874">
      <w:pPr>
        <w:ind w:firstLine="720"/>
        <w:jc w:val="both"/>
        <w:rPr>
          <w:rFonts w:ascii="Book Antiqua" w:hAnsi="Book Antiqua"/>
          <w:lang w:val="es-ES_tradnl"/>
        </w:rPr>
      </w:pPr>
    </w:p>
    <w:p w14:paraId="4EEE7C9F" w14:textId="5F0E7B5B"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Durante este tiempo, el proceso de reestructuración se ha caracterizado por una sucesión interminable de mediaciones, acuerdos frustrados, extensiones de plazos, disputas entre acreedores y la ausencia de liderazgo decisivo. A </w:t>
      </w:r>
      <w:proofErr w:type="gramStart"/>
      <w:r w:rsidRPr="00B37285">
        <w:rPr>
          <w:rFonts w:ascii="Book Antiqua" w:hAnsi="Book Antiqua"/>
          <w:lang w:val="es-ES_tradnl"/>
        </w:rPr>
        <w:t>continuación</w:t>
      </w:r>
      <w:proofErr w:type="gramEnd"/>
      <w:r w:rsidRPr="00B37285">
        <w:rPr>
          <w:rFonts w:ascii="Book Antiqua" w:hAnsi="Book Antiqua"/>
          <w:lang w:val="es-ES_tradnl"/>
        </w:rPr>
        <w:t xml:space="preserve"> se presenta un resumen cronológico de los principales eventos que ilustran la magnitud de esta dilación.</w:t>
      </w:r>
      <w:r>
        <w:rPr>
          <w:rFonts w:ascii="Book Antiqua" w:hAnsi="Book Antiqua"/>
          <w:lang w:val="es-ES_tradnl"/>
        </w:rPr>
        <w:t xml:space="preserve">  </w:t>
      </w:r>
      <w:r w:rsidRPr="00B37285">
        <w:rPr>
          <w:rFonts w:ascii="Book Antiqua" w:hAnsi="Book Antiqua"/>
          <w:lang w:val="es-ES_tradnl"/>
        </w:rPr>
        <w:t xml:space="preserve">Al momento de la presentación del caso, la AEE contaba con una deuda en bonos de aproximadamente ocho mil novecientos millones de dólares ($8,900,000,000), además de obligaciones con prestamistas de líneas de combustible, acreedores comerciales y otros acreedores no garantizados. </w:t>
      </w:r>
    </w:p>
    <w:p w14:paraId="553496BF" w14:textId="77777777" w:rsidR="004A6874" w:rsidRPr="00B37285" w:rsidRDefault="004A6874" w:rsidP="004A6874">
      <w:pPr>
        <w:ind w:firstLine="720"/>
        <w:jc w:val="both"/>
        <w:rPr>
          <w:rFonts w:ascii="Book Antiqua" w:hAnsi="Book Antiqua"/>
          <w:lang w:val="es-ES_tradnl"/>
        </w:rPr>
      </w:pPr>
    </w:p>
    <w:p w14:paraId="2E2FCE6F"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Las partes sostuvieron múltiples rondas de negociación durante los años 2017 y 2018 sin lograr un acuerdo sustantivo. La situación fue agravada dramáticamente por el Huracán María, que azotó a Puerto Rico el 20 de septiembre de 2017, causando daños catastróficos a la infraestructura eléctrica de la Isla, que tardó casi un año en ser parcialmente restaurada. El huracán no solo empeoró la ya deteriorada condición financiera de la AEE, sino que también generó litigios adicionales, reclamaciones de seguros y una mayor complejidad en las negociaciones.</w:t>
      </w:r>
    </w:p>
    <w:p w14:paraId="48D02ACB" w14:textId="77777777" w:rsidR="004A6874" w:rsidRPr="00B37285" w:rsidRDefault="004A6874" w:rsidP="004A6874">
      <w:pPr>
        <w:ind w:firstLine="720"/>
        <w:jc w:val="both"/>
        <w:rPr>
          <w:rFonts w:ascii="Book Antiqua" w:hAnsi="Book Antiqua"/>
          <w:lang w:val="es-ES_tradnl"/>
        </w:rPr>
      </w:pPr>
    </w:p>
    <w:p w14:paraId="7B0F4DAA" w14:textId="751B92D6"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La pandemia del COVID-19, que llegó a Puerto Rico en marzo de 2020, trajo consigo una contracción económica severa que redujo el consumo de energía y los ingresos de la AEE, complicando aún más sus proyecciones financieras.  En paralelo, el </w:t>
      </w:r>
      <w:r w:rsidR="002B2170">
        <w:rPr>
          <w:rFonts w:ascii="Book Antiqua" w:hAnsi="Book Antiqua"/>
          <w:lang w:val="es-ES_tradnl"/>
        </w:rPr>
        <w:t>G</w:t>
      </w:r>
      <w:r w:rsidRPr="00B37285">
        <w:rPr>
          <w:rFonts w:ascii="Book Antiqua" w:hAnsi="Book Antiqua"/>
          <w:lang w:val="es-ES_tradnl"/>
        </w:rPr>
        <w:t xml:space="preserve">obierno de Puerto Rico adjudicó a LUMA Energy el contrato para operar, mantener y modernizar el sistema de transmisión y distribución de energía eléctrica, lo cual generó una controversia política y jurídica adicional que distrajo la atención del proceso de reestructuración. </w:t>
      </w:r>
    </w:p>
    <w:p w14:paraId="1752AE3E" w14:textId="77777777" w:rsidR="004A6874" w:rsidRPr="00B37285" w:rsidRDefault="004A6874" w:rsidP="004A6874">
      <w:pPr>
        <w:ind w:firstLine="720"/>
        <w:jc w:val="both"/>
        <w:rPr>
          <w:rFonts w:ascii="Book Antiqua" w:hAnsi="Book Antiqua"/>
          <w:lang w:val="es-ES_tradnl"/>
        </w:rPr>
      </w:pPr>
    </w:p>
    <w:p w14:paraId="15236EB1" w14:textId="18C1727A"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La Junta presentó un nuevo Plan de Ajuste de Deudas para la AEE que contemplaba descuentos significativos para los tenedores de bonos. Los acreedores rechazaron las propuestas de la Junta, alegando que los descuentos propuestos eran excesivos y que el plan </w:t>
      </w:r>
      <w:r w:rsidR="0081402B">
        <w:rPr>
          <w:rFonts w:ascii="Book Antiqua" w:hAnsi="Book Antiqua"/>
          <w:lang w:val="es-ES_tradnl"/>
        </w:rPr>
        <w:t>no se podía ratificar</w:t>
      </w:r>
      <w:r w:rsidRPr="00B37285">
        <w:rPr>
          <w:rFonts w:ascii="Book Antiqua" w:hAnsi="Book Antiqua"/>
          <w:lang w:val="es-ES_tradnl"/>
        </w:rPr>
        <w:t xml:space="preserve"> bajo la ley aplicable. El Tribunal ordenó nuevas rondas de mediación y designó a un mediador para facilitar las negociaciones.  Durante el año 2022, el mediador designado por el Tribunal sostuvo numerosas sesiones con las partes, pero los acreedores, la Junta y la AEE no pudieron llegar a un acuerdo sobre los términos del Plan de Ajuste. Los plazos para completar la mediación fueron extendidos en múltiples ocasiones por la Juez Swain, siempre con la expectativa de que </w:t>
      </w:r>
      <w:r w:rsidRPr="00B37285">
        <w:rPr>
          <w:rFonts w:ascii="Book Antiqua" w:hAnsi="Book Antiqua"/>
          <w:lang w:val="es-ES_tradnl"/>
        </w:rPr>
        <w:lastRenderedPageBreak/>
        <w:t>las negociaciones en curso producirían eventualmente un consenso. El año concluyó sin un plan acordado ni un proceso de confirmación en curso.</w:t>
      </w:r>
    </w:p>
    <w:p w14:paraId="272EB579" w14:textId="77777777" w:rsidR="004A6874" w:rsidRPr="00B37285" w:rsidRDefault="004A6874" w:rsidP="004A6874">
      <w:pPr>
        <w:ind w:firstLine="720"/>
        <w:jc w:val="both"/>
        <w:rPr>
          <w:rFonts w:ascii="Book Antiqua" w:hAnsi="Book Antiqua"/>
          <w:lang w:val="es-ES_tradnl"/>
        </w:rPr>
      </w:pPr>
    </w:p>
    <w:p w14:paraId="0B5A4090"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En 2023, la Junta presentó una Declaración de Divulgación (</w:t>
      </w:r>
      <w:proofErr w:type="spellStart"/>
      <w:r w:rsidRPr="00B37285">
        <w:rPr>
          <w:rFonts w:ascii="Book Antiqua" w:hAnsi="Book Antiqua"/>
          <w:lang w:val="es-ES_tradnl"/>
        </w:rPr>
        <w:t>Disclosure</w:t>
      </w:r>
      <w:proofErr w:type="spellEnd"/>
      <w:r w:rsidRPr="00B37285">
        <w:rPr>
          <w:rFonts w:ascii="Book Antiqua" w:hAnsi="Book Antiqua"/>
          <w:lang w:val="es-ES_tradnl"/>
        </w:rPr>
        <w:t xml:space="preserve"> </w:t>
      </w:r>
      <w:proofErr w:type="spellStart"/>
      <w:r w:rsidRPr="00B37285">
        <w:rPr>
          <w:rFonts w:ascii="Book Antiqua" w:hAnsi="Book Antiqua"/>
          <w:lang w:val="es-ES_tradnl"/>
        </w:rPr>
        <w:t>Statement</w:t>
      </w:r>
      <w:proofErr w:type="spellEnd"/>
      <w:r w:rsidRPr="00B37285">
        <w:rPr>
          <w:rFonts w:ascii="Book Antiqua" w:hAnsi="Book Antiqua"/>
          <w:lang w:val="es-ES_tradnl"/>
        </w:rPr>
        <w:t>) y un Plan de Ajuste revisado para la AEE, intentando avanzar el caso hacia la etapa de confirmación. Se programaron vistas ante el Tribunal para atender el plan, pero estas fueron repetidamente pospuestas debido a disputas persistentes entre las partes sobre los términos, el monto de los descuentos para los tenedores de bonos, las reclamaciones de acreedores comerciales y la estructura final del plan.</w:t>
      </w:r>
    </w:p>
    <w:p w14:paraId="13871ED2" w14:textId="77777777" w:rsidR="004A6874" w:rsidRPr="00B37285" w:rsidRDefault="004A6874" w:rsidP="004A6874">
      <w:pPr>
        <w:ind w:firstLine="720"/>
        <w:jc w:val="both"/>
        <w:rPr>
          <w:rFonts w:ascii="Book Antiqua" w:hAnsi="Book Antiqua"/>
          <w:lang w:val="es-ES_tradnl"/>
        </w:rPr>
      </w:pPr>
    </w:p>
    <w:p w14:paraId="206B9A00"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La Juez Swain continuó concediendo extensiones al período de mediación a solicitud de las partes, con fundamento en que las negociaciones activas ofrecían perspectivas de acuerdo. Sin embargo, estas perspectivas nunca se materializaron. Cada extensión concedida fue seguida por un nuevo impasse, nuevas solicitudes de extensión y un nuevo ciclo de aplazamientos. El año 2023 concluyó sin un plan de ajuste confirmado.</w:t>
      </w:r>
    </w:p>
    <w:p w14:paraId="783510B6" w14:textId="77777777" w:rsidR="004A6874" w:rsidRPr="00B37285" w:rsidRDefault="004A6874" w:rsidP="004A6874">
      <w:pPr>
        <w:ind w:firstLine="720"/>
        <w:jc w:val="both"/>
        <w:rPr>
          <w:rFonts w:ascii="Book Antiqua" w:hAnsi="Book Antiqua"/>
          <w:lang w:val="es-ES_tradnl"/>
        </w:rPr>
      </w:pPr>
    </w:p>
    <w:p w14:paraId="5AFFA2A1" w14:textId="77B5AB00" w:rsidR="00B37285" w:rsidRDefault="00B37285" w:rsidP="004A6874">
      <w:pPr>
        <w:ind w:firstLine="720"/>
        <w:jc w:val="both"/>
        <w:rPr>
          <w:rFonts w:ascii="Book Antiqua" w:hAnsi="Book Antiqua"/>
          <w:lang w:val="es-ES_tradnl"/>
        </w:rPr>
      </w:pPr>
      <w:r w:rsidRPr="00B37285">
        <w:rPr>
          <w:rFonts w:ascii="Book Antiqua" w:hAnsi="Book Antiqua"/>
          <w:lang w:val="es-ES_tradnl"/>
        </w:rPr>
        <w:t>Durante los años 2024 y 2025, el patrón de extensiones, aplazamientos y negociaciones infructuosas continuó de forma i</w:t>
      </w:r>
      <w:r w:rsidR="0081402B">
        <w:rPr>
          <w:rFonts w:ascii="Book Antiqua" w:hAnsi="Book Antiqua"/>
          <w:lang w:val="es-ES_tradnl"/>
        </w:rPr>
        <w:t>rremediable</w:t>
      </w:r>
      <w:r w:rsidRPr="00B37285">
        <w:rPr>
          <w:rFonts w:ascii="Book Antiqua" w:hAnsi="Book Antiqua"/>
          <w:lang w:val="es-ES_tradnl"/>
        </w:rPr>
        <w:t>. Las partes y el mediador sostuvieron múltiples rondas adicionales de negociación sin alcanzar un consenso definitivo. El Tribunal programó y reprogramó vistas de confirmación en varias ocasiones, solo para que fueran pospuestas de nuevo ante la ausencia de un acuerdo entre las partes. Mientras tanto, la empresa Genera PR inició operaciones para gestionar la generación de energía, añadiendo nuevas complejidades al marco operacional y financiero de la AEE.</w:t>
      </w:r>
    </w:p>
    <w:p w14:paraId="72756F80" w14:textId="77777777" w:rsidR="004A6874" w:rsidRPr="00B37285" w:rsidRDefault="004A6874" w:rsidP="004A6874">
      <w:pPr>
        <w:ind w:firstLine="720"/>
        <w:jc w:val="both"/>
        <w:rPr>
          <w:rFonts w:ascii="Book Antiqua" w:hAnsi="Book Antiqua"/>
          <w:lang w:val="es-ES_tradnl"/>
        </w:rPr>
      </w:pPr>
    </w:p>
    <w:p w14:paraId="1C0ECFE9"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Los honorarios legales y de asesoría financiera acumulados en el caso durante estos años han ascendido a cientos de millones de dólares, recursos que provienen directamente de las arcas públicas y que podrían haberse destinado a mejorar la infraestructura energética, reducir las tarifas eléctricas o atender otras necesidades apremiantes del pueblo de Puerto Rico. Mientras los abogados y consultores continúan facturando, los abonados siguen pagando algunas de las tarifas eléctricas más elevadas de la nación y manteniendo un sistema energético deteriorado.</w:t>
      </w:r>
    </w:p>
    <w:p w14:paraId="21F4B4F9" w14:textId="77777777" w:rsidR="004A6874" w:rsidRPr="00B37285" w:rsidRDefault="004A6874" w:rsidP="004A6874">
      <w:pPr>
        <w:ind w:firstLine="720"/>
        <w:jc w:val="both"/>
        <w:rPr>
          <w:rFonts w:ascii="Book Antiqua" w:hAnsi="Book Antiqua"/>
          <w:lang w:val="es-ES_tradnl"/>
        </w:rPr>
      </w:pPr>
    </w:p>
    <w:p w14:paraId="7F4AD3D0"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La prolongación indefinida del proceso de reestructuración de la deuda de la AEE ha tenido consecuencias devastadoras para Puerto Rico que van mucho más allá del ámbito estrictamente financiero.</w:t>
      </w:r>
    </w:p>
    <w:p w14:paraId="0A510548" w14:textId="77777777" w:rsidR="004A6874" w:rsidRPr="00B37285" w:rsidRDefault="004A6874" w:rsidP="004A6874">
      <w:pPr>
        <w:ind w:firstLine="720"/>
        <w:jc w:val="both"/>
        <w:rPr>
          <w:rFonts w:ascii="Book Antiqua" w:hAnsi="Book Antiqua"/>
          <w:lang w:val="es-ES_tradnl"/>
        </w:rPr>
      </w:pPr>
    </w:p>
    <w:p w14:paraId="74ACDF46"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En primer lugar, los residentes y empresas de Puerto Rico continúan pagando las tarifas eléctricas más altas de los Estados Unidos, con tasas que duplican o triplican el promedio nacional. Esta situación impone una carga directa sobre el presupuesto de las familias puertorriqueñas, en particular las de escasos recursos, y reduce dramáticamente la competitividad de las empresas locales frente a competidores de otras jurisdicciones.</w:t>
      </w:r>
    </w:p>
    <w:p w14:paraId="1474AD8D" w14:textId="77777777" w:rsidR="004A6874" w:rsidRPr="00B37285" w:rsidRDefault="004A6874" w:rsidP="004A6874">
      <w:pPr>
        <w:ind w:firstLine="720"/>
        <w:jc w:val="both"/>
        <w:rPr>
          <w:rFonts w:ascii="Book Antiqua" w:hAnsi="Book Antiqua"/>
          <w:lang w:val="es-ES_tradnl"/>
        </w:rPr>
      </w:pPr>
    </w:p>
    <w:p w14:paraId="26FE856E" w14:textId="479AFBFA"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En segundo lugar, la incertidumbre generada por la prolongación del proceso de reestructuración </w:t>
      </w:r>
      <w:r w:rsidR="0081402B">
        <w:rPr>
          <w:rFonts w:ascii="Book Antiqua" w:hAnsi="Book Antiqua"/>
          <w:lang w:val="es-ES_tradnl"/>
        </w:rPr>
        <w:t xml:space="preserve">ha </w:t>
      </w:r>
      <w:r w:rsidR="0081402B" w:rsidRPr="00D31713">
        <w:rPr>
          <w:rFonts w:ascii="Book Antiqua" w:hAnsi="Book Antiqua"/>
          <w:lang w:val="es-ES"/>
        </w:rPr>
        <w:t>desincentivado</w:t>
      </w:r>
      <w:r w:rsidR="0081402B" w:rsidRPr="00DC0C7D">
        <w:rPr>
          <w:rFonts w:ascii="Book Antiqua" w:hAnsi="Book Antiqua"/>
          <w:lang w:val="es-ES"/>
        </w:rPr>
        <w:t xml:space="preserve"> </w:t>
      </w:r>
      <w:r w:rsidRPr="00B37285">
        <w:rPr>
          <w:rFonts w:ascii="Book Antiqua" w:hAnsi="Book Antiqua"/>
          <w:lang w:val="es-ES_tradnl"/>
        </w:rPr>
        <w:t>la inversión en el sector energético y en la economía de Puerto Rico en general. Los potenciales inversionistas encuentran difícil comprometerse con proyectos de largo plazo cuando el marco financiero y regulatorio del sistema eléctrico sigue siendo incierto. Esto ha retrasado la transición hacia la modernización de la red eléctrica y el cumplimiento de las metas de energía limpia establecidas en la ley.</w:t>
      </w:r>
    </w:p>
    <w:p w14:paraId="4E6D0F72" w14:textId="77777777" w:rsidR="004A6874" w:rsidRPr="00B37285" w:rsidRDefault="004A6874" w:rsidP="004A6874">
      <w:pPr>
        <w:ind w:firstLine="720"/>
        <w:jc w:val="both"/>
        <w:rPr>
          <w:rFonts w:ascii="Book Antiqua" w:hAnsi="Book Antiqua"/>
          <w:lang w:val="es-ES_tradnl"/>
        </w:rPr>
      </w:pPr>
    </w:p>
    <w:p w14:paraId="0D519053"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En tercer lugar, los cientos de millones de dólares gastados en honorarios de abogados, consultores financieros, asesores de reestructuración y otros profesionales representan recursos que han sido sustraídos del sistema energético y del pueblo de Puerto Rico sin producir beneficio alguno. Cada mes que pasa sin una resolución definitiva añade nuevos costos profesionales al proceso, en un ciclo donde los únicos beneficiarios son los profesionales que facturan por hora.</w:t>
      </w:r>
    </w:p>
    <w:p w14:paraId="470FBF4F" w14:textId="77777777" w:rsidR="004A6874" w:rsidRPr="00B37285" w:rsidRDefault="004A6874" w:rsidP="004A6874">
      <w:pPr>
        <w:ind w:firstLine="720"/>
        <w:jc w:val="both"/>
        <w:rPr>
          <w:rFonts w:ascii="Book Antiqua" w:hAnsi="Book Antiqua"/>
          <w:lang w:val="es-ES_tradnl"/>
        </w:rPr>
      </w:pPr>
    </w:p>
    <w:p w14:paraId="0D1A7EF2"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En cuarto lugar, la falta de una resolución definitiva perpetúa la incertidumbre crediticia de Puerto Rico, dificultando el acceso del gobierno a los mercados de capital en condiciones favorables y obstaculizando la recuperación económica de la Isla. El caso de la AEE es uno de los últimos grandes asuntos pendientes en el proceso general de reestructuración de la deuda de Puerto Rico bajo PROMESA, y su resolución es indispensable para cerrar ese capítulo y proyectar estabilidad fiscal.</w:t>
      </w:r>
    </w:p>
    <w:p w14:paraId="1F8B9537" w14:textId="77777777" w:rsidR="004A6874" w:rsidRPr="00B37285" w:rsidRDefault="004A6874" w:rsidP="004A6874">
      <w:pPr>
        <w:ind w:firstLine="720"/>
        <w:jc w:val="both"/>
        <w:rPr>
          <w:rFonts w:ascii="Book Antiqua" w:hAnsi="Book Antiqua"/>
          <w:lang w:val="es-ES_tradnl"/>
        </w:rPr>
      </w:pPr>
    </w:p>
    <w:p w14:paraId="4C84C5A2" w14:textId="2F7E0ED2" w:rsidR="00B37285" w:rsidRDefault="00B37285" w:rsidP="004A6874">
      <w:pPr>
        <w:ind w:firstLine="720"/>
        <w:jc w:val="both"/>
        <w:rPr>
          <w:rFonts w:ascii="Book Antiqua" w:hAnsi="Book Antiqua"/>
          <w:lang w:val="es-ES_tradnl"/>
        </w:rPr>
      </w:pPr>
      <w:r w:rsidRPr="00B37285">
        <w:rPr>
          <w:rFonts w:ascii="Book Antiqua" w:hAnsi="Book Antiqua"/>
          <w:lang w:val="es-ES_tradnl"/>
        </w:rPr>
        <w:t>Por todo lo expuesto, la Cámara de Representantes</w:t>
      </w:r>
      <w:r w:rsidR="002B2170">
        <w:rPr>
          <w:rFonts w:ascii="Book Antiqua" w:hAnsi="Book Antiqua"/>
          <w:lang w:val="es-ES_tradnl"/>
        </w:rPr>
        <w:t xml:space="preserve"> </w:t>
      </w:r>
      <w:r w:rsidRPr="00B37285">
        <w:rPr>
          <w:rFonts w:ascii="Book Antiqua" w:hAnsi="Book Antiqua"/>
          <w:lang w:val="es-ES_tradnl"/>
        </w:rPr>
        <w:t>de Puerto Rico entiende firmemente que ha llegado el momento de que la Honorable Laura Taylor Swain, en el pleno ejercicio de su autoridad judicial, ponga fin a este proceso interminable, rechace cualquier solicitud adicional de extensión de la mediación y proceda a dictar una decisión definitiva sobre el Plan de Ajuste de Deudas de la AEE. El pueblo de Puerto Rico ha esperado suficiente, y no puede continuar manteniendo los costos económicos, sociales y emocionales de una reestructuración que lleva casi una década sin concluir.</w:t>
      </w:r>
    </w:p>
    <w:p w14:paraId="6391A4A2" w14:textId="77777777" w:rsidR="004A6874" w:rsidRPr="00B37285" w:rsidRDefault="004A6874" w:rsidP="004A6874">
      <w:pPr>
        <w:ind w:firstLine="720"/>
        <w:jc w:val="both"/>
        <w:rPr>
          <w:rFonts w:ascii="Book Antiqua" w:hAnsi="Book Antiqua"/>
          <w:lang w:val="es-ES_tradnl"/>
        </w:rPr>
      </w:pPr>
    </w:p>
    <w:p w14:paraId="3205E4FB" w14:textId="47E34559" w:rsidR="00172E63" w:rsidRPr="004A6874" w:rsidRDefault="00610E86" w:rsidP="004A68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bCs/>
          <w:i/>
          <w:iCs/>
          <w:szCs w:val="24"/>
          <w:lang w:val="es-ES"/>
        </w:rPr>
      </w:pPr>
      <w:r w:rsidRPr="004A6874">
        <w:rPr>
          <w:rFonts w:ascii="Book Antiqua" w:hAnsi="Book Antiqua"/>
          <w:bCs/>
          <w:i/>
          <w:iCs/>
          <w:szCs w:val="24"/>
          <w:lang w:val="es-ES"/>
        </w:rPr>
        <w:t>RESUÉLVESE</w:t>
      </w:r>
      <w:r w:rsidR="009C0CCE" w:rsidRPr="004A6874">
        <w:rPr>
          <w:rFonts w:ascii="Book Antiqua" w:hAnsi="Book Antiqua"/>
          <w:bCs/>
          <w:i/>
          <w:iCs/>
          <w:szCs w:val="24"/>
          <w:lang w:val="es-ES"/>
        </w:rPr>
        <w:t xml:space="preserve"> POR </w:t>
      </w:r>
      <w:r w:rsidR="00B37285" w:rsidRPr="004A6874">
        <w:rPr>
          <w:rFonts w:ascii="Book Antiqua" w:hAnsi="Book Antiqua"/>
          <w:bCs/>
          <w:i/>
          <w:iCs/>
          <w:szCs w:val="24"/>
          <w:lang w:val="es-ES"/>
        </w:rPr>
        <w:t>LA CAMARA DE REPRESENTANTES</w:t>
      </w:r>
      <w:r w:rsidR="000E015F" w:rsidRPr="004A6874">
        <w:rPr>
          <w:rFonts w:ascii="Book Antiqua" w:hAnsi="Book Antiqua"/>
          <w:bCs/>
          <w:i/>
          <w:iCs/>
          <w:szCs w:val="24"/>
          <w:lang w:val="es-ES"/>
        </w:rPr>
        <w:t xml:space="preserve"> </w:t>
      </w:r>
      <w:r w:rsidR="00172E63" w:rsidRPr="004A6874">
        <w:rPr>
          <w:rFonts w:ascii="Book Antiqua" w:hAnsi="Book Antiqua"/>
          <w:bCs/>
          <w:i/>
          <w:iCs/>
          <w:szCs w:val="24"/>
          <w:lang w:val="es-ES"/>
        </w:rPr>
        <w:t>DE PUERTO RICO:</w:t>
      </w:r>
    </w:p>
    <w:p w14:paraId="6CEB89B3" w14:textId="77777777" w:rsidR="00172E63" w:rsidRDefault="00172E63" w:rsidP="004A6874">
      <w:pPr>
        <w:jc w:val="both"/>
        <w:rPr>
          <w:rFonts w:ascii="Book Antiqua" w:hAnsi="Book Antiqua"/>
          <w:szCs w:val="24"/>
          <w:lang w:val="es-ES"/>
        </w:rPr>
      </w:pPr>
    </w:p>
    <w:p w14:paraId="272E3C0A" w14:textId="77777777" w:rsidR="004A6874" w:rsidRPr="00B37285" w:rsidRDefault="004A6874" w:rsidP="004A6874">
      <w:pPr>
        <w:jc w:val="both"/>
        <w:rPr>
          <w:rFonts w:ascii="Book Antiqua" w:hAnsi="Book Antiqua"/>
          <w:szCs w:val="24"/>
          <w:lang w:val="es-ES"/>
        </w:rPr>
        <w:sectPr w:rsidR="004A6874" w:rsidRPr="00B37285" w:rsidSect="00465E72">
          <w:headerReference w:type="default" r:id="rId11"/>
          <w:type w:val="continuous"/>
          <w:pgSz w:w="12240" w:h="15840" w:code="1"/>
          <w:pgMar w:top="1440" w:right="1440" w:bottom="1440" w:left="1440" w:header="720" w:footer="720" w:gutter="0"/>
          <w:cols w:space="720"/>
          <w:titlePg/>
        </w:sectPr>
      </w:pPr>
    </w:p>
    <w:p w14:paraId="3FC5E146" w14:textId="0275F59A" w:rsidR="00D31713" w:rsidRDefault="00B37285" w:rsidP="004A6874">
      <w:pPr>
        <w:spacing w:line="480" w:lineRule="auto"/>
        <w:jc w:val="both"/>
        <w:rPr>
          <w:rFonts w:ascii="Book Antiqua" w:hAnsi="Book Antiqua"/>
          <w:b/>
          <w:bCs/>
          <w:lang w:val="es-ES_tradnl"/>
        </w:rPr>
      </w:pPr>
      <w:r w:rsidRPr="00D31713">
        <w:rPr>
          <w:rFonts w:ascii="Book Antiqua" w:hAnsi="Book Antiqua"/>
          <w:lang w:val="es-ES_tradnl"/>
        </w:rPr>
        <w:t>Sección 1.</w:t>
      </w:r>
      <w:r w:rsidRPr="00B37285">
        <w:rPr>
          <w:rFonts w:ascii="Book Antiqua" w:hAnsi="Book Antiqua"/>
          <w:b/>
          <w:bCs/>
          <w:lang w:val="es-ES_tradnl"/>
        </w:rPr>
        <w:t xml:space="preserve"> </w:t>
      </w:r>
      <w:r w:rsidR="00D31713" w:rsidRPr="00D31713">
        <w:rPr>
          <w:rFonts w:ascii="Book Antiqua" w:hAnsi="Book Antiqua"/>
          <w:lang w:val="es-ES_tradnl"/>
        </w:rPr>
        <w:t>-</w:t>
      </w:r>
      <w:r w:rsidR="00D31713">
        <w:rPr>
          <w:rFonts w:ascii="Book Antiqua" w:hAnsi="Book Antiqua"/>
          <w:b/>
          <w:bCs/>
          <w:lang w:val="es-ES_tradnl"/>
        </w:rPr>
        <w:t xml:space="preserve"> </w:t>
      </w:r>
      <w:r w:rsidR="00D31713" w:rsidRPr="00D31713">
        <w:rPr>
          <w:rFonts w:ascii="Book Antiqua" w:hAnsi="Book Antiqua"/>
          <w:lang w:val="es-ES_tradnl"/>
        </w:rPr>
        <w:t>Este Cuerpo Legislativo efectúa la siguiente expresión:</w:t>
      </w:r>
      <w:r w:rsidR="00D31713">
        <w:rPr>
          <w:rFonts w:ascii="Book Antiqua" w:hAnsi="Book Antiqua"/>
          <w:b/>
          <w:bCs/>
          <w:lang w:val="es-ES_tradnl"/>
        </w:rPr>
        <w:t xml:space="preserve"> </w:t>
      </w:r>
    </w:p>
    <w:p w14:paraId="222D0037" w14:textId="68874404" w:rsidR="00B37285" w:rsidRDefault="00B37285" w:rsidP="004A6874">
      <w:pPr>
        <w:spacing w:line="480" w:lineRule="auto"/>
        <w:jc w:val="both"/>
        <w:rPr>
          <w:rFonts w:ascii="Book Antiqua" w:hAnsi="Book Antiqua"/>
          <w:lang w:val="es-ES_tradnl"/>
        </w:rPr>
      </w:pPr>
      <w:r w:rsidRPr="00B37285">
        <w:rPr>
          <w:rFonts w:ascii="Book Antiqua" w:hAnsi="Book Antiqua"/>
          <w:lang w:val="es-ES_tradnl"/>
        </w:rPr>
        <w:t xml:space="preserve">La Cámara de Representantes de Puerto Rico expresa su más profunda preocupación y consternación ante la prolongación indebida e injustificada del proceso de reestructuración de la deuda de la Autoridad de Energía Eléctrica de Puerto Rico bajo </w:t>
      </w:r>
      <w:r w:rsidRPr="00B37285">
        <w:rPr>
          <w:rFonts w:ascii="Book Antiqua" w:hAnsi="Book Antiqua"/>
          <w:lang w:val="es-ES_tradnl"/>
        </w:rPr>
        <w:lastRenderedPageBreak/>
        <w:t xml:space="preserve">el Título III de PROMESA, el cual lleva casi nueve (9) años ante los tribunales federales sin una resolución definitiva, con graves consecuencias para el </w:t>
      </w:r>
      <w:r w:rsidR="00D31713">
        <w:rPr>
          <w:rFonts w:ascii="Book Antiqua" w:hAnsi="Book Antiqua"/>
          <w:lang w:val="es-ES_tradnl"/>
        </w:rPr>
        <w:t>P</w:t>
      </w:r>
      <w:r w:rsidRPr="00B37285">
        <w:rPr>
          <w:rFonts w:ascii="Book Antiqua" w:hAnsi="Book Antiqua"/>
          <w:lang w:val="es-ES_tradnl"/>
        </w:rPr>
        <w:t>ueblo de Puerto Rico.</w:t>
      </w:r>
    </w:p>
    <w:p w14:paraId="0DD596F1" w14:textId="1EA3A8DF" w:rsidR="00D31713" w:rsidRPr="00B37285" w:rsidRDefault="00D31713" w:rsidP="004A6874">
      <w:pPr>
        <w:spacing w:line="480" w:lineRule="auto"/>
        <w:ind w:hanging="30"/>
        <w:jc w:val="both"/>
        <w:rPr>
          <w:rFonts w:ascii="Book Antiqua" w:hAnsi="Book Antiqua"/>
          <w:lang w:val="es-ES_tradnl"/>
        </w:rPr>
      </w:pPr>
      <w:r>
        <w:rPr>
          <w:rFonts w:ascii="Book Antiqua" w:hAnsi="Book Antiqua"/>
          <w:lang w:val="es-ES_tradnl"/>
        </w:rPr>
        <w:t xml:space="preserve">Por tal motivo </w:t>
      </w:r>
      <w:r w:rsidRPr="00B37285">
        <w:rPr>
          <w:rFonts w:ascii="Book Antiqua" w:hAnsi="Book Antiqua"/>
          <w:lang w:val="es-ES_tradnl"/>
        </w:rPr>
        <w:t>solicita respetuosamente a la Honorable Laura Taylor Swain, que tome una decisión final y definitiva sobre el Plan de Ajuste de Deudas de la Autoridad de Energía Eléctrica de Puerto Rico con la mayor brevedad posible y sin más dilaciones.</w:t>
      </w:r>
      <w:r>
        <w:rPr>
          <w:rFonts w:ascii="Book Antiqua" w:hAnsi="Book Antiqua"/>
          <w:lang w:val="es-ES_tradnl"/>
        </w:rPr>
        <w:t xml:space="preserve"> De igual modo, </w:t>
      </w:r>
      <w:r w:rsidRPr="00B37285">
        <w:rPr>
          <w:rFonts w:ascii="Book Antiqua" w:hAnsi="Book Antiqua"/>
          <w:lang w:val="es-ES_tradnl"/>
        </w:rPr>
        <w:t xml:space="preserve">solicita respetuosamente a la Honorable Laura Taylor Swain que no conceda extensiones adicionales al período de mediación en el caso de la AEE, toda vez que el proceso de mediación ha demostrado ser insuficiente para producir un acuerdo entre las partes después de múltiples rondas de negociaciones a lo largo de varios años, y que continuar extendiéndolo solo perpetúa los perjuicios económicos y sociales que sufre el </w:t>
      </w:r>
      <w:r>
        <w:rPr>
          <w:rFonts w:ascii="Book Antiqua" w:hAnsi="Book Antiqua"/>
          <w:lang w:val="es-ES_tradnl"/>
        </w:rPr>
        <w:t>P</w:t>
      </w:r>
      <w:r w:rsidRPr="00B37285">
        <w:rPr>
          <w:rFonts w:ascii="Book Antiqua" w:hAnsi="Book Antiqua"/>
          <w:lang w:val="es-ES_tradnl"/>
        </w:rPr>
        <w:t>ueblo de Puerto Rico</w:t>
      </w:r>
      <w:r>
        <w:rPr>
          <w:rFonts w:ascii="Book Antiqua" w:hAnsi="Book Antiqua"/>
          <w:lang w:val="es-ES_tradnl"/>
        </w:rPr>
        <w:t>.</w:t>
      </w:r>
    </w:p>
    <w:p w14:paraId="0F15A685" w14:textId="6E4534B4" w:rsidR="00D31713" w:rsidRDefault="00D31713" w:rsidP="004A6874">
      <w:pPr>
        <w:spacing w:line="480" w:lineRule="auto"/>
        <w:jc w:val="both"/>
        <w:rPr>
          <w:rFonts w:ascii="Book Antiqua" w:hAnsi="Book Antiqua"/>
          <w:lang w:val="es-ES_tradnl"/>
        </w:rPr>
      </w:pPr>
      <w:r w:rsidRPr="00B37285">
        <w:rPr>
          <w:rFonts w:ascii="Book Antiqua" w:hAnsi="Book Antiqua"/>
          <w:lang w:val="es-ES_tradnl"/>
        </w:rPr>
        <w:t>La Cámara de Representantes exhorta a la Honorable Laura Taylor Swain a que proceda de inmediato a la celebración de la vista de confirmación del Plan de Ajuste de Deudas de la AEE, emita su resolución definitiva sobre el asunto y ponga fin a la incertidumbre que afecta el sistema energético de Puerto Rico y el bienestar económico de sus ciudadanos.</w:t>
      </w:r>
    </w:p>
    <w:p w14:paraId="53965E2F" w14:textId="071734FF" w:rsidR="00D31713" w:rsidRPr="00B37285" w:rsidRDefault="00D31713" w:rsidP="004A6874">
      <w:pPr>
        <w:spacing w:line="480" w:lineRule="auto"/>
        <w:ind w:hanging="30"/>
        <w:jc w:val="both"/>
        <w:rPr>
          <w:rFonts w:ascii="Book Antiqua" w:hAnsi="Book Antiqua"/>
          <w:lang w:val="es-ES_tradnl"/>
        </w:rPr>
      </w:pPr>
      <w:r>
        <w:rPr>
          <w:rFonts w:ascii="Book Antiqua" w:hAnsi="Book Antiqua"/>
          <w:lang w:val="es-ES_tradnl"/>
        </w:rPr>
        <w:t xml:space="preserve">De igual modo, este Cuerpo Legislativo </w:t>
      </w:r>
      <w:r w:rsidRPr="00B37285">
        <w:rPr>
          <w:rFonts w:ascii="Book Antiqua" w:hAnsi="Book Antiqua"/>
          <w:lang w:val="es-ES_tradnl"/>
        </w:rPr>
        <w:t>hace un llamado urgente a todas las partes involucradas en el proceso de reestructuración de la deuda de la AEE, incluyendo la Junta de Supervisión y Administración Financiera para Puerto Rico, los tenedores de bonos, los prestamistas de líneas de combustible, las aseguradoras y los demás acreedores</w:t>
      </w:r>
      <w:r w:rsidR="008A40DC">
        <w:rPr>
          <w:rFonts w:ascii="Book Antiqua" w:hAnsi="Book Antiqua"/>
          <w:lang w:val="es-ES_tradnl"/>
        </w:rPr>
        <w:t xml:space="preserve"> incluyendo los pensionados</w:t>
      </w:r>
      <w:r w:rsidRPr="00B37285">
        <w:rPr>
          <w:rFonts w:ascii="Book Antiqua" w:hAnsi="Book Antiqua"/>
          <w:lang w:val="es-ES_tradnl"/>
        </w:rPr>
        <w:t xml:space="preserve">, a que actúen con sentido de urgencia, responsabilidad y buena fe para alcanzar una solución que sea justa, rápida, razonable </w:t>
      </w:r>
      <w:r w:rsidRPr="00B37285">
        <w:rPr>
          <w:rFonts w:ascii="Book Antiqua" w:hAnsi="Book Antiqua"/>
          <w:lang w:val="es-ES_tradnl"/>
        </w:rPr>
        <w:lastRenderedPageBreak/>
        <w:t>y sostenible para el pueblo de Puerto Rico y que permita al sistema energético de la Isla avanzar hacia su modernización y recuperación.</w:t>
      </w:r>
    </w:p>
    <w:p w14:paraId="4C38D7A6" w14:textId="76FAFBBD" w:rsidR="00D31713" w:rsidRPr="0085679A" w:rsidRDefault="00D31713" w:rsidP="004A6874">
      <w:pPr>
        <w:spacing w:line="480" w:lineRule="auto"/>
        <w:ind w:hanging="30"/>
        <w:jc w:val="both"/>
        <w:rPr>
          <w:rFonts w:ascii="Book Antiqua" w:hAnsi="Book Antiqua"/>
          <w:lang w:val="es-ES_tradnl"/>
        </w:rPr>
      </w:pPr>
      <w:r w:rsidRPr="00D31713">
        <w:rPr>
          <w:rFonts w:ascii="Book Antiqua" w:hAnsi="Book Antiqua"/>
          <w:lang w:val="es-ES_tradnl"/>
        </w:rPr>
        <w:t>Asimismo,</w:t>
      </w:r>
      <w:r>
        <w:rPr>
          <w:rFonts w:ascii="Book Antiqua" w:hAnsi="Book Antiqua"/>
          <w:i/>
          <w:iCs/>
          <w:lang w:val="es-ES_tradnl"/>
        </w:rPr>
        <w:t xml:space="preserve"> </w:t>
      </w:r>
      <w:r w:rsidRPr="00B37285">
        <w:rPr>
          <w:rFonts w:ascii="Book Antiqua" w:hAnsi="Book Antiqua"/>
          <w:lang w:val="es-ES_tradnl"/>
        </w:rPr>
        <w:t>declara que los intereses de los aproximadamente 3.2 millones de residentes de Puerto Rico, quienes dependen de un sistema eléctrico confiable y asequible para su bienestar diario, deben ser la consideración primordial en la resolución de este proceso de reestructuración, por encima de los intereses particulares de los acreedores o de cualquier otra parte.</w:t>
      </w:r>
    </w:p>
    <w:p w14:paraId="40A216AE" w14:textId="7692810D" w:rsidR="00B37285" w:rsidRPr="00B37285" w:rsidRDefault="00B37285" w:rsidP="004A6874">
      <w:pPr>
        <w:spacing w:line="480" w:lineRule="auto"/>
        <w:ind w:hanging="30"/>
        <w:jc w:val="both"/>
        <w:rPr>
          <w:rFonts w:ascii="Book Antiqua" w:hAnsi="Book Antiqua"/>
          <w:lang w:val="es-ES_tradnl"/>
        </w:rPr>
      </w:pPr>
      <w:r w:rsidRPr="00D31713">
        <w:rPr>
          <w:rFonts w:ascii="Book Antiqua" w:hAnsi="Book Antiqua"/>
          <w:lang w:val="es-ES_tradnl"/>
        </w:rPr>
        <w:t>Sección 2.</w:t>
      </w:r>
      <w:r w:rsidRPr="00B37285">
        <w:rPr>
          <w:rFonts w:ascii="Book Antiqua" w:hAnsi="Book Antiqua"/>
          <w:b/>
          <w:bCs/>
          <w:lang w:val="es-ES_tradnl"/>
        </w:rPr>
        <w:t xml:space="preserve"> </w:t>
      </w:r>
      <w:r w:rsidRPr="007334BE">
        <w:rPr>
          <w:rFonts w:ascii="Book Antiqua" w:hAnsi="Book Antiqua"/>
          <w:i/>
          <w:iCs/>
          <w:lang w:val="es-ES_tradnl"/>
        </w:rPr>
        <w:t xml:space="preserve"> </w:t>
      </w:r>
      <w:r w:rsidR="008A40DC">
        <w:rPr>
          <w:rFonts w:ascii="Book Antiqua" w:hAnsi="Book Antiqua"/>
          <w:lang w:val="es-ES_tradnl"/>
        </w:rPr>
        <w:t>El</w:t>
      </w:r>
      <w:r w:rsidR="008A40DC" w:rsidRPr="00CD2AC8">
        <w:rPr>
          <w:rFonts w:ascii="Book Antiqua" w:hAnsi="Book Antiqua"/>
          <w:lang w:val="es-ES_tradnl"/>
        </w:rPr>
        <w:t xml:space="preserve"> Secretari</w:t>
      </w:r>
      <w:r w:rsidR="008A40DC">
        <w:rPr>
          <w:rFonts w:ascii="Book Antiqua" w:hAnsi="Book Antiqua"/>
          <w:lang w:val="es-ES_tradnl"/>
        </w:rPr>
        <w:t>o</w:t>
      </w:r>
      <w:r w:rsidR="008A40DC" w:rsidRPr="00CD2AC8">
        <w:rPr>
          <w:rFonts w:ascii="Book Antiqua" w:hAnsi="Book Antiqua"/>
          <w:lang w:val="es-ES_tradnl"/>
        </w:rPr>
        <w:t xml:space="preserve"> de l</w:t>
      </w:r>
      <w:r w:rsidR="008A40DC" w:rsidRPr="00B37285">
        <w:rPr>
          <w:rFonts w:ascii="Book Antiqua" w:hAnsi="Book Antiqua"/>
          <w:lang w:val="es-ES_tradnl"/>
        </w:rPr>
        <w:t xml:space="preserve">a Cámara de Representantes </w:t>
      </w:r>
      <w:r w:rsidR="008A40DC">
        <w:rPr>
          <w:rFonts w:ascii="Book Antiqua" w:hAnsi="Book Antiqua"/>
          <w:lang w:val="es-ES_tradnl"/>
        </w:rPr>
        <w:t>de Puerto Rico enviará</w:t>
      </w:r>
      <w:r w:rsidR="008A40DC" w:rsidRPr="00B37285">
        <w:rPr>
          <w:rFonts w:ascii="Book Antiqua" w:hAnsi="Book Antiqua"/>
          <w:lang w:val="es-ES_tradnl"/>
        </w:rPr>
        <w:t xml:space="preserve"> copias certificadas </w:t>
      </w:r>
      <w:r w:rsidR="008A40DC">
        <w:rPr>
          <w:rFonts w:ascii="Book Antiqua" w:hAnsi="Book Antiqua"/>
          <w:lang w:val="es-ES_tradnl"/>
        </w:rPr>
        <w:t xml:space="preserve">traducidas al idioma inglés </w:t>
      </w:r>
      <w:r w:rsidR="008A40DC" w:rsidRPr="00B37285">
        <w:rPr>
          <w:rFonts w:ascii="Book Antiqua" w:hAnsi="Book Antiqua"/>
          <w:lang w:val="es-ES_tradnl"/>
        </w:rPr>
        <w:t>de esta Resolución a la Honorable Laura Taylor Swain</w:t>
      </w:r>
      <w:r w:rsidR="008A40DC">
        <w:rPr>
          <w:rFonts w:ascii="Book Antiqua" w:hAnsi="Book Antiqua"/>
          <w:lang w:val="es-ES_tradnl"/>
        </w:rPr>
        <w:t>,</w:t>
      </w:r>
      <w:r w:rsidR="008A40DC" w:rsidRPr="00B37285">
        <w:rPr>
          <w:rFonts w:ascii="Book Antiqua" w:hAnsi="Book Antiqua"/>
          <w:lang w:val="es-ES_tradnl"/>
        </w:rPr>
        <w:t xml:space="preserve"> </w:t>
      </w:r>
      <w:r w:rsidR="008A40DC" w:rsidRPr="00783725">
        <w:rPr>
          <w:rFonts w:ascii="Book Antiqua" w:hAnsi="Book Antiqua"/>
          <w:lang w:val="es-ES"/>
        </w:rPr>
        <w:t xml:space="preserve">a la Casa Blanca, al </w:t>
      </w:r>
      <w:r w:rsidR="008A40DC">
        <w:rPr>
          <w:rFonts w:ascii="Book Antiqua" w:hAnsi="Book Antiqua"/>
          <w:lang w:val="es-ES"/>
        </w:rPr>
        <w:t>Comité de Recursos Naturales de la Camara de Representantes</w:t>
      </w:r>
      <w:r w:rsidR="008A40DC" w:rsidRPr="00783725">
        <w:rPr>
          <w:rFonts w:ascii="Book Antiqua" w:hAnsi="Book Antiqua"/>
          <w:lang w:val="es-ES"/>
        </w:rPr>
        <w:t xml:space="preserve"> de los Estados Unidos, al </w:t>
      </w:r>
      <w:r w:rsidR="008A40DC">
        <w:rPr>
          <w:rFonts w:ascii="Book Antiqua" w:hAnsi="Book Antiqua"/>
          <w:lang w:val="es-ES"/>
        </w:rPr>
        <w:t>Comité de Energía y Recursos Naturales del Senado</w:t>
      </w:r>
      <w:r w:rsidR="008A40DC" w:rsidRPr="00783725">
        <w:rPr>
          <w:rFonts w:ascii="Book Antiqua" w:hAnsi="Book Antiqua"/>
          <w:lang w:val="es-ES"/>
        </w:rPr>
        <w:t xml:space="preserve"> de los Estados Unidos</w:t>
      </w:r>
      <w:r w:rsidR="008A40DC">
        <w:rPr>
          <w:rFonts w:ascii="Book Antiqua" w:hAnsi="Book Antiqua"/>
          <w:lang w:val="es-ES"/>
        </w:rPr>
        <w:t>,</w:t>
      </w:r>
      <w:r w:rsidR="008A40DC" w:rsidRPr="00783725">
        <w:rPr>
          <w:rFonts w:ascii="Book Antiqua" w:hAnsi="Book Antiqua"/>
          <w:lang w:val="es-ES"/>
        </w:rPr>
        <w:t xml:space="preserve"> al </w:t>
      </w:r>
      <w:proofErr w:type="spellStart"/>
      <w:r w:rsidR="008A40DC" w:rsidRPr="00783725">
        <w:rPr>
          <w:rFonts w:ascii="Book Antiqua" w:hAnsi="Book Antiqua"/>
          <w:lang w:val="es-ES"/>
        </w:rPr>
        <w:t>Government</w:t>
      </w:r>
      <w:proofErr w:type="spellEnd"/>
      <w:r w:rsidR="008A40DC" w:rsidRPr="00783725">
        <w:rPr>
          <w:rFonts w:ascii="Book Antiqua" w:hAnsi="Book Antiqua"/>
          <w:lang w:val="es-ES"/>
        </w:rPr>
        <w:t xml:space="preserve"> </w:t>
      </w:r>
      <w:proofErr w:type="spellStart"/>
      <w:r w:rsidR="008A40DC" w:rsidRPr="00783725">
        <w:rPr>
          <w:rFonts w:ascii="Book Antiqua" w:hAnsi="Book Antiqua"/>
          <w:lang w:val="es-ES"/>
        </w:rPr>
        <w:t>Accountability</w:t>
      </w:r>
      <w:proofErr w:type="spellEnd"/>
      <w:r w:rsidR="008A40DC" w:rsidRPr="00783725">
        <w:rPr>
          <w:rFonts w:ascii="Book Antiqua" w:hAnsi="Book Antiqua"/>
          <w:lang w:val="es-ES"/>
        </w:rPr>
        <w:t xml:space="preserve"> Office (GAO)</w:t>
      </w:r>
      <w:r w:rsidR="008A40DC">
        <w:rPr>
          <w:rFonts w:ascii="Book Antiqua" w:hAnsi="Book Antiqua"/>
          <w:lang w:val="es-ES"/>
        </w:rPr>
        <w:t>,</w:t>
      </w:r>
      <w:r w:rsidR="008A40DC" w:rsidRPr="00783725">
        <w:rPr>
          <w:rFonts w:ascii="Book Antiqua" w:hAnsi="Book Antiqua"/>
          <w:lang w:val="es-ES"/>
        </w:rPr>
        <w:t xml:space="preserve"> al Departamento de Justicia de los Estados Unidos</w:t>
      </w:r>
      <w:r w:rsidR="008A40DC">
        <w:rPr>
          <w:rFonts w:ascii="Book Antiqua" w:hAnsi="Book Antiqua"/>
          <w:lang w:val="es-ES"/>
        </w:rPr>
        <w:t>,</w:t>
      </w:r>
      <w:r w:rsidR="008A40DC" w:rsidRPr="00B37285">
        <w:rPr>
          <w:rFonts w:ascii="Book Antiqua" w:hAnsi="Book Antiqua"/>
          <w:lang w:val="es-ES_tradnl"/>
        </w:rPr>
        <w:t xml:space="preserve"> a la Honorable Gobernadora de Puerto Rico; a la Junta de Supervisión y Administración Financiera para Puerto Rico; al Senado de Puerto Rico y a los principales medios de comunicación de</w:t>
      </w:r>
      <w:r w:rsidR="00DC0C7D">
        <w:rPr>
          <w:rFonts w:ascii="Book Antiqua" w:hAnsi="Book Antiqua"/>
          <w:lang w:val="es-ES_tradnl"/>
        </w:rPr>
        <w:t xml:space="preserve"> Puerto Rico</w:t>
      </w:r>
      <w:r w:rsidR="008A40DC" w:rsidRPr="00B37285">
        <w:rPr>
          <w:rFonts w:ascii="Book Antiqua" w:hAnsi="Book Antiqua"/>
          <w:lang w:val="es-ES_tradnl"/>
        </w:rPr>
        <w:t xml:space="preserve">, para </w:t>
      </w:r>
      <w:r w:rsidR="008A40DC">
        <w:rPr>
          <w:rFonts w:ascii="Book Antiqua" w:hAnsi="Book Antiqua"/>
          <w:lang w:val="es-ES_tradnl"/>
        </w:rPr>
        <w:t>su</w:t>
      </w:r>
      <w:r w:rsidR="008A40DC" w:rsidRPr="00B37285">
        <w:rPr>
          <w:rFonts w:ascii="Book Antiqua" w:hAnsi="Book Antiqua"/>
          <w:lang w:val="es-ES_tradnl"/>
        </w:rPr>
        <w:t xml:space="preserve"> conocimiento y la acción que proceda</w:t>
      </w:r>
      <w:r w:rsidRPr="00B37285">
        <w:rPr>
          <w:rFonts w:ascii="Book Antiqua" w:hAnsi="Book Antiqua"/>
          <w:lang w:val="es-ES_tradnl"/>
        </w:rPr>
        <w:t>.</w:t>
      </w:r>
    </w:p>
    <w:p w14:paraId="4F04BA2A" w14:textId="3318570B" w:rsidR="00484603" w:rsidRPr="00B37285" w:rsidRDefault="007C6FBE" w:rsidP="004A6874">
      <w:pPr>
        <w:spacing w:line="480" w:lineRule="auto"/>
        <w:jc w:val="both"/>
        <w:rPr>
          <w:rFonts w:ascii="Book Antiqua" w:hAnsi="Book Antiqua"/>
          <w:szCs w:val="24"/>
          <w:lang w:val="es-ES"/>
        </w:rPr>
      </w:pPr>
      <w:r w:rsidRPr="00B37285">
        <w:rPr>
          <w:rFonts w:ascii="Book Antiqua" w:hAnsi="Book Antiqua"/>
          <w:szCs w:val="24"/>
          <w:lang w:val="es-ES"/>
        </w:rPr>
        <w:t xml:space="preserve">Sección </w:t>
      </w:r>
      <w:r w:rsidR="0085679A">
        <w:rPr>
          <w:rFonts w:ascii="Book Antiqua" w:hAnsi="Book Antiqua"/>
          <w:szCs w:val="24"/>
          <w:lang w:val="es-ES"/>
        </w:rPr>
        <w:t>3</w:t>
      </w:r>
      <w:r w:rsidRPr="00B37285">
        <w:rPr>
          <w:rFonts w:ascii="Book Antiqua" w:hAnsi="Book Antiqua"/>
          <w:szCs w:val="24"/>
          <w:lang w:val="es-ES"/>
        </w:rPr>
        <w:t>.- Esta Resolución entrará en vigor inmediatamente después de su aprobación.</w:t>
      </w:r>
      <w:r w:rsidR="00550010" w:rsidRPr="00B37285">
        <w:rPr>
          <w:rFonts w:ascii="Book Antiqua" w:hAnsi="Book Antiqua"/>
          <w:szCs w:val="24"/>
          <w:lang w:val="es-ES"/>
        </w:rPr>
        <w:t xml:space="preserve"> </w:t>
      </w:r>
    </w:p>
    <w:sectPr w:rsidR="00484603" w:rsidRPr="00B37285" w:rsidSect="00465E7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F262B" w14:textId="77777777" w:rsidR="007F4B14" w:rsidRDefault="007F4B14">
      <w:r>
        <w:separator/>
      </w:r>
    </w:p>
  </w:endnote>
  <w:endnote w:type="continuationSeparator" w:id="0">
    <w:p w14:paraId="63C7301C" w14:textId="77777777" w:rsidR="007F4B14" w:rsidRDefault="007F4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8C9CC" w14:textId="77777777" w:rsidR="007F4B14" w:rsidRDefault="007F4B14">
      <w:r>
        <w:separator/>
      </w:r>
    </w:p>
  </w:footnote>
  <w:footnote w:type="continuationSeparator" w:id="0">
    <w:p w14:paraId="0AFE7EFB" w14:textId="77777777" w:rsidR="007F4B14" w:rsidRDefault="007F4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061FC" w14:textId="77777777" w:rsidR="00323544" w:rsidRDefault="0032354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4F34BD">
      <w:rPr>
        <w:rStyle w:val="Nmerodepgina"/>
        <w:noProof/>
      </w:rPr>
      <w:t>5</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72E63"/>
    <w:rsid w:val="000003F0"/>
    <w:rsid w:val="00031AF4"/>
    <w:rsid w:val="00031E22"/>
    <w:rsid w:val="00047E9E"/>
    <w:rsid w:val="0005234D"/>
    <w:rsid w:val="0005368E"/>
    <w:rsid w:val="00053F5A"/>
    <w:rsid w:val="0007128D"/>
    <w:rsid w:val="0008171F"/>
    <w:rsid w:val="000830F8"/>
    <w:rsid w:val="000848E3"/>
    <w:rsid w:val="000A47EC"/>
    <w:rsid w:val="000C1D82"/>
    <w:rsid w:val="000D67BF"/>
    <w:rsid w:val="000E015F"/>
    <w:rsid w:val="000F3615"/>
    <w:rsid w:val="000F6834"/>
    <w:rsid w:val="00106EE6"/>
    <w:rsid w:val="00114C0F"/>
    <w:rsid w:val="001157FA"/>
    <w:rsid w:val="00116A88"/>
    <w:rsid w:val="001519D9"/>
    <w:rsid w:val="00152862"/>
    <w:rsid w:val="001663EC"/>
    <w:rsid w:val="00172E63"/>
    <w:rsid w:val="00192797"/>
    <w:rsid w:val="001A3802"/>
    <w:rsid w:val="001B68D2"/>
    <w:rsid w:val="001C0578"/>
    <w:rsid w:val="001D3831"/>
    <w:rsid w:val="001D51DD"/>
    <w:rsid w:val="001F4CC4"/>
    <w:rsid w:val="0020451A"/>
    <w:rsid w:val="002151F3"/>
    <w:rsid w:val="00215D27"/>
    <w:rsid w:val="002305E2"/>
    <w:rsid w:val="00262904"/>
    <w:rsid w:val="00262C42"/>
    <w:rsid w:val="002725E2"/>
    <w:rsid w:val="002731B9"/>
    <w:rsid w:val="002754D5"/>
    <w:rsid w:val="00275D9E"/>
    <w:rsid w:val="0028783F"/>
    <w:rsid w:val="002B029C"/>
    <w:rsid w:val="002B2170"/>
    <w:rsid w:val="002B37EC"/>
    <w:rsid w:val="002B50E0"/>
    <w:rsid w:val="002D228E"/>
    <w:rsid w:val="002D2308"/>
    <w:rsid w:val="002E0E6E"/>
    <w:rsid w:val="002E6D71"/>
    <w:rsid w:val="002E7FC3"/>
    <w:rsid w:val="002F4CC5"/>
    <w:rsid w:val="00311F0E"/>
    <w:rsid w:val="003215EF"/>
    <w:rsid w:val="00321EB7"/>
    <w:rsid w:val="00323544"/>
    <w:rsid w:val="003266A4"/>
    <w:rsid w:val="00354F2D"/>
    <w:rsid w:val="003626B1"/>
    <w:rsid w:val="00365111"/>
    <w:rsid w:val="00366BE9"/>
    <w:rsid w:val="003701B7"/>
    <w:rsid w:val="00391E8F"/>
    <w:rsid w:val="003B7962"/>
    <w:rsid w:val="003C7CF5"/>
    <w:rsid w:val="0041459A"/>
    <w:rsid w:val="0042753F"/>
    <w:rsid w:val="00433EE6"/>
    <w:rsid w:val="00461280"/>
    <w:rsid w:val="00465E72"/>
    <w:rsid w:val="00484603"/>
    <w:rsid w:val="00487C64"/>
    <w:rsid w:val="00492AD1"/>
    <w:rsid w:val="004A4B46"/>
    <w:rsid w:val="004A5F8D"/>
    <w:rsid w:val="004A6874"/>
    <w:rsid w:val="004B4A04"/>
    <w:rsid w:val="004C3AC7"/>
    <w:rsid w:val="004C6DF2"/>
    <w:rsid w:val="004D6F12"/>
    <w:rsid w:val="004F1EE4"/>
    <w:rsid w:val="004F34BD"/>
    <w:rsid w:val="00507C74"/>
    <w:rsid w:val="00513988"/>
    <w:rsid w:val="00550010"/>
    <w:rsid w:val="005559A1"/>
    <w:rsid w:val="0057640C"/>
    <w:rsid w:val="0057712E"/>
    <w:rsid w:val="00577A24"/>
    <w:rsid w:val="00581513"/>
    <w:rsid w:val="00596744"/>
    <w:rsid w:val="005D1A18"/>
    <w:rsid w:val="005E37E7"/>
    <w:rsid w:val="00602FB4"/>
    <w:rsid w:val="0060590B"/>
    <w:rsid w:val="00610E86"/>
    <w:rsid w:val="0063096D"/>
    <w:rsid w:val="0064358F"/>
    <w:rsid w:val="00647437"/>
    <w:rsid w:val="006678EB"/>
    <w:rsid w:val="00690DA9"/>
    <w:rsid w:val="006B0440"/>
    <w:rsid w:val="006B3D69"/>
    <w:rsid w:val="006B559B"/>
    <w:rsid w:val="006C71FE"/>
    <w:rsid w:val="006D54B1"/>
    <w:rsid w:val="00704860"/>
    <w:rsid w:val="007056EA"/>
    <w:rsid w:val="00713F54"/>
    <w:rsid w:val="00720AC3"/>
    <w:rsid w:val="00732289"/>
    <w:rsid w:val="007334BE"/>
    <w:rsid w:val="00735E08"/>
    <w:rsid w:val="00764258"/>
    <w:rsid w:val="00781B3E"/>
    <w:rsid w:val="00783725"/>
    <w:rsid w:val="007964F0"/>
    <w:rsid w:val="007A1394"/>
    <w:rsid w:val="007A23C6"/>
    <w:rsid w:val="007C46EE"/>
    <w:rsid w:val="007C6FBE"/>
    <w:rsid w:val="007E111A"/>
    <w:rsid w:val="007E34E9"/>
    <w:rsid w:val="007F0B3D"/>
    <w:rsid w:val="007F4B14"/>
    <w:rsid w:val="0081402B"/>
    <w:rsid w:val="00827101"/>
    <w:rsid w:val="008547BE"/>
    <w:rsid w:val="0085679A"/>
    <w:rsid w:val="00861635"/>
    <w:rsid w:val="008A40DC"/>
    <w:rsid w:val="008A65B2"/>
    <w:rsid w:val="008C4672"/>
    <w:rsid w:val="008D33E2"/>
    <w:rsid w:val="008D4280"/>
    <w:rsid w:val="008E2201"/>
    <w:rsid w:val="008E4B89"/>
    <w:rsid w:val="008E6E97"/>
    <w:rsid w:val="00907349"/>
    <w:rsid w:val="00912C56"/>
    <w:rsid w:val="00913803"/>
    <w:rsid w:val="0092176F"/>
    <w:rsid w:val="00922F47"/>
    <w:rsid w:val="00930714"/>
    <w:rsid w:val="00951D8C"/>
    <w:rsid w:val="00975C40"/>
    <w:rsid w:val="00975C62"/>
    <w:rsid w:val="00980C1C"/>
    <w:rsid w:val="00982AD9"/>
    <w:rsid w:val="0099424C"/>
    <w:rsid w:val="00994AF6"/>
    <w:rsid w:val="0099508C"/>
    <w:rsid w:val="00997B5C"/>
    <w:rsid w:val="009A1323"/>
    <w:rsid w:val="009A3360"/>
    <w:rsid w:val="009B7A94"/>
    <w:rsid w:val="009C0CCE"/>
    <w:rsid w:val="009C765B"/>
    <w:rsid w:val="009E016B"/>
    <w:rsid w:val="009E4954"/>
    <w:rsid w:val="009E7151"/>
    <w:rsid w:val="00A10DD1"/>
    <w:rsid w:val="00A26652"/>
    <w:rsid w:val="00A45079"/>
    <w:rsid w:val="00A4510D"/>
    <w:rsid w:val="00A47668"/>
    <w:rsid w:val="00A60AA5"/>
    <w:rsid w:val="00A67E11"/>
    <w:rsid w:val="00A74290"/>
    <w:rsid w:val="00A750BD"/>
    <w:rsid w:val="00A829DF"/>
    <w:rsid w:val="00A8371C"/>
    <w:rsid w:val="00A842D8"/>
    <w:rsid w:val="00AA3C05"/>
    <w:rsid w:val="00AD2C0E"/>
    <w:rsid w:val="00AD4BFD"/>
    <w:rsid w:val="00AE674B"/>
    <w:rsid w:val="00AF051E"/>
    <w:rsid w:val="00AF2EBA"/>
    <w:rsid w:val="00B01077"/>
    <w:rsid w:val="00B37285"/>
    <w:rsid w:val="00B456A4"/>
    <w:rsid w:val="00B54A82"/>
    <w:rsid w:val="00B77E72"/>
    <w:rsid w:val="00B92627"/>
    <w:rsid w:val="00BA2247"/>
    <w:rsid w:val="00BB4B68"/>
    <w:rsid w:val="00BC0A6F"/>
    <w:rsid w:val="00BD3045"/>
    <w:rsid w:val="00BD4E15"/>
    <w:rsid w:val="00BF6758"/>
    <w:rsid w:val="00C171BB"/>
    <w:rsid w:val="00C27704"/>
    <w:rsid w:val="00C433A2"/>
    <w:rsid w:val="00C555F5"/>
    <w:rsid w:val="00C652E0"/>
    <w:rsid w:val="00C938E5"/>
    <w:rsid w:val="00CA1B4C"/>
    <w:rsid w:val="00CA5394"/>
    <w:rsid w:val="00CB179F"/>
    <w:rsid w:val="00CB6722"/>
    <w:rsid w:val="00CB77A9"/>
    <w:rsid w:val="00CD4E16"/>
    <w:rsid w:val="00CE70E7"/>
    <w:rsid w:val="00CF113E"/>
    <w:rsid w:val="00D015FC"/>
    <w:rsid w:val="00D20C77"/>
    <w:rsid w:val="00D24550"/>
    <w:rsid w:val="00D31713"/>
    <w:rsid w:val="00D35E9A"/>
    <w:rsid w:val="00D41423"/>
    <w:rsid w:val="00D47B7C"/>
    <w:rsid w:val="00D51285"/>
    <w:rsid w:val="00D66A5E"/>
    <w:rsid w:val="00D67A2A"/>
    <w:rsid w:val="00DA1730"/>
    <w:rsid w:val="00DA20BB"/>
    <w:rsid w:val="00DB361C"/>
    <w:rsid w:val="00DB466E"/>
    <w:rsid w:val="00DB6BBE"/>
    <w:rsid w:val="00DC032E"/>
    <w:rsid w:val="00DC0C7D"/>
    <w:rsid w:val="00DE591E"/>
    <w:rsid w:val="00E052F5"/>
    <w:rsid w:val="00E05BDE"/>
    <w:rsid w:val="00E15DAD"/>
    <w:rsid w:val="00E35207"/>
    <w:rsid w:val="00E50E97"/>
    <w:rsid w:val="00E532CF"/>
    <w:rsid w:val="00E55203"/>
    <w:rsid w:val="00E56B8F"/>
    <w:rsid w:val="00E673B1"/>
    <w:rsid w:val="00E82F08"/>
    <w:rsid w:val="00EA1132"/>
    <w:rsid w:val="00EA54F5"/>
    <w:rsid w:val="00EB4E42"/>
    <w:rsid w:val="00EB5C81"/>
    <w:rsid w:val="00EE4512"/>
    <w:rsid w:val="00F072FE"/>
    <w:rsid w:val="00F21EFD"/>
    <w:rsid w:val="00F338E9"/>
    <w:rsid w:val="00F47741"/>
    <w:rsid w:val="00F7651C"/>
    <w:rsid w:val="00F836E2"/>
    <w:rsid w:val="00F96BDC"/>
    <w:rsid w:val="00FA2362"/>
    <w:rsid w:val="00FA70C8"/>
    <w:rsid w:val="00FB73A2"/>
    <w:rsid w:val="00FC2896"/>
    <w:rsid w:val="00FD025C"/>
    <w:rsid w:val="00FD05D7"/>
    <w:rsid w:val="00FF0836"/>
    <w:rsid w:val="00FF5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3E2C6"/>
  <w15:chartTrackingRefBased/>
  <w15:docId w15:val="{D95915CE-1EC8-41E6-A513-D21B662D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character" w:styleId="Hipervnculo">
    <w:name w:val="Hyperlink"/>
    <w:rsid w:val="0099508C"/>
    <w:rPr>
      <w:color w:val="0563C1"/>
      <w:u w:val="single"/>
    </w:rPr>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577A24"/>
    <w:pPr>
      <w:spacing w:before="100" w:beforeAutospacing="1" w:after="100" w:afterAutospacing="1"/>
    </w:pPr>
    <w:rPr>
      <w:szCs w:val="24"/>
    </w:rPr>
  </w:style>
  <w:style w:type="character" w:customStyle="1" w:styleId="citation-1473">
    <w:name w:val="citation-1473"/>
    <w:basedOn w:val="Fuentedeprrafopredeter"/>
    <w:rsid w:val="00577A24"/>
  </w:style>
  <w:style w:type="character" w:customStyle="1" w:styleId="citation-1472">
    <w:name w:val="citation-1472"/>
    <w:basedOn w:val="Fuentedeprrafopredeter"/>
    <w:rsid w:val="00577A24"/>
  </w:style>
  <w:style w:type="character" w:customStyle="1" w:styleId="citation-1471">
    <w:name w:val="citation-1471"/>
    <w:basedOn w:val="Fuentedeprrafopredeter"/>
    <w:rsid w:val="00577A24"/>
  </w:style>
  <w:style w:type="character" w:customStyle="1" w:styleId="citation-1470">
    <w:name w:val="citation-1470"/>
    <w:basedOn w:val="Fuentedeprrafopredeter"/>
    <w:rsid w:val="00577A24"/>
  </w:style>
  <w:style w:type="character" w:customStyle="1" w:styleId="citation-1469">
    <w:name w:val="citation-1469"/>
    <w:basedOn w:val="Fuentedeprrafopredeter"/>
    <w:rsid w:val="00577A24"/>
  </w:style>
  <w:style w:type="character" w:customStyle="1" w:styleId="citation-1468">
    <w:name w:val="citation-1468"/>
    <w:basedOn w:val="Fuentedeprrafopredeter"/>
    <w:rsid w:val="00577A24"/>
  </w:style>
  <w:style w:type="character" w:customStyle="1" w:styleId="citation-1467">
    <w:name w:val="citation-1467"/>
    <w:basedOn w:val="Fuentedeprrafopredeter"/>
    <w:rsid w:val="00577A24"/>
  </w:style>
  <w:style w:type="character" w:customStyle="1" w:styleId="citation-1466">
    <w:name w:val="citation-1466"/>
    <w:basedOn w:val="Fuentedeprrafopredeter"/>
    <w:rsid w:val="00577A24"/>
  </w:style>
  <w:style w:type="character" w:customStyle="1" w:styleId="citation-1465">
    <w:name w:val="citation-1465"/>
    <w:basedOn w:val="Fuentedeprrafopredeter"/>
    <w:rsid w:val="00577A24"/>
  </w:style>
  <w:style w:type="character" w:customStyle="1" w:styleId="citation-1464">
    <w:name w:val="citation-1464"/>
    <w:basedOn w:val="Fuentedeprrafopredeter"/>
    <w:rsid w:val="00577A24"/>
  </w:style>
  <w:style w:type="character" w:customStyle="1" w:styleId="citation-1463">
    <w:name w:val="citation-1463"/>
    <w:basedOn w:val="Fuentedeprrafopredeter"/>
    <w:rsid w:val="00577A24"/>
  </w:style>
  <w:style w:type="character" w:customStyle="1" w:styleId="citation-1462">
    <w:name w:val="citation-1462"/>
    <w:basedOn w:val="Fuentedeprrafopredeter"/>
    <w:rsid w:val="00577A24"/>
  </w:style>
  <w:style w:type="character" w:customStyle="1" w:styleId="citation-1461">
    <w:name w:val="citation-1461"/>
    <w:basedOn w:val="Fuentedeprrafopredeter"/>
    <w:rsid w:val="00577A24"/>
  </w:style>
  <w:style w:type="character" w:customStyle="1" w:styleId="citation-1460">
    <w:name w:val="citation-1460"/>
    <w:basedOn w:val="Fuentedeprrafopredeter"/>
    <w:rsid w:val="00577A24"/>
  </w:style>
  <w:style w:type="character" w:customStyle="1" w:styleId="citation-1459">
    <w:name w:val="citation-1459"/>
    <w:basedOn w:val="Fuentedeprrafopredeter"/>
    <w:rsid w:val="00577A24"/>
  </w:style>
  <w:style w:type="character" w:customStyle="1" w:styleId="citation-1458">
    <w:name w:val="citation-1458"/>
    <w:basedOn w:val="Fuentedeprrafopredeter"/>
    <w:rsid w:val="00577A24"/>
  </w:style>
  <w:style w:type="character" w:customStyle="1" w:styleId="citation-1457">
    <w:name w:val="citation-1457"/>
    <w:basedOn w:val="Fuentedeprrafopredeter"/>
    <w:rsid w:val="00577A24"/>
  </w:style>
  <w:style w:type="character" w:customStyle="1" w:styleId="citation-1456">
    <w:name w:val="citation-1456"/>
    <w:basedOn w:val="Fuentedeprrafopredeter"/>
    <w:rsid w:val="00577A24"/>
  </w:style>
  <w:style w:type="character" w:customStyle="1" w:styleId="citation-1455">
    <w:name w:val="citation-1455"/>
    <w:basedOn w:val="Fuentedeprrafopredeter"/>
    <w:rsid w:val="00577A24"/>
  </w:style>
  <w:style w:type="character" w:customStyle="1" w:styleId="citation-1454">
    <w:name w:val="citation-1454"/>
    <w:basedOn w:val="Fuentedeprrafopredeter"/>
    <w:rsid w:val="00577A24"/>
  </w:style>
  <w:style w:type="character" w:customStyle="1" w:styleId="citation-1453">
    <w:name w:val="citation-1453"/>
    <w:basedOn w:val="Fuentedeprrafopredeter"/>
    <w:rsid w:val="00577A24"/>
  </w:style>
  <w:style w:type="character" w:customStyle="1" w:styleId="citation-1452">
    <w:name w:val="citation-1452"/>
    <w:basedOn w:val="Fuentedeprrafopredeter"/>
    <w:rsid w:val="00577A24"/>
  </w:style>
  <w:style w:type="character" w:customStyle="1" w:styleId="citation-1451">
    <w:name w:val="citation-1451"/>
    <w:basedOn w:val="Fuentedeprrafopredeter"/>
    <w:rsid w:val="00577A24"/>
  </w:style>
  <w:style w:type="character" w:customStyle="1" w:styleId="citation-1592">
    <w:name w:val="citation-1592"/>
    <w:basedOn w:val="Fuentedeprrafopredeter"/>
    <w:rsid w:val="00577A24"/>
  </w:style>
  <w:style w:type="character" w:customStyle="1" w:styleId="citation-1591">
    <w:name w:val="citation-1591"/>
    <w:basedOn w:val="Fuentedeprrafopredeter"/>
    <w:rsid w:val="00577A24"/>
  </w:style>
  <w:style w:type="character" w:customStyle="1" w:styleId="citation-1590">
    <w:name w:val="citation-1590"/>
    <w:basedOn w:val="Fuentedeprrafopredeter"/>
    <w:rsid w:val="00577A24"/>
  </w:style>
  <w:style w:type="character" w:customStyle="1" w:styleId="citation-1589">
    <w:name w:val="citation-1589"/>
    <w:basedOn w:val="Fuentedeprrafopredeter"/>
    <w:rsid w:val="00577A24"/>
  </w:style>
  <w:style w:type="character" w:customStyle="1" w:styleId="citation-1588">
    <w:name w:val="citation-1588"/>
    <w:basedOn w:val="Fuentedeprrafopredeter"/>
    <w:rsid w:val="00577A24"/>
  </w:style>
  <w:style w:type="character" w:customStyle="1" w:styleId="citation-1587">
    <w:name w:val="citation-1587"/>
    <w:basedOn w:val="Fuentedeprrafopredeter"/>
    <w:rsid w:val="00577A24"/>
  </w:style>
  <w:style w:type="character" w:customStyle="1" w:styleId="citation-1586">
    <w:name w:val="citation-1586"/>
    <w:basedOn w:val="Fuentedeprrafopredeter"/>
    <w:rsid w:val="00577A24"/>
  </w:style>
  <w:style w:type="character" w:customStyle="1" w:styleId="citation-1585">
    <w:name w:val="citation-1585"/>
    <w:basedOn w:val="Fuentedeprrafopredeter"/>
    <w:rsid w:val="00577A24"/>
  </w:style>
  <w:style w:type="character" w:customStyle="1" w:styleId="citation-1584">
    <w:name w:val="citation-1584"/>
    <w:basedOn w:val="Fuentedeprrafopredeter"/>
    <w:rsid w:val="00577A24"/>
  </w:style>
  <w:style w:type="character" w:customStyle="1" w:styleId="citation-1583">
    <w:name w:val="citation-1583"/>
    <w:basedOn w:val="Fuentedeprrafopredeter"/>
    <w:rsid w:val="00577A24"/>
  </w:style>
  <w:style w:type="character" w:customStyle="1" w:styleId="citation-1582">
    <w:name w:val="citation-1582"/>
    <w:basedOn w:val="Fuentedeprrafopredeter"/>
    <w:rsid w:val="00577A24"/>
  </w:style>
  <w:style w:type="character" w:customStyle="1" w:styleId="citation-1581">
    <w:name w:val="citation-1581"/>
    <w:basedOn w:val="Fuentedeprrafopredeter"/>
    <w:rsid w:val="00577A24"/>
  </w:style>
  <w:style w:type="character" w:customStyle="1" w:styleId="citation-1580">
    <w:name w:val="citation-1580"/>
    <w:basedOn w:val="Fuentedeprrafopredeter"/>
    <w:rsid w:val="00577A24"/>
  </w:style>
  <w:style w:type="character" w:customStyle="1" w:styleId="citation-1579">
    <w:name w:val="citation-1579"/>
    <w:basedOn w:val="Fuentedeprrafopredeter"/>
    <w:rsid w:val="00577A24"/>
  </w:style>
  <w:style w:type="character" w:customStyle="1" w:styleId="citation-1578">
    <w:name w:val="citation-1578"/>
    <w:basedOn w:val="Fuentedeprrafopredeter"/>
    <w:rsid w:val="00577A24"/>
  </w:style>
  <w:style w:type="character" w:customStyle="1" w:styleId="citation-1577">
    <w:name w:val="citation-1577"/>
    <w:basedOn w:val="Fuentedeprrafopredeter"/>
    <w:rsid w:val="00577A24"/>
  </w:style>
  <w:style w:type="character" w:customStyle="1" w:styleId="citation-1576">
    <w:name w:val="citation-1576"/>
    <w:basedOn w:val="Fuentedeprrafopredeter"/>
    <w:rsid w:val="00577A24"/>
  </w:style>
  <w:style w:type="character" w:customStyle="1" w:styleId="citation-1575">
    <w:name w:val="citation-1575"/>
    <w:basedOn w:val="Fuentedeprrafopredeter"/>
    <w:rsid w:val="00577A24"/>
  </w:style>
  <w:style w:type="character" w:customStyle="1" w:styleId="citation-1574">
    <w:name w:val="citation-1574"/>
    <w:basedOn w:val="Fuentedeprrafopredeter"/>
    <w:rsid w:val="00577A24"/>
  </w:style>
  <w:style w:type="character" w:customStyle="1" w:styleId="citation-1573">
    <w:name w:val="citation-1573"/>
    <w:basedOn w:val="Fuentedeprrafopredeter"/>
    <w:rsid w:val="00577A24"/>
  </w:style>
  <w:style w:type="character" w:customStyle="1" w:styleId="citation-1572">
    <w:name w:val="citation-1572"/>
    <w:basedOn w:val="Fuentedeprrafopredeter"/>
    <w:rsid w:val="00577A24"/>
  </w:style>
  <w:style w:type="character" w:customStyle="1" w:styleId="citation-1832">
    <w:name w:val="citation-1832"/>
    <w:basedOn w:val="Fuentedeprrafopredeter"/>
    <w:rsid w:val="000A47EC"/>
  </w:style>
  <w:style w:type="character" w:customStyle="1" w:styleId="citation-1831">
    <w:name w:val="citation-1831"/>
    <w:basedOn w:val="Fuentedeprrafopredeter"/>
    <w:rsid w:val="000A47EC"/>
  </w:style>
  <w:style w:type="character" w:customStyle="1" w:styleId="citation-1830">
    <w:name w:val="citation-1830"/>
    <w:basedOn w:val="Fuentedeprrafopredeter"/>
    <w:rsid w:val="000A47EC"/>
  </w:style>
  <w:style w:type="character" w:customStyle="1" w:styleId="citation-1829">
    <w:name w:val="citation-1829"/>
    <w:basedOn w:val="Fuentedeprrafopredeter"/>
    <w:rsid w:val="000A47EC"/>
  </w:style>
  <w:style w:type="character" w:customStyle="1" w:styleId="citation-1828">
    <w:name w:val="citation-1828"/>
    <w:basedOn w:val="Fuentedeprrafopredeter"/>
    <w:rsid w:val="000A47EC"/>
  </w:style>
  <w:style w:type="character" w:customStyle="1" w:styleId="citation-1827">
    <w:name w:val="citation-1827"/>
    <w:basedOn w:val="Fuentedeprrafopredeter"/>
    <w:rsid w:val="000A47EC"/>
  </w:style>
  <w:style w:type="character" w:customStyle="1" w:styleId="citation-1826">
    <w:name w:val="citation-1826"/>
    <w:basedOn w:val="Fuentedeprrafopredeter"/>
    <w:rsid w:val="000A47EC"/>
  </w:style>
  <w:style w:type="character" w:customStyle="1" w:styleId="citation-1825">
    <w:name w:val="citation-1825"/>
    <w:basedOn w:val="Fuentedeprrafopredeter"/>
    <w:rsid w:val="000A47EC"/>
  </w:style>
  <w:style w:type="character" w:customStyle="1" w:styleId="citation-1824">
    <w:name w:val="citation-1824"/>
    <w:basedOn w:val="Fuentedeprrafopredeter"/>
    <w:rsid w:val="000A47EC"/>
  </w:style>
  <w:style w:type="character" w:customStyle="1" w:styleId="citation-1823">
    <w:name w:val="citation-1823"/>
    <w:basedOn w:val="Fuentedeprrafopredeter"/>
    <w:rsid w:val="000A47EC"/>
  </w:style>
  <w:style w:type="character" w:customStyle="1" w:styleId="citation-1822">
    <w:name w:val="citation-1822"/>
    <w:basedOn w:val="Fuentedeprrafopredeter"/>
    <w:rsid w:val="000A47EC"/>
  </w:style>
  <w:style w:type="character" w:customStyle="1" w:styleId="citation-1821">
    <w:name w:val="citation-1821"/>
    <w:basedOn w:val="Fuentedeprrafopredeter"/>
    <w:rsid w:val="000A47EC"/>
  </w:style>
  <w:style w:type="character" w:customStyle="1" w:styleId="citation-1820">
    <w:name w:val="citation-1820"/>
    <w:basedOn w:val="Fuentedeprrafopredeter"/>
    <w:rsid w:val="000A47EC"/>
  </w:style>
  <w:style w:type="character" w:customStyle="1" w:styleId="citation-1819">
    <w:name w:val="citation-1819"/>
    <w:basedOn w:val="Fuentedeprrafopredeter"/>
    <w:rsid w:val="000A47EC"/>
  </w:style>
  <w:style w:type="character" w:customStyle="1" w:styleId="citation-1818">
    <w:name w:val="citation-1818"/>
    <w:basedOn w:val="Fuentedeprrafopredeter"/>
    <w:rsid w:val="000A47EC"/>
  </w:style>
  <w:style w:type="character" w:customStyle="1" w:styleId="citation-1817">
    <w:name w:val="citation-1817"/>
    <w:basedOn w:val="Fuentedeprrafopredeter"/>
    <w:rsid w:val="000A47EC"/>
  </w:style>
  <w:style w:type="character" w:customStyle="1" w:styleId="citation-1816">
    <w:name w:val="citation-1816"/>
    <w:basedOn w:val="Fuentedeprrafopredeter"/>
    <w:rsid w:val="000A47EC"/>
  </w:style>
  <w:style w:type="character" w:customStyle="1" w:styleId="citation-1815">
    <w:name w:val="citation-1815"/>
    <w:basedOn w:val="Fuentedeprrafopredeter"/>
    <w:rsid w:val="000A47EC"/>
  </w:style>
  <w:style w:type="character" w:customStyle="1" w:styleId="citation-1814">
    <w:name w:val="citation-1814"/>
    <w:basedOn w:val="Fuentedeprrafopredeter"/>
    <w:rsid w:val="000A47EC"/>
  </w:style>
  <w:style w:type="character" w:customStyle="1" w:styleId="citation-1813">
    <w:name w:val="citation-1813"/>
    <w:basedOn w:val="Fuentedeprrafopredeter"/>
    <w:rsid w:val="000A47EC"/>
  </w:style>
  <w:style w:type="character" w:customStyle="1" w:styleId="citation-1812">
    <w:name w:val="citation-1812"/>
    <w:basedOn w:val="Fuentedeprrafopredeter"/>
    <w:rsid w:val="000A47EC"/>
  </w:style>
  <w:style w:type="character" w:customStyle="1" w:styleId="citation-1811">
    <w:name w:val="citation-1811"/>
    <w:basedOn w:val="Fuentedeprrafopredeter"/>
    <w:rsid w:val="000A47EC"/>
  </w:style>
  <w:style w:type="character" w:customStyle="1" w:styleId="citation-1810">
    <w:name w:val="citation-1810"/>
    <w:basedOn w:val="Fuentedeprrafopredeter"/>
    <w:rsid w:val="000A47EC"/>
  </w:style>
  <w:style w:type="character" w:customStyle="1" w:styleId="citation-1809">
    <w:name w:val="citation-1809"/>
    <w:basedOn w:val="Fuentedeprrafopredeter"/>
    <w:rsid w:val="000A47EC"/>
  </w:style>
  <w:style w:type="character" w:customStyle="1" w:styleId="citation-1808">
    <w:name w:val="citation-1808"/>
    <w:basedOn w:val="Fuentedeprrafopredeter"/>
    <w:rsid w:val="000A47EC"/>
  </w:style>
  <w:style w:type="character" w:customStyle="1" w:styleId="citation-1807">
    <w:name w:val="citation-1807"/>
    <w:basedOn w:val="Fuentedeprrafopredeter"/>
    <w:rsid w:val="000A47EC"/>
  </w:style>
  <w:style w:type="character" w:customStyle="1" w:styleId="citation-1806">
    <w:name w:val="citation-1806"/>
    <w:basedOn w:val="Fuentedeprrafopredeter"/>
    <w:rsid w:val="000A47EC"/>
  </w:style>
  <w:style w:type="character" w:customStyle="1" w:styleId="citation-1805">
    <w:name w:val="citation-1805"/>
    <w:basedOn w:val="Fuentedeprrafopredeter"/>
    <w:rsid w:val="000A47EC"/>
  </w:style>
  <w:style w:type="character" w:customStyle="1" w:styleId="citation-1804">
    <w:name w:val="citation-1804"/>
    <w:basedOn w:val="Fuentedeprrafopredeter"/>
    <w:rsid w:val="000A4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1458">
      <w:bodyDiv w:val="1"/>
      <w:marLeft w:val="0"/>
      <w:marRight w:val="0"/>
      <w:marTop w:val="0"/>
      <w:marBottom w:val="0"/>
      <w:divBdr>
        <w:top w:val="none" w:sz="0" w:space="0" w:color="auto"/>
        <w:left w:val="none" w:sz="0" w:space="0" w:color="auto"/>
        <w:bottom w:val="none" w:sz="0" w:space="0" w:color="auto"/>
        <w:right w:val="none" w:sz="0" w:space="0" w:color="auto"/>
      </w:divBdr>
    </w:div>
    <w:div w:id="310138233">
      <w:bodyDiv w:val="1"/>
      <w:marLeft w:val="0"/>
      <w:marRight w:val="0"/>
      <w:marTop w:val="0"/>
      <w:marBottom w:val="0"/>
      <w:divBdr>
        <w:top w:val="none" w:sz="0" w:space="0" w:color="auto"/>
        <w:left w:val="none" w:sz="0" w:space="0" w:color="auto"/>
        <w:bottom w:val="none" w:sz="0" w:space="0" w:color="auto"/>
        <w:right w:val="none" w:sz="0" w:space="0" w:color="auto"/>
      </w:divBdr>
    </w:div>
    <w:div w:id="386953721">
      <w:bodyDiv w:val="1"/>
      <w:marLeft w:val="0"/>
      <w:marRight w:val="0"/>
      <w:marTop w:val="0"/>
      <w:marBottom w:val="0"/>
      <w:divBdr>
        <w:top w:val="none" w:sz="0" w:space="0" w:color="auto"/>
        <w:left w:val="none" w:sz="0" w:space="0" w:color="auto"/>
        <w:bottom w:val="none" w:sz="0" w:space="0" w:color="auto"/>
        <w:right w:val="none" w:sz="0" w:space="0" w:color="auto"/>
      </w:divBdr>
    </w:div>
    <w:div w:id="1150515380">
      <w:bodyDiv w:val="1"/>
      <w:marLeft w:val="0"/>
      <w:marRight w:val="0"/>
      <w:marTop w:val="0"/>
      <w:marBottom w:val="0"/>
      <w:divBdr>
        <w:top w:val="none" w:sz="0" w:space="0" w:color="auto"/>
        <w:left w:val="none" w:sz="0" w:space="0" w:color="auto"/>
        <w:bottom w:val="none" w:sz="0" w:space="0" w:color="auto"/>
        <w:right w:val="none" w:sz="0" w:space="0" w:color="auto"/>
      </w:divBdr>
    </w:div>
    <w:div w:id="1179582500">
      <w:bodyDiv w:val="1"/>
      <w:marLeft w:val="0"/>
      <w:marRight w:val="0"/>
      <w:marTop w:val="0"/>
      <w:marBottom w:val="0"/>
      <w:divBdr>
        <w:top w:val="none" w:sz="0" w:space="0" w:color="auto"/>
        <w:left w:val="none" w:sz="0" w:space="0" w:color="auto"/>
        <w:bottom w:val="none" w:sz="0" w:space="0" w:color="auto"/>
        <w:right w:val="none" w:sz="0" w:space="0" w:color="auto"/>
      </w:divBdr>
    </w:div>
    <w:div w:id="127429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bosa\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FE7E93-53CA-4B14-9C1A-30A9CBE51859}">
  <ds:schemaRefs>
    <ds:schemaRef ds:uri="http://schemas.microsoft.com/office/2006/metadata/longProperties"/>
  </ds:schemaRefs>
</ds:datastoreItem>
</file>

<file path=customXml/itemProps2.xml><?xml version="1.0" encoding="utf-8"?>
<ds:datastoreItem xmlns:ds="http://schemas.openxmlformats.org/officeDocument/2006/customXml" ds:itemID="{42231094-78A5-4593-9FA8-559511B038A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DDC7FA38-81D0-4713-99C5-0AEF720AB740}">
  <ds:schemaRefs>
    <ds:schemaRef ds:uri="http://schemas.microsoft.com/sharepoint/events"/>
  </ds:schemaRefs>
</ds:datastoreItem>
</file>

<file path=customXml/itemProps4.xml><?xml version="1.0" encoding="utf-8"?>
<ds:datastoreItem xmlns:ds="http://schemas.openxmlformats.org/officeDocument/2006/customXml" ds:itemID="{70B3198C-6870-4079-84D9-A8AE9196B343}">
  <ds:schemaRefs>
    <ds:schemaRef ds:uri="http://schemas.microsoft.com/sharepoint/v3/contenttype/forms"/>
  </ds:schemaRefs>
</ds:datastoreItem>
</file>

<file path=customXml/itemProps5.xml><?xml version="1.0" encoding="utf-8"?>
<ds:datastoreItem xmlns:ds="http://schemas.openxmlformats.org/officeDocument/2006/customXml" ds:itemID="{E7A1148C-6985-43D1-B88F-13999426D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Medida-v2021</Template>
  <TotalTime>29</TotalTime>
  <Pages>6</Pages>
  <Words>2007</Words>
  <Characters>11441</Characters>
  <Application>Microsoft Office Word</Application>
  <DocSecurity>0</DocSecurity>
  <Lines>95</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Miguel Oppenheimer</dc:creator>
  <cp:keywords>Angel Morey</cp:keywords>
  <dc:description/>
  <cp:lastModifiedBy>Rocío Alayón Morell</cp:lastModifiedBy>
  <cp:revision>6</cp:revision>
  <cp:lastPrinted>2026-04-16T00:56:00Z</cp:lastPrinted>
  <dcterms:created xsi:type="dcterms:W3CDTF">2026-04-21T19:23:00Z</dcterms:created>
  <dcterms:modified xsi:type="dcterms:W3CDTF">2026-04-22T12:24:00Z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4SQX5P7U7WPY-958212181-816417</vt:lpwstr>
  </property>
  <property fmtid="{D5CDD505-2E9C-101B-9397-08002B2CF9AE}" pid="3" name="_dlc_DocIdItemGuid">
    <vt:lpwstr>88fe0dfd-538b-4db4-a85a-121b402bc7b9</vt:lpwstr>
  </property>
  <property fmtid="{D5CDD505-2E9C-101B-9397-08002B2CF9AE}" pid="4" name="_dlc_DocIdUrl">
    <vt:lpwstr>https://senpr.sharepoint.com/sites/obralegislativa/_layouts/15/DocIdRedir.aspx?ID=4SQX5P7U7WPY-958212181-816417, 4SQX5P7U7WPY-958212181-816417</vt:lpwstr>
  </property>
</Properties>
</file>