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7223F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287FA095" w:rsidR="007223FC" w:rsidRPr="00122BEC" w:rsidRDefault="00C24E41" w:rsidP="00C24E4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122BEC">
        <w:rPr>
          <w:rFonts w:ascii="Book Antiqua" w:hAnsi="Book Antiqua"/>
          <w:lang w:val="es-PR"/>
        </w:rPr>
        <w:t>20ma.</w:t>
      </w:r>
      <w:r w:rsidR="007223FC" w:rsidRPr="00122BEC">
        <w:rPr>
          <w:rFonts w:ascii="Book Antiqua" w:hAnsi="Book Antiqua"/>
          <w:lang w:val="es-PR"/>
        </w:rPr>
        <w:tab/>
        <w:t>Asamblea</w:t>
      </w:r>
      <w:r w:rsidR="007223FC" w:rsidRPr="00122BEC">
        <w:rPr>
          <w:rFonts w:ascii="Book Antiqua" w:hAnsi="Book Antiqua"/>
          <w:lang w:val="es-PR"/>
        </w:rPr>
        <w:tab/>
      </w:r>
      <w:r w:rsidRPr="00122BEC">
        <w:rPr>
          <w:rFonts w:ascii="Book Antiqua" w:hAnsi="Book Antiqua"/>
          <w:lang w:val="es-PR"/>
        </w:rPr>
        <w:tab/>
      </w:r>
      <w:r w:rsidRPr="00122BEC">
        <w:rPr>
          <w:rFonts w:ascii="Book Antiqua" w:hAnsi="Book Antiqua"/>
          <w:lang w:val="es-PR"/>
        </w:rPr>
        <w:tab/>
      </w:r>
      <w:r w:rsidRPr="00122BEC">
        <w:rPr>
          <w:rFonts w:ascii="Book Antiqua" w:hAnsi="Book Antiqua"/>
          <w:lang w:val="es-PR"/>
        </w:rPr>
        <w:tab/>
      </w:r>
      <w:r w:rsidRPr="00122BEC">
        <w:rPr>
          <w:rFonts w:ascii="Book Antiqua" w:hAnsi="Book Antiqua"/>
          <w:lang w:val="es-PR"/>
        </w:rPr>
        <w:tab/>
      </w:r>
      <w:r w:rsidRPr="00122BEC">
        <w:rPr>
          <w:rFonts w:ascii="Book Antiqua" w:hAnsi="Book Antiqua"/>
          <w:lang w:val="es-PR"/>
        </w:rPr>
        <w:tab/>
      </w:r>
      <w:r w:rsidRPr="00122BEC">
        <w:rPr>
          <w:rFonts w:ascii="Book Antiqua" w:hAnsi="Book Antiqua"/>
          <w:lang w:val="es-PR"/>
        </w:rPr>
        <w:tab/>
      </w:r>
      <w:r w:rsidRPr="00122BEC">
        <w:rPr>
          <w:rFonts w:ascii="Book Antiqua" w:hAnsi="Book Antiqua"/>
          <w:lang w:val="es-PR"/>
        </w:rPr>
        <w:tab/>
        <w:t xml:space="preserve">     3ra. </w:t>
      </w:r>
      <w:r w:rsidR="007223FC" w:rsidRPr="00122BEC">
        <w:rPr>
          <w:rFonts w:ascii="Book Antiqua" w:hAnsi="Book Antiqua"/>
          <w:lang w:val="es-PR"/>
        </w:rPr>
        <w:t>Sesión</w:t>
      </w:r>
    </w:p>
    <w:p w14:paraId="6119718E" w14:textId="7DFB8339" w:rsidR="007223FC" w:rsidRPr="00122BEC" w:rsidRDefault="007223FC" w:rsidP="00C24E4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122BEC">
        <w:rPr>
          <w:rFonts w:ascii="Book Antiqua" w:hAnsi="Book Antiqua"/>
          <w:lang w:val="es-PR"/>
        </w:rPr>
        <w:tab/>
        <w:t>Legislativa</w:t>
      </w:r>
      <w:r w:rsidRPr="00122BEC">
        <w:rPr>
          <w:rFonts w:ascii="Book Antiqua" w:hAnsi="Book Antiqua"/>
          <w:lang w:val="es-PR"/>
        </w:rPr>
        <w:tab/>
      </w:r>
      <w:r w:rsidRPr="00122BEC">
        <w:rPr>
          <w:rFonts w:ascii="Book Antiqua" w:hAnsi="Book Antiqua"/>
          <w:lang w:val="es-PR"/>
        </w:rPr>
        <w:tab/>
      </w:r>
      <w:r w:rsidR="00C24E41" w:rsidRPr="00122BEC">
        <w:rPr>
          <w:rFonts w:ascii="Book Antiqua" w:hAnsi="Book Antiqua"/>
          <w:lang w:val="es-PR"/>
        </w:rPr>
        <w:tab/>
      </w:r>
      <w:r w:rsidR="00C24E41" w:rsidRPr="00122BEC">
        <w:rPr>
          <w:rFonts w:ascii="Book Antiqua" w:hAnsi="Book Antiqua"/>
          <w:lang w:val="es-PR"/>
        </w:rPr>
        <w:tab/>
      </w:r>
      <w:r w:rsidR="00C24E41" w:rsidRPr="00122BEC">
        <w:rPr>
          <w:rFonts w:ascii="Book Antiqua" w:hAnsi="Book Antiqua"/>
          <w:lang w:val="es-PR"/>
        </w:rPr>
        <w:tab/>
      </w:r>
      <w:r w:rsidR="00C24E41" w:rsidRPr="00122BEC">
        <w:rPr>
          <w:rFonts w:ascii="Book Antiqua" w:hAnsi="Book Antiqua"/>
          <w:lang w:val="es-PR"/>
        </w:rPr>
        <w:tab/>
      </w:r>
      <w:r w:rsidR="00C24E41" w:rsidRPr="00122BEC">
        <w:rPr>
          <w:rFonts w:ascii="Book Antiqua" w:hAnsi="Book Antiqua"/>
          <w:lang w:val="es-PR"/>
        </w:rPr>
        <w:tab/>
      </w:r>
      <w:r w:rsidR="00C24E41" w:rsidRPr="00122BEC">
        <w:rPr>
          <w:rFonts w:ascii="Book Antiqua" w:hAnsi="Book Antiqua"/>
          <w:lang w:val="es-PR"/>
        </w:rPr>
        <w:tab/>
      </w:r>
      <w:r w:rsidR="00C24E41" w:rsidRPr="00122BEC">
        <w:rPr>
          <w:rFonts w:ascii="Book Antiqua" w:hAnsi="Book Antiqua"/>
          <w:lang w:val="es-PR"/>
        </w:rPr>
        <w:tab/>
      </w:r>
      <w:r w:rsidRPr="00122BEC">
        <w:rPr>
          <w:rFonts w:ascii="Book Antiqua" w:hAnsi="Book Antiqua"/>
          <w:lang w:val="es-PR"/>
        </w:rPr>
        <w:t>Ordinaria</w:t>
      </w:r>
    </w:p>
    <w:p w14:paraId="2826346C" w14:textId="77777777" w:rsidR="007223FC" w:rsidRPr="00122BEC" w:rsidRDefault="007223FC" w:rsidP="00C24E41">
      <w:pPr>
        <w:rPr>
          <w:rFonts w:ascii="Book Antiqua" w:hAnsi="Book Antiqua"/>
          <w:lang w:val="es-PR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4DD7A5FE" w:rsidR="007223FC" w:rsidRDefault="007223FC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D20D52">
        <w:rPr>
          <w:rFonts w:ascii="Book Antiqua" w:hAnsi="Book Antiqua"/>
          <w:b/>
          <w:sz w:val="52"/>
          <w:lang w:val="es-ES_tradnl"/>
        </w:rPr>
        <w:t xml:space="preserve"> 680</w:t>
      </w:r>
    </w:p>
    <w:p w14:paraId="4FB5DD3D" w14:textId="6974E6E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784717E9" w:rsidR="007223FC" w:rsidRDefault="002171CA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22 </w:t>
      </w:r>
      <w:r w:rsidR="00E03207">
        <w:rPr>
          <w:rFonts w:ascii="Book Antiqua" w:hAnsi="Book Antiqua"/>
          <w:lang w:val="es-ES_tradnl"/>
        </w:rPr>
        <w:t xml:space="preserve">DE </w:t>
      </w:r>
      <w:r w:rsidR="0041111D">
        <w:rPr>
          <w:rFonts w:ascii="Book Antiqua" w:hAnsi="Book Antiqua"/>
          <w:lang w:val="es-ES_tradnl"/>
        </w:rPr>
        <w:t>ABRIL</w:t>
      </w:r>
      <w:r w:rsidR="001D6647">
        <w:rPr>
          <w:rFonts w:ascii="Book Antiqua" w:hAnsi="Book Antiqua"/>
          <w:lang w:val="es-ES_tradnl"/>
        </w:rPr>
        <w:t xml:space="preserve"> </w:t>
      </w:r>
      <w:r w:rsidR="007223FC">
        <w:rPr>
          <w:rFonts w:ascii="Book Antiqua" w:hAnsi="Book Antiqua"/>
          <w:lang w:val="es-ES_tradnl"/>
        </w:rPr>
        <w:t>DE 202</w:t>
      </w:r>
      <w:r w:rsidR="001C42D4">
        <w:rPr>
          <w:rFonts w:ascii="Book Antiqua" w:hAnsi="Book Antiqua"/>
          <w:lang w:val="es-ES_tradnl"/>
        </w:rPr>
        <w:t>6</w:t>
      </w:r>
    </w:p>
    <w:p w14:paraId="1DA12E69" w14:textId="77777777" w:rsidR="002E59C0" w:rsidRPr="000369FF" w:rsidRDefault="002E59C0" w:rsidP="002E59C0">
      <w:pPr>
        <w:jc w:val="center"/>
        <w:rPr>
          <w:rFonts w:ascii="Book Antiqua" w:hAnsi="Book Antiqua"/>
          <w:lang w:val="es-ES_tradnl"/>
        </w:rPr>
      </w:pPr>
    </w:p>
    <w:p w14:paraId="4B7E216D" w14:textId="2EF81C9F" w:rsidR="002E59C0" w:rsidRPr="00C338B0" w:rsidRDefault="002E59C0" w:rsidP="0041111D">
      <w:pPr>
        <w:ind w:left="810" w:hanging="900"/>
        <w:jc w:val="center"/>
        <w:rPr>
          <w:rFonts w:ascii="Book Antiqua" w:hAnsi="Book Antiqua"/>
          <w:i/>
          <w:iCs/>
          <w:lang w:val="es-ES"/>
        </w:rPr>
      </w:pPr>
      <w:r w:rsidRPr="000369FF">
        <w:rPr>
          <w:rFonts w:ascii="Book Antiqua" w:hAnsi="Book Antiqua"/>
          <w:lang w:val="es-ES_tradnl"/>
        </w:rPr>
        <w:t>Presentad</w:t>
      </w:r>
      <w:r>
        <w:rPr>
          <w:rFonts w:ascii="Book Antiqua" w:hAnsi="Book Antiqua"/>
          <w:lang w:val="es-ES_tradnl"/>
        </w:rPr>
        <w:t>a</w:t>
      </w:r>
      <w:r w:rsidRPr="000369FF">
        <w:rPr>
          <w:rFonts w:ascii="Book Antiqua" w:hAnsi="Book Antiqua"/>
          <w:lang w:val="es-ES_tradnl"/>
        </w:rPr>
        <w:t xml:space="preserve"> por </w:t>
      </w:r>
      <w:r w:rsidR="0041111D">
        <w:rPr>
          <w:rFonts w:ascii="Book Antiqua" w:hAnsi="Book Antiqua"/>
          <w:lang w:val="es-ES_tradnl"/>
        </w:rPr>
        <w:t>el</w:t>
      </w:r>
      <w:r w:rsidRPr="00460923">
        <w:rPr>
          <w:rFonts w:ascii="Book Antiqua" w:hAnsi="Book Antiqua"/>
          <w:lang w:val="es-ES_tradnl"/>
        </w:rPr>
        <w:t xml:space="preserve"> representante </w:t>
      </w:r>
      <w:r w:rsidRPr="00460923">
        <w:rPr>
          <w:rFonts w:ascii="Book Antiqua" w:hAnsi="Book Antiqua"/>
          <w:i/>
          <w:iCs/>
          <w:lang w:val="es-ES"/>
        </w:rPr>
        <w:t>Ferrer Santiago</w:t>
      </w:r>
    </w:p>
    <w:p w14:paraId="6B41298E" w14:textId="77777777" w:rsidR="001E0D88" w:rsidRPr="002E59C0" w:rsidRDefault="001E0D88" w:rsidP="00D2391F">
      <w:pPr>
        <w:rPr>
          <w:rFonts w:ascii="Book Antiqua" w:hAnsi="Book Antiqua"/>
          <w:lang w:val="es-ES"/>
        </w:rPr>
      </w:pPr>
    </w:p>
    <w:p w14:paraId="7E5306B6" w14:textId="6B977335" w:rsidR="00657554" w:rsidRDefault="00657554" w:rsidP="006575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122BEC">
        <w:rPr>
          <w:rFonts w:ascii="Book Antiqua" w:hAnsi="Book Antiqua"/>
          <w:lang w:val="es-ES_tradnl"/>
        </w:rPr>
        <w:t xml:space="preserve"> la Comisión de Asuntos Internos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1E0D8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3B9E6B45" w14:textId="2FD79931" w:rsidR="00152A06" w:rsidRPr="00243CC2" w:rsidRDefault="00FD2623" w:rsidP="00122BEC">
      <w:pPr>
        <w:ind w:left="720" w:hanging="720"/>
        <w:jc w:val="both"/>
        <w:rPr>
          <w:rFonts w:ascii="Book Antiqua" w:hAnsi="Book Antiqua"/>
          <w:lang w:val="es-PR"/>
        </w:rPr>
      </w:pPr>
      <w:r w:rsidRPr="00FD2623">
        <w:rPr>
          <w:rFonts w:ascii="Book Antiqua" w:hAnsi="Book Antiqua"/>
          <w:lang w:val="es-ES_tradnl"/>
        </w:rPr>
        <w:t xml:space="preserve">Para </w:t>
      </w:r>
      <w:r w:rsidR="00243CC2" w:rsidRPr="002248C4">
        <w:rPr>
          <w:rFonts w:ascii="Book Antiqua" w:hAnsi="Book Antiqua"/>
          <w:lang w:val="es-PR"/>
        </w:rPr>
        <w:t>ordenar a la Comisión de Gobierno de la Cámara de Representantes que realice una investigación sobre la administración, operación y funcionamiento de la Oficina del Contralor de Puerto Rico</w:t>
      </w:r>
      <w:r w:rsidR="00BC0B34">
        <w:rPr>
          <w:rFonts w:ascii="Book Antiqua" w:hAnsi="Book Antiqua"/>
          <w:lang w:val="es-PR"/>
        </w:rPr>
        <w:t xml:space="preserve"> (OCPR)</w:t>
      </w:r>
      <w:r w:rsidR="00243CC2" w:rsidRPr="002248C4">
        <w:rPr>
          <w:rFonts w:ascii="Book Antiqua" w:hAnsi="Book Antiqua"/>
          <w:lang w:val="es-PR"/>
        </w:rPr>
        <w:t>, incluyendo, pero sin limitarse</w:t>
      </w:r>
      <w:r w:rsidR="00BA6AB1">
        <w:rPr>
          <w:rFonts w:ascii="Book Antiqua" w:hAnsi="Book Antiqua"/>
          <w:lang w:val="es-PR"/>
        </w:rPr>
        <w:t>,</w:t>
      </w:r>
      <w:r w:rsidR="004A24D4">
        <w:rPr>
          <w:rFonts w:ascii="Book Antiqua" w:hAnsi="Book Antiqua"/>
          <w:lang w:val="es-PR"/>
        </w:rPr>
        <w:t xml:space="preserve"> </w:t>
      </w:r>
      <w:r w:rsidR="00243CC2" w:rsidRPr="002248C4">
        <w:rPr>
          <w:rFonts w:ascii="Book Antiqua" w:hAnsi="Book Antiqua"/>
          <w:lang w:val="es-PR"/>
        </w:rPr>
        <w:t>a la contratación y remoción de personal de confianza o de carrera, solicitud y autorización de empleados en destaque, eliminación o creación de nuevas plazas, reubicación de empleados, degradaciones de puestos,</w:t>
      </w:r>
      <w:r w:rsidR="00BC0B34" w:rsidRPr="00BC0B34">
        <w:rPr>
          <w:rFonts w:ascii="Book Antiqua" w:hAnsi="Book Antiqua"/>
          <w:lang w:val="es-PR"/>
        </w:rPr>
        <w:t xml:space="preserve"> </w:t>
      </w:r>
      <w:r w:rsidR="00BC0B34">
        <w:rPr>
          <w:rFonts w:ascii="Book Antiqua" w:hAnsi="Book Antiqua"/>
          <w:lang w:val="es-PR"/>
        </w:rPr>
        <w:t>nómina de empleados regulares y de confianza, pago de diferenciales, estatus</w:t>
      </w:r>
      <w:r w:rsidR="00243CC2" w:rsidRPr="002248C4">
        <w:rPr>
          <w:rFonts w:ascii="Book Antiqua" w:hAnsi="Book Antiqua"/>
          <w:lang w:val="es-PR"/>
        </w:rPr>
        <w:t xml:space="preserve"> </w:t>
      </w:r>
      <w:r w:rsidR="00761BAD">
        <w:rPr>
          <w:rFonts w:ascii="Book Antiqua" w:hAnsi="Book Antiqua"/>
          <w:lang w:val="es-PR"/>
        </w:rPr>
        <w:t xml:space="preserve">de </w:t>
      </w:r>
      <w:r w:rsidR="00243CC2" w:rsidRPr="002248C4">
        <w:rPr>
          <w:rFonts w:ascii="Book Antiqua" w:hAnsi="Book Antiqua"/>
          <w:lang w:val="es-PR"/>
        </w:rPr>
        <w:t xml:space="preserve">toda querella o reclamo ante la Junta de Apelaciones de la </w:t>
      </w:r>
      <w:r w:rsidR="00BC0B34">
        <w:rPr>
          <w:rFonts w:ascii="Book Antiqua" w:hAnsi="Book Antiqua"/>
          <w:lang w:val="es-PR"/>
        </w:rPr>
        <w:t>OCPR</w:t>
      </w:r>
      <w:r w:rsidR="00243CC2" w:rsidRPr="002248C4">
        <w:rPr>
          <w:rFonts w:ascii="Book Antiqua" w:hAnsi="Book Antiqua"/>
          <w:lang w:val="es-PR"/>
        </w:rPr>
        <w:t>, enmiendas o derogaciones de cualquier reglamento interno, contratación de servicios profesionales, adquisición de bienes muebles e inmuebles, arrendamiento o compraventa de propiedades,</w:t>
      </w:r>
      <w:r w:rsidR="00BC0B34">
        <w:rPr>
          <w:rFonts w:ascii="Book Antiqua" w:hAnsi="Book Antiqua"/>
          <w:lang w:val="es-PR"/>
        </w:rPr>
        <w:t xml:space="preserve"> </w:t>
      </w:r>
      <w:r w:rsidR="00BC0B34" w:rsidRPr="002248C4">
        <w:rPr>
          <w:rFonts w:ascii="Book Antiqua" w:hAnsi="Book Antiqua"/>
          <w:lang w:val="es-PR"/>
        </w:rPr>
        <w:t>manejo</w:t>
      </w:r>
      <w:r w:rsidR="00BC0B34">
        <w:rPr>
          <w:rFonts w:ascii="Book Antiqua" w:hAnsi="Book Antiqua"/>
          <w:lang w:val="es-PR"/>
        </w:rPr>
        <w:t xml:space="preserve"> </w:t>
      </w:r>
      <w:r w:rsidR="00243CC2" w:rsidRPr="002248C4">
        <w:rPr>
          <w:rFonts w:ascii="Book Antiqua" w:hAnsi="Book Antiqua"/>
          <w:lang w:val="es-PR"/>
        </w:rPr>
        <w:t xml:space="preserve">de presupuesto, así como cualquier otro asunto que implique erogación o </w:t>
      </w:r>
      <w:r w:rsidR="00BE0CD3">
        <w:rPr>
          <w:rFonts w:ascii="Book Antiqua" w:hAnsi="Book Antiqua"/>
          <w:lang w:val="es-PR"/>
        </w:rPr>
        <w:t>uso</w:t>
      </w:r>
      <w:r w:rsidR="00243CC2" w:rsidRPr="002248C4">
        <w:rPr>
          <w:rFonts w:ascii="Book Antiqua" w:hAnsi="Book Antiqua"/>
          <w:lang w:val="es-PR"/>
        </w:rPr>
        <w:t xml:space="preserve"> de fondos públicos; y para otros fines relacionados.</w:t>
      </w:r>
      <w:r w:rsidR="00BC0B34">
        <w:rPr>
          <w:rFonts w:ascii="Book Antiqua" w:hAnsi="Book Antiqua"/>
          <w:lang w:val="es-PR"/>
        </w:rPr>
        <w:t xml:space="preserve"> </w:t>
      </w:r>
    </w:p>
    <w:p w14:paraId="29EEABA2" w14:textId="77777777" w:rsidR="00B92475" w:rsidRPr="00F73338" w:rsidRDefault="00B92475" w:rsidP="001E0D88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4D42232" w14:textId="0A36AA94" w:rsidR="00BB3E3C" w:rsidRDefault="007223FC" w:rsidP="00C64D1E">
      <w:pPr>
        <w:jc w:val="center"/>
        <w:rPr>
          <w:rFonts w:ascii="Book Antiqua" w:hAnsi="Book Antiqua"/>
          <w:lang w:val="es-ES_tradnl"/>
        </w:rPr>
      </w:pPr>
      <w:r w:rsidRPr="00F73338">
        <w:rPr>
          <w:rFonts w:ascii="Book Antiqua" w:hAnsi="Book Antiqua"/>
          <w:lang w:val="es-ES_tradnl"/>
        </w:rPr>
        <w:t>EXPOSICIÓN DE MOTIVOS</w:t>
      </w:r>
    </w:p>
    <w:p w14:paraId="4CC58073" w14:textId="0511C56F" w:rsidR="00C64D1E" w:rsidRDefault="00C64D1E" w:rsidP="00C64D1E">
      <w:pPr>
        <w:jc w:val="center"/>
        <w:rPr>
          <w:rFonts w:ascii="Book Antiqua" w:hAnsi="Book Antiqua"/>
          <w:lang w:val="es-ES_tradnl"/>
        </w:rPr>
      </w:pPr>
    </w:p>
    <w:p w14:paraId="7AA2B4BE" w14:textId="77777777" w:rsidR="00243CC2" w:rsidRDefault="00C64D1E" w:rsidP="00243CC2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243CC2">
        <w:rPr>
          <w:rFonts w:ascii="Book Antiqua" w:hAnsi="Book Antiqua"/>
          <w:lang w:val="es-ES_tradnl"/>
        </w:rPr>
        <w:t xml:space="preserve">La Constitución del Estado Libre Asociado de Puerto Rico, en su Artículo 3, Sección 22, estableció el cargo de Contralor, </w:t>
      </w:r>
      <w:r w:rsidR="00243CC2" w:rsidRPr="009F0C06">
        <w:rPr>
          <w:rFonts w:ascii="Book Antiqua" w:hAnsi="Book Antiqua"/>
          <w:lang w:val="es-ES_tradnl"/>
        </w:rPr>
        <w:t>qu</w:t>
      </w:r>
      <w:r w:rsidR="00243CC2">
        <w:rPr>
          <w:rFonts w:ascii="Book Antiqua" w:hAnsi="Book Antiqua"/>
          <w:lang w:val="es-ES_tradnl"/>
        </w:rPr>
        <w:t xml:space="preserve">e es nombrado </w:t>
      </w:r>
      <w:r w:rsidR="00243CC2" w:rsidRPr="009F0C06">
        <w:rPr>
          <w:rFonts w:ascii="Book Antiqua" w:hAnsi="Book Antiqua"/>
          <w:lang w:val="es-ES_tradnl"/>
        </w:rPr>
        <w:t xml:space="preserve">por el </w:t>
      </w:r>
      <w:r w:rsidR="00243CC2">
        <w:rPr>
          <w:rFonts w:ascii="Book Antiqua" w:hAnsi="Book Antiqua"/>
          <w:lang w:val="es-ES_tradnl"/>
        </w:rPr>
        <w:t>g</w:t>
      </w:r>
      <w:r w:rsidR="00243CC2" w:rsidRPr="009F0C06">
        <w:rPr>
          <w:rFonts w:ascii="Book Antiqua" w:hAnsi="Book Antiqua"/>
          <w:lang w:val="es-ES_tradnl"/>
        </w:rPr>
        <w:t>obernador</w:t>
      </w:r>
      <w:r w:rsidR="00243CC2">
        <w:rPr>
          <w:rFonts w:ascii="Book Antiqua" w:hAnsi="Book Antiqua"/>
          <w:lang w:val="es-ES_tradnl"/>
        </w:rPr>
        <w:t xml:space="preserve"> o gobernadora </w:t>
      </w:r>
      <w:r w:rsidR="00243CC2" w:rsidRPr="009F0C06">
        <w:rPr>
          <w:rFonts w:ascii="Book Antiqua" w:hAnsi="Book Antiqua"/>
          <w:lang w:val="es-ES_tradnl"/>
        </w:rPr>
        <w:t>con el consejo</w:t>
      </w:r>
      <w:r w:rsidR="00243CC2">
        <w:rPr>
          <w:rFonts w:ascii="Book Antiqua" w:hAnsi="Book Antiqua"/>
          <w:lang w:val="es-ES_tradnl"/>
        </w:rPr>
        <w:t xml:space="preserve"> </w:t>
      </w:r>
      <w:r w:rsidR="00243CC2" w:rsidRPr="009F0C06">
        <w:rPr>
          <w:rFonts w:ascii="Book Antiqua" w:hAnsi="Book Antiqua"/>
          <w:lang w:val="es-ES_tradnl"/>
        </w:rPr>
        <w:t>y</w:t>
      </w:r>
      <w:r w:rsidR="00243CC2">
        <w:rPr>
          <w:rFonts w:ascii="Book Antiqua" w:hAnsi="Book Antiqua"/>
          <w:lang w:val="es-ES_tradnl"/>
        </w:rPr>
        <w:t xml:space="preserve"> </w:t>
      </w:r>
      <w:r w:rsidR="00243CC2" w:rsidRPr="009F0C06">
        <w:rPr>
          <w:rFonts w:ascii="Book Antiqua" w:hAnsi="Book Antiqua"/>
          <w:lang w:val="es-ES_tradnl"/>
        </w:rPr>
        <w:t xml:space="preserve">consentimiento </w:t>
      </w:r>
      <w:r w:rsidR="00243CC2">
        <w:rPr>
          <w:rFonts w:ascii="Book Antiqua" w:hAnsi="Book Antiqua"/>
          <w:lang w:val="es-ES_tradnl"/>
        </w:rPr>
        <w:t xml:space="preserve">de la Cámara de Representantes y el Senado de Puerto Rico por un término de diez (10) años, </w:t>
      </w:r>
      <w:r w:rsidR="00243CC2" w:rsidRPr="009F0C06">
        <w:rPr>
          <w:rFonts w:ascii="Book Antiqua" w:hAnsi="Book Antiqua"/>
          <w:lang w:val="es-ES_tradnl"/>
        </w:rPr>
        <w:t>y hasta que su sucesor sea nombrado y tome posesión.</w:t>
      </w:r>
      <w:r w:rsidR="00243CC2">
        <w:rPr>
          <w:rFonts w:ascii="Book Antiqua" w:hAnsi="Book Antiqua"/>
          <w:lang w:val="es-ES_tradnl"/>
        </w:rPr>
        <w:t xml:space="preserve"> </w:t>
      </w:r>
    </w:p>
    <w:p w14:paraId="4EFCE791" w14:textId="77777777" w:rsidR="00243CC2" w:rsidRDefault="00243CC2" w:rsidP="00243CC2">
      <w:pPr>
        <w:ind w:firstLine="360"/>
        <w:jc w:val="both"/>
        <w:rPr>
          <w:rFonts w:ascii="Book Antiqua" w:hAnsi="Book Antiqua"/>
          <w:lang w:val="es-ES_tradnl"/>
        </w:rPr>
      </w:pPr>
    </w:p>
    <w:p w14:paraId="574C79F8" w14:textId="77777777" w:rsidR="00243CC2" w:rsidRDefault="00243CC2" w:rsidP="00243CC2">
      <w:pPr>
        <w:ind w:firstLine="360"/>
        <w:jc w:val="both"/>
        <w:rPr>
          <w:rFonts w:ascii="Book Antiqua" w:hAnsi="Book Antiqua"/>
          <w:lang w:val="es-PR"/>
        </w:rPr>
      </w:pPr>
      <w:r w:rsidRPr="009F0C06">
        <w:rPr>
          <w:rFonts w:ascii="Book Antiqua" w:hAnsi="Book Antiqua"/>
          <w:lang w:val="es-PR"/>
        </w:rPr>
        <w:t xml:space="preserve">Nuestra Constitución establece, además, que “[e]l Contralor fiscalizará todos los ingresos, cuentas y desembolsos del Estado, de sus agencias e instrumentalidades y de los municipios, para determinar si se han hecho de acuerdo con la ley. Rendirá informes </w:t>
      </w:r>
      <w:r w:rsidRPr="009F0C06">
        <w:rPr>
          <w:rFonts w:ascii="Book Antiqua" w:hAnsi="Book Antiqua"/>
          <w:lang w:val="es-PR"/>
        </w:rPr>
        <w:lastRenderedPageBreak/>
        <w:t>anuales y</w:t>
      </w:r>
      <w:r w:rsidRPr="009F0C06">
        <w:rPr>
          <w:lang w:val="es-PR"/>
        </w:rPr>
        <w:t xml:space="preserve"> </w:t>
      </w:r>
      <w:r w:rsidRPr="009F0C06">
        <w:rPr>
          <w:rFonts w:ascii="Book Antiqua" w:hAnsi="Book Antiqua"/>
          <w:lang w:val="es-PR"/>
        </w:rPr>
        <w:t>todos aquellos informes especiales que le sean requeridos por la Asamblea Legislativa o el Gobernador</w:t>
      </w:r>
      <w:r>
        <w:rPr>
          <w:rFonts w:ascii="Book Antiqua" w:hAnsi="Book Antiqua"/>
          <w:lang w:val="es-PR"/>
        </w:rPr>
        <w:t>”</w:t>
      </w:r>
      <w:r w:rsidRPr="009F0C06">
        <w:rPr>
          <w:rFonts w:ascii="Book Antiqua" w:hAnsi="Book Antiqua"/>
          <w:lang w:val="es-PR"/>
        </w:rPr>
        <w:t>.</w:t>
      </w:r>
    </w:p>
    <w:p w14:paraId="2BF00632" w14:textId="77777777" w:rsidR="00243CC2" w:rsidRDefault="00243CC2" w:rsidP="00243CC2">
      <w:pPr>
        <w:ind w:firstLine="360"/>
        <w:jc w:val="both"/>
        <w:rPr>
          <w:rFonts w:ascii="Book Antiqua" w:hAnsi="Book Antiqua"/>
          <w:lang w:val="es-PR"/>
        </w:rPr>
      </w:pPr>
    </w:p>
    <w:p w14:paraId="55184428" w14:textId="6A9E1B33" w:rsidR="00243CC2" w:rsidRDefault="004A74A8" w:rsidP="00243CC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La</w:t>
      </w:r>
      <w:r w:rsidR="00243CC2" w:rsidRPr="009F0C06">
        <w:rPr>
          <w:rFonts w:ascii="Book Antiqua" w:hAnsi="Book Antiqua"/>
          <w:lang w:val="es-PR"/>
        </w:rPr>
        <w:t xml:space="preserve"> Ley Núm. 9 de 24 de </w:t>
      </w:r>
      <w:r w:rsidR="00243CC2">
        <w:rPr>
          <w:rFonts w:ascii="Book Antiqua" w:hAnsi="Book Antiqua"/>
          <w:lang w:val="es-PR"/>
        </w:rPr>
        <w:t>j</w:t>
      </w:r>
      <w:r w:rsidR="00243CC2" w:rsidRPr="009F0C06">
        <w:rPr>
          <w:rFonts w:ascii="Book Antiqua" w:hAnsi="Book Antiqua"/>
          <w:lang w:val="es-PR"/>
        </w:rPr>
        <w:t>ulio de 1952, según enmendada</w:t>
      </w:r>
      <w:r w:rsidR="00243CC2">
        <w:rPr>
          <w:rFonts w:ascii="Book Antiqua" w:hAnsi="Book Antiqua"/>
          <w:lang w:val="es-PR"/>
        </w:rPr>
        <w:t>, conocida como “</w:t>
      </w:r>
      <w:r w:rsidR="00243CC2" w:rsidRPr="009F0C06">
        <w:rPr>
          <w:rFonts w:ascii="Book Antiqua" w:hAnsi="Book Antiqua"/>
          <w:lang w:val="es-PR"/>
        </w:rPr>
        <w:t>Ley de la Oficina del Contralor del Estado Libre Asociado de Puerto Rico</w:t>
      </w:r>
      <w:r w:rsidR="00243CC2">
        <w:rPr>
          <w:rFonts w:ascii="Book Antiqua" w:hAnsi="Book Antiqua"/>
          <w:lang w:val="es-PR"/>
        </w:rPr>
        <w:t xml:space="preserve">”, es la ley orgánica que, por mandato constitucional, habilita la creación y regula el funcionamiento de esta entidad. En el Artículo 1 de dicha ley, se establece que el Contralor “será responsable </w:t>
      </w:r>
      <w:r w:rsidR="00243CC2" w:rsidRPr="009F0C06">
        <w:rPr>
          <w:rFonts w:ascii="Book Antiqua" w:hAnsi="Book Antiqua"/>
          <w:lang w:val="es-PR"/>
        </w:rPr>
        <w:t>principalmente a la Asamblea Legislativa</w:t>
      </w:r>
      <w:r w:rsidR="00243CC2">
        <w:rPr>
          <w:rFonts w:ascii="Book Antiqua" w:hAnsi="Book Antiqua"/>
          <w:lang w:val="es-PR"/>
        </w:rPr>
        <w:t>”</w:t>
      </w:r>
      <w:r w:rsidR="00243CC2" w:rsidRPr="009F0C06">
        <w:rPr>
          <w:rFonts w:ascii="Book Antiqua" w:hAnsi="Book Antiqua"/>
          <w:lang w:val="es-PR"/>
        </w:rPr>
        <w:t>.</w:t>
      </w:r>
    </w:p>
    <w:p w14:paraId="6FFE1437" w14:textId="77777777" w:rsidR="00BE5E80" w:rsidRDefault="00BE5E80" w:rsidP="00243CC2">
      <w:pPr>
        <w:ind w:firstLine="360"/>
        <w:jc w:val="both"/>
        <w:rPr>
          <w:rFonts w:ascii="Book Antiqua" w:hAnsi="Book Antiqua"/>
          <w:lang w:val="es-PR"/>
        </w:rPr>
      </w:pPr>
    </w:p>
    <w:p w14:paraId="669F522D" w14:textId="26E8839A" w:rsidR="00BE5E80" w:rsidRDefault="00BE5E80" w:rsidP="00243CC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El pasado 22 de octubre de 2025, Carmen Vega Fournier juramentó como la nueva Contralora de Puerto Rico luego de haber obtenido el consentimiento de</w:t>
      </w:r>
      <w:r w:rsidR="006729B2">
        <w:rPr>
          <w:rFonts w:ascii="Book Antiqua" w:hAnsi="Book Antiqua"/>
          <w:lang w:val="es-PR"/>
        </w:rPr>
        <w:t xml:space="preserve"> la</w:t>
      </w:r>
      <w:r w:rsidR="006729B2" w:rsidRPr="006729B2">
        <w:rPr>
          <w:rFonts w:ascii="Book Antiqua" w:hAnsi="Book Antiqua"/>
          <w:lang w:val="es-PR"/>
        </w:rPr>
        <w:t xml:space="preserve"> </w:t>
      </w:r>
      <w:r w:rsidR="006729B2">
        <w:rPr>
          <w:rFonts w:ascii="Book Antiqua" w:hAnsi="Book Antiqua"/>
          <w:lang w:val="es-PR"/>
        </w:rPr>
        <w:t>Cámara de Representantes</w:t>
      </w:r>
      <w:r>
        <w:rPr>
          <w:rFonts w:ascii="Book Antiqua" w:hAnsi="Book Antiqua"/>
          <w:lang w:val="es-PR"/>
        </w:rPr>
        <w:t xml:space="preserve"> </w:t>
      </w:r>
      <w:r w:rsidR="006729B2">
        <w:rPr>
          <w:rFonts w:ascii="Book Antiqua" w:hAnsi="Book Antiqua"/>
          <w:lang w:val="es-PR"/>
        </w:rPr>
        <w:t xml:space="preserve">y el </w:t>
      </w:r>
      <w:r>
        <w:rPr>
          <w:rFonts w:ascii="Book Antiqua" w:hAnsi="Book Antiqua"/>
          <w:lang w:val="es-PR"/>
        </w:rPr>
        <w:t>Senado de Puerto Rico. Desde entonces, han sido múltiples los señalamientos que se han realizado sobre su gestión al mando de esa oficina</w:t>
      </w:r>
      <w:r w:rsidR="00663DBE">
        <w:rPr>
          <w:rFonts w:ascii="Book Antiqua" w:hAnsi="Book Antiqua"/>
          <w:lang w:val="es-PR"/>
        </w:rPr>
        <w:t>, como cuando estuvo cinco meses sin emitir ni un solo informe de auditoría</w:t>
      </w:r>
      <w:r w:rsidR="00A466F3">
        <w:rPr>
          <w:rFonts w:ascii="Book Antiqua" w:hAnsi="Book Antiqua"/>
          <w:lang w:val="es-PR"/>
        </w:rPr>
        <w:t xml:space="preserve">, lo que atribuyó a </w:t>
      </w:r>
      <w:r w:rsidR="00663DBE" w:rsidRPr="00663DBE">
        <w:rPr>
          <w:rFonts w:ascii="Book Antiqua" w:hAnsi="Book Antiqua"/>
          <w:lang w:val="es-PR"/>
        </w:rPr>
        <w:t>“un proceso de cambio de imagen</w:t>
      </w:r>
      <w:r w:rsidR="00663DBE">
        <w:rPr>
          <w:rFonts w:ascii="Book Antiqua" w:hAnsi="Book Antiqua"/>
          <w:lang w:val="es-PR"/>
        </w:rPr>
        <w:t>, formato y logos</w:t>
      </w:r>
      <w:r w:rsidR="00663DBE" w:rsidRPr="00663DBE">
        <w:rPr>
          <w:rFonts w:ascii="Book Antiqua" w:hAnsi="Book Antiqua"/>
          <w:lang w:val="es-PR"/>
        </w:rPr>
        <w:t>”</w:t>
      </w:r>
      <w:r w:rsidR="00663DBE" w:rsidRPr="00663DBE">
        <w:rPr>
          <w:rStyle w:val="Refdenotaalpie"/>
          <w:rFonts w:ascii="Book Antiqua" w:hAnsi="Book Antiqua"/>
          <w:vertAlign w:val="baseline"/>
          <w:lang w:val="es-PR"/>
        </w:rPr>
        <w:t xml:space="preserve"> </w:t>
      </w:r>
      <w:r w:rsidR="00663DBE">
        <w:rPr>
          <w:rStyle w:val="Refdenotaalpie"/>
          <w:rFonts w:ascii="Book Antiqua" w:hAnsi="Book Antiqua"/>
          <w:lang w:val="es-PR"/>
        </w:rPr>
        <w:footnoteReference w:id="1"/>
      </w:r>
      <w:r>
        <w:rPr>
          <w:rFonts w:ascii="Book Antiqua" w:hAnsi="Book Antiqua"/>
          <w:lang w:val="es-PR"/>
        </w:rPr>
        <w:t>.</w:t>
      </w:r>
    </w:p>
    <w:p w14:paraId="4FF8B7FE" w14:textId="77777777" w:rsidR="00BE5E80" w:rsidRDefault="00BE5E80" w:rsidP="00243CC2">
      <w:pPr>
        <w:ind w:firstLine="360"/>
        <w:jc w:val="both"/>
        <w:rPr>
          <w:rFonts w:ascii="Book Antiqua" w:hAnsi="Book Antiqua"/>
          <w:lang w:val="es-PR"/>
        </w:rPr>
      </w:pPr>
    </w:p>
    <w:p w14:paraId="42AAE703" w14:textId="454F7D71" w:rsidR="00BE5E80" w:rsidRDefault="00663DBE" w:rsidP="00BE5E80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Asimismo</w:t>
      </w:r>
      <w:r w:rsidR="00BE5E80">
        <w:rPr>
          <w:rFonts w:ascii="Book Antiqua" w:hAnsi="Book Antiqua"/>
          <w:lang w:val="es-PR"/>
        </w:rPr>
        <w:t xml:space="preserve">, la Oficina de Ética Gubernamental (OEG) confirmó públicamente que abrió una investigación sobre el contrato que le otorgó la Oficina del Contralor de Puerto Rico (OCPR), firmado por Vega Fournier, a la exsecretaria de Justicia Janet Parra, en violación al Artículo 4.6(b) de la Ley 1-2012, según enmendada, conocida como </w:t>
      </w:r>
      <w:r w:rsidR="00BE5E80" w:rsidRPr="00BE5E80">
        <w:rPr>
          <w:rFonts w:ascii="Book Antiqua" w:hAnsi="Book Antiqua"/>
          <w:lang w:val="es-PR"/>
        </w:rPr>
        <w:t>“Ley Orgánica de la Oficina de Ética Gubernamental de Puerto</w:t>
      </w:r>
      <w:r w:rsidR="00BE5E80">
        <w:rPr>
          <w:rFonts w:ascii="Book Antiqua" w:hAnsi="Book Antiqua"/>
          <w:lang w:val="es-PR"/>
        </w:rPr>
        <w:t xml:space="preserve"> </w:t>
      </w:r>
      <w:r w:rsidR="00BE5E80" w:rsidRPr="00BE5E80">
        <w:rPr>
          <w:rFonts w:ascii="Book Antiqua" w:hAnsi="Book Antiqua"/>
          <w:lang w:val="es-PR"/>
        </w:rPr>
        <w:t>Rico”</w:t>
      </w:r>
      <w:r w:rsidR="00BE5E80">
        <w:rPr>
          <w:rStyle w:val="Refdenotaalpie"/>
          <w:rFonts w:ascii="Book Antiqua" w:hAnsi="Book Antiqua"/>
          <w:lang w:val="es-PR"/>
        </w:rPr>
        <w:footnoteReference w:id="2"/>
      </w:r>
      <w:r w:rsidR="00BE5E80" w:rsidRPr="00BE5E80">
        <w:rPr>
          <w:rFonts w:ascii="Book Antiqua" w:hAnsi="Book Antiqua"/>
          <w:lang w:val="es-PR"/>
        </w:rPr>
        <w:t>.</w:t>
      </w:r>
    </w:p>
    <w:p w14:paraId="39705A3D" w14:textId="77777777" w:rsidR="00BE5E80" w:rsidRDefault="00BE5E80" w:rsidP="00BE5E80">
      <w:pPr>
        <w:ind w:firstLine="360"/>
        <w:jc w:val="both"/>
        <w:rPr>
          <w:rFonts w:ascii="Book Antiqua" w:hAnsi="Book Antiqua"/>
          <w:lang w:val="es-PR"/>
        </w:rPr>
      </w:pPr>
    </w:p>
    <w:p w14:paraId="5E1CB277" w14:textId="7B6FB820" w:rsidR="00BE5E80" w:rsidRDefault="00663DBE" w:rsidP="00BE5E80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De igual manera</w:t>
      </w:r>
      <w:r w:rsidR="00BC0B34">
        <w:rPr>
          <w:rFonts w:ascii="Book Antiqua" w:hAnsi="Book Antiqua"/>
          <w:lang w:val="es-PR"/>
        </w:rPr>
        <w:t xml:space="preserve">, </w:t>
      </w:r>
      <w:r w:rsidR="008C6B09">
        <w:rPr>
          <w:rFonts w:ascii="Book Antiqua" w:hAnsi="Book Antiqua"/>
          <w:lang w:val="es-PR"/>
        </w:rPr>
        <w:t>el diario El Nuevo Día reportó</w:t>
      </w:r>
      <w:r w:rsidR="00BC0B34">
        <w:rPr>
          <w:rFonts w:ascii="Book Antiqua" w:hAnsi="Book Antiqua"/>
          <w:lang w:val="es-PR"/>
        </w:rPr>
        <w:t xml:space="preserve"> que, a </w:t>
      </w:r>
      <w:r w:rsidR="00BC0B34" w:rsidRPr="00BC0B34">
        <w:rPr>
          <w:rFonts w:ascii="Book Antiqua" w:hAnsi="Book Antiqua"/>
          <w:lang w:val="es-PR"/>
        </w:rPr>
        <w:t xml:space="preserve">solo un mes y medio de llegar al cargo, Vega Fournier derogó el reglamento de personal y enmendó otro sobre organización para, entre otras cosas, introducir el destaque </w:t>
      </w:r>
      <w:proofErr w:type="spellStart"/>
      <w:r w:rsidR="00BC0B34" w:rsidRPr="00BC0B34">
        <w:rPr>
          <w:rFonts w:ascii="Book Antiqua" w:hAnsi="Book Antiqua"/>
          <w:lang w:val="es-PR"/>
        </w:rPr>
        <w:t>interagencial</w:t>
      </w:r>
      <w:proofErr w:type="spellEnd"/>
      <w:r w:rsidR="00BC0B34" w:rsidRPr="00BC0B34">
        <w:rPr>
          <w:rFonts w:ascii="Book Antiqua" w:hAnsi="Book Antiqua"/>
          <w:lang w:val="es-PR"/>
        </w:rPr>
        <w:t>, regular el servicio de confianza y crear más cargos de contralor auxiliar, un empleado de confianza de alto nivel que responde directamente a la jefatura de la agencia</w:t>
      </w:r>
      <w:r w:rsidR="006729B2">
        <w:rPr>
          <w:rStyle w:val="Refdenotaalpie"/>
          <w:rFonts w:ascii="Book Antiqua" w:hAnsi="Book Antiqua"/>
          <w:lang w:val="es-PR"/>
        </w:rPr>
        <w:footnoteReference w:id="3"/>
      </w:r>
      <w:r w:rsidR="00BC0B34" w:rsidRPr="00BC0B34">
        <w:rPr>
          <w:rFonts w:ascii="Book Antiqua" w:hAnsi="Book Antiqua"/>
          <w:lang w:val="es-PR"/>
        </w:rPr>
        <w:t>.</w:t>
      </w:r>
    </w:p>
    <w:p w14:paraId="0511423C" w14:textId="77777777" w:rsidR="002B071E" w:rsidRDefault="002B071E" w:rsidP="00BE5E80">
      <w:pPr>
        <w:ind w:firstLine="360"/>
        <w:jc w:val="both"/>
        <w:rPr>
          <w:rFonts w:ascii="Book Antiqua" w:hAnsi="Book Antiqua"/>
          <w:lang w:val="es-PR"/>
        </w:rPr>
      </w:pPr>
    </w:p>
    <w:p w14:paraId="5A4E65F7" w14:textId="66A40362" w:rsidR="002B071E" w:rsidRPr="00BE5E80" w:rsidRDefault="002B071E" w:rsidP="00BE5E80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Estas actuaciones de Vega Fournier arrojan sombras sobre la imparcialidad que debe mantener la OCPR a la hora de </w:t>
      </w:r>
      <w:r w:rsidR="00444369">
        <w:rPr>
          <w:rFonts w:ascii="Book Antiqua" w:hAnsi="Book Antiqua"/>
          <w:lang w:val="es-PR"/>
        </w:rPr>
        <w:t xml:space="preserve">contratar y de realizar movidas de personal que </w:t>
      </w:r>
      <w:r w:rsidR="00663DBE">
        <w:rPr>
          <w:rFonts w:ascii="Book Antiqua" w:hAnsi="Book Antiqua"/>
          <w:lang w:val="es-PR"/>
        </w:rPr>
        <w:t xml:space="preserve">puedan incidir sobre su mandato constitucional de auditar e investigar todo desembolso de fondos públicos por parte de las agencias, municipios e instrumentalidades del Estado Libre Asociado de Puerto Rico. </w:t>
      </w:r>
    </w:p>
    <w:p w14:paraId="1EFB9B22" w14:textId="77777777" w:rsidR="00243CC2" w:rsidRDefault="00243CC2" w:rsidP="00243CC2">
      <w:pPr>
        <w:ind w:firstLine="360"/>
        <w:jc w:val="both"/>
        <w:rPr>
          <w:rFonts w:ascii="Book Antiqua" w:hAnsi="Book Antiqua"/>
          <w:lang w:val="es-ES_tradnl"/>
        </w:rPr>
      </w:pPr>
    </w:p>
    <w:p w14:paraId="357B30B5" w14:textId="4A55F90D" w:rsidR="00243CC2" w:rsidRDefault="00243CC2" w:rsidP="00243CC2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todo lo antes expuesto, es imprescindible que esta Cámara de Representantes, a la cual se reporta directamente la </w:t>
      </w:r>
      <w:r w:rsidR="002B071E">
        <w:rPr>
          <w:rFonts w:ascii="Book Antiqua" w:hAnsi="Book Antiqua"/>
          <w:lang w:val="es-ES_tradnl"/>
        </w:rPr>
        <w:t>OCPR</w:t>
      </w:r>
      <w:r>
        <w:rPr>
          <w:rFonts w:ascii="Book Antiqua" w:hAnsi="Book Antiqua"/>
          <w:lang w:val="es-ES_tradnl"/>
        </w:rPr>
        <w:t xml:space="preserve"> por disposición constitucional y estatutaria, investigue </w:t>
      </w:r>
      <w:r w:rsidR="002B071E">
        <w:rPr>
          <w:rFonts w:ascii="Book Antiqua" w:hAnsi="Book Antiqua"/>
          <w:lang w:val="es-ES_tradnl"/>
        </w:rPr>
        <w:t>su</w:t>
      </w:r>
      <w:r w:rsidR="002B071E" w:rsidRPr="002B071E">
        <w:rPr>
          <w:rFonts w:ascii="Book Antiqua" w:hAnsi="Book Antiqua"/>
          <w:lang w:val="es-ES_tradnl"/>
        </w:rPr>
        <w:t xml:space="preserve"> administración, operación y funcionamiento</w:t>
      </w:r>
      <w:r w:rsidR="002B071E">
        <w:rPr>
          <w:rFonts w:ascii="Book Antiqua" w:hAnsi="Book Antiqua"/>
          <w:lang w:val="es-ES_tradnl"/>
        </w:rPr>
        <w:t xml:space="preserve">, a los fines de asegurarse que </w:t>
      </w:r>
      <w:r w:rsidR="002B071E">
        <w:rPr>
          <w:rFonts w:ascii="Book Antiqua" w:hAnsi="Book Antiqua"/>
          <w:lang w:val="es-ES_tradnl"/>
        </w:rPr>
        <w:lastRenderedPageBreak/>
        <w:t xml:space="preserve">la entidad encargada de fiscalizar el uso correcto de los fondos públicos </w:t>
      </w:r>
      <w:r w:rsidR="00444369">
        <w:rPr>
          <w:rFonts w:ascii="Book Antiqua" w:hAnsi="Book Antiqua"/>
          <w:lang w:val="es-ES_tradnl"/>
        </w:rPr>
        <w:t xml:space="preserve">propicie una sana gerencia a nivel interno. </w:t>
      </w:r>
    </w:p>
    <w:p w14:paraId="17052F64" w14:textId="77777777" w:rsidR="00243CC2" w:rsidRDefault="00243CC2" w:rsidP="00243CC2">
      <w:pPr>
        <w:jc w:val="both"/>
        <w:rPr>
          <w:rFonts w:ascii="Book Antiqua" w:hAnsi="Book Antiqua"/>
          <w:i/>
          <w:lang w:val="es-ES_tradnl"/>
        </w:rPr>
      </w:pPr>
    </w:p>
    <w:p w14:paraId="6402879F" w14:textId="26C2B778" w:rsidR="007223FC" w:rsidRDefault="007223FC" w:rsidP="00243CC2">
      <w:pPr>
        <w:jc w:val="both"/>
        <w:rPr>
          <w:rFonts w:ascii="Book Antiqua" w:hAnsi="Book Antiqua"/>
          <w:i/>
          <w:lang w:val="es-ES_tradnl"/>
        </w:rPr>
      </w:pPr>
      <w:r w:rsidRPr="00F73338">
        <w:rPr>
          <w:rFonts w:ascii="Book Antiqua" w:hAnsi="Book Antiqua"/>
          <w:i/>
          <w:lang w:val="es-ES_tradnl"/>
        </w:rPr>
        <w:t>RESUÉLVESE POR LA CÁMARA DE REPRESENTANTES DE PUERTO</w:t>
      </w:r>
      <w:r>
        <w:rPr>
          <w:rFonts w:ascii="Book Antiqua" w:hAnsi="Book Antiqua"/>
          <w:i/>
          <w:lang w:val="es-ES_tradnl"/>
        </w:rPr>
        <w:t xml:space="preserve"> RICO:</w:t>
      </w:r>
    </w:p>
    <w:p w14:paraId="6DED2C4E" w14:textId="77777777" w:rsidR="00243CC2" w:rsidRDefault="00243CC2" w:rsidP="00243CC2">
      <w:pPr>
        <w:jc w:val="both"/>
        <w:rPr>
          <w:rFonts w:ascii="Book Antiqua" w:hAnsi="Book Antiqua"/>
          <w:lang w:val="es-ES_tradnl"/>
        </w:rPr>
      </w:pPr>
    </w:p>
    <w:p w14:paraId="5019BC59" w14:textId="77777777" w:rsidR="00243CC2" w:rsidRDefault="00243CC2" w:rsidP="00243CC2">
      <w:pPr>
        <w:jc w:val="both"/>
        <w:rPr>
          <w:rFonts w:ascii="Book Antiqua" w:hAnsi="Book Antiqua"/>
          <w:lang w:val="es-ES_tradnl"/>
        </w:rPr>
        <w:sectPr w:rsidR="00243CC2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0C9623" w14:textId="0C3C2757" w:rsidR="00667F05" w:rsidRPr="00667F05" w:rsidRDefault="00667F05" w:rsidP="00667F0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67F05">
        <w:rPr>
          <w:rFonts w:ascii="Book Antiqua" w:hAnsi="Book Antiqua"/>
          <w:lang w:val="es-ES_tradnl"/>
        </w:rPr>
        <w:t>Sección 1</w:t>
      </w:r>
      <w:r w:rsidR="00206DDA">
        <w:rPr>
          <w:rFonts w:ascii="Book Antiqua" w:hAnsi="Book Antiqua"/>
          <w:lang w:val="es-ES_tradnl"/>
        </w:rPr>
        <w:t>.</w:t>
      </w:r>
      <w:r w:rsidRPr="00667F05">
        <w:rPr>
          <w:rFonts w:ascii="Book Antiqua" w:hAnsi="Book Antiqua"/>
          <w:lang w:val="es-ES_tradnl"/>
        </w:rPr>
        <w:t>–</w:t>
      </w:r>
      <w:r w:rsidR="00243CC2" w:rsidRPr="00243CC2">
        <w:rPr>
          <w:rFonts w:ascii="Book Antiqua" w:hAnsi="Book Antiqua"/>
          <w:lang w:val="es-PR"/>
        </w:rPr>
        <w:t xml:space="preserve"> </w:t>
      </w:r>
      <w:r w:rsidR="00243CC2" w:rsidRPr="00436B03">
        <w:rPr>
          <w:rFonts w:ascii="Book Antiqua" w:hAnsi="Book Antiqua"/>
          <w:lang w:val="es-PR"/>
        </w:rPr>
        <w:t xml:space="preserve">Se </w:t>
      </w:r>
      <w:r w:rsidR="00243CC2" w:rsidRPr="00A6481C">
        <w:rPr>
          <w:rFonts w:ascii="Book Antiqua" w:hAnsi="Book Antiqua"/>
          <w:lang w:val="es-PR"/>
        </w:rPr>
        <w:t xml:space="preserve">ordena </w:t>
      </w:r>
      <w:r w:rsidR="00243CC2" w:rsidRPr="003B5A06">
        <w:rPr>
          <w:rFonts w:ascii="Book Antiqua" w:hAnsi="Book Antiqua"/>
          <w:lang w:val="es-ES_tradnl"/>
        </w:rPr>
        <w:t xml:space="preserve">a la </w:t>
      </w:r>
      <w:r w:rsidR="00243CC2">
        <w:rPr>
          <w:rFonts w:ascii="Book Antiqua" w:hAnsi="Book Antiqua"/>
          <w:lang w:val="es-ES_tradnl"/>
        </w:rPr>
        <w:t>Comisión de Gobierno</w:t>
      </w:r>
      <w:r w:rsidR="00243CC2" w:rsidRPr="003B5A06">
        <w:rPr>
          <w:rFonts w:ascii="Book Antiqua" w:hAnsi="Book Antiqua"/>
          <w:lang w:val="es-ES_tradnl"/>
        </w:rPr>
        <w:t xml:space="preserve"> de la Cámara de Representantes que </w:t>
      </w:r>
      <w:r w:rsidR="00243CC2">
        <w:rPr>
          <w:rFonts w:ascii="Book Antiqua" w:hAnsi="Book Antiqua"/>
          <w:lang w:val="es-ES_tradnl"/>
        </w:rPr>
        <w:t xml:space="preserve">realice una investigación </w:t>
      </w:r>
      <w:r w:rsidR="00557D07" w:rsidRPr="00557D07">
        <w:rPr>
          <w:rFonts w:ascii="Book Antiqua" w:hAnsi="Book Antiqua"/>
          <w:lang w:val="es-ES_tradnl"/>
        </w:rPr>
        <w:t>sobre la administración, operación y funcionamiento de la Oficina del Contralor de Puerto Rico (OCPR), incluyendo, pero sin limitarse, a la contratación y remoción de personal de confianza o de carrera, solicitud y autorización de empleados en destaque, eliminación o creación de nuevas plazas, reubicación de empleados, degradaciones de puestos, nómina de empleados regulares y de confianza, pago de diferenciales, estatus de toda querella o reclamo ante la Junta de Apelaciones de la OCPR, enmiendas o derogaciones de cualquier reglamento interno, contratación de servicios profesionales, adquisición de bienes muebles e inmuebles, arrendamiento o compraventa de propiedades, manejo de presupuesto, así como cualquier otro asunto que implique erogación o uso de fondos públicos</w:t>
      </w:r>
      <w:r w:rsidR="00243CC2">
        <w:rPr>
          <w:rFonts w:ascii="Book Antiqua" w:hAnsi="Book Antiqua"/>
          <w:lang w:val="es-PR"/>
        </w:rPr>
        <w:t xml:space="preserve">.  </w:t>
      </w:r>
      <w:r w:rsidR="00557D07">
        <w:rPr>
          <w:rFonts w:ascii="Book Antiqua" w:hAnsi="Book Antiqua"/>
          <w:lang w:val="es-PR"/>
        </w:rPr>
        <w:t xml:space="preserve"> </w:t>
      </w:r>
    </w:p>
    <w:p w14:paraId="496A4077" w14:textId="77777777" w:rsidR="00243CC2" w:rsidRDefault="00243CC2" w:rsidP="00243CC2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</w:rPr>
      </w:pPr>
      <w:r w:rsidRPr="00613D8E">
        <w:rPr>
          <w:rFonts w:ascii="Book Antiqua" w:eastAsia="Times New Roman" w:hAnsi="Book Antiqua" w:cs="Times New Roman"/>
          <w:sz w:val="24"/>
        </w:rPr>
        <w:t>Sección 2.-La Comisión</w:t>
      </w:r>
      <w:r w:rsidRPr="00AF0A89">
        <w:rPr>
          <w:rFonts w:ascii="Book Antiqua" w:eastAsia="Times New Roman" w:hAnsi="Book Antiqua" w:cs="Times New Roman"/>
          <w:sz w:val="24"/>
        </w:rPr>
        <w:t xml:space="preserve"> podrá requerir a </w:t>
      </w:r>
      <w:r>
        <w:rPr>
          <w:rFonts w:ascii="Book Antiqua" w:eastAsia="Times New Roman" w:hAnsi="Book Antiqua" w:cs="Times New Roman"/>
          <w:sz w:val="24"/>
        </w:rPr>
        <w:t xml:space="preserve">la Oficina del Contralor de Puerto Rico </w:t>
      </w:r>
      <w:r w:rsidRPr="00AF0A89">
        <w:rPr>
          <w:rFonts w:ascii="Book Antiqua" w:eastAsia="Times New Roman" w:hAnsi="Book Antiqua" w:cs="Times New Roman"/>
          <w:sz w:val="24"/>
        </w:rPr>
        <w:t>la producción de</w:t>
      </w:r>
      <w:r>
        <w:rPr>
          <w:rFonts w:ascii="Book Antiqua" w:eastAsia="Times New Roman" w:hAnsi="Book Antiqua" w:cs="Times New Roman"/>
          <w:sz w:val="24"/>
        </w:rPr>
        <w:t xml:space="preserve"> declaraciones, información y</w:t>
      </w:r>
      <w:r w:rsidRPr="00AF0A89">
        <w:rPr>
          <w:rFonts w:ascii="Book Antiqua" w:eastAsia="Times New Roman" w:hAnsi="Book Antiqua" w:cs="Times New Roman"/>
          <w:sz w:val="24"/>
        </w:rPr>
        <w:t xml:space="preserve"> documentos, al igual que realizar todas las vistas</w:t>
      </w:r>
      <w:r>
        <w:rPr>
          <w:rFonts w:ascii="Book Antiqua" w:eastAsia="Times New Roman" w:hAnsi="Book Antiqua" w:cs="Times New Roman"/>
          <w:sz w:val="24"/>
        </w:rPr>
        <w:t>, reuniones</w:t>
      </w:r>
      <w:r w:rsidRPr="00AF0A89">
        <w:rPr>
          <w:rFonts w:ascii="Book Antiqua" w:eastAsia="Times New Roman" w:hAnsi="Book Antiqua" w:cs="Times New Roman"/>
          <w:sz w:val="24"/>
        </w:rPr>
        <w:t xml:space="preserve"> e inspecciones que sean necesarias para cumplir con los fines de esta Resolución.</w:t>
      </w:r>
    </w:p>
    <w:p w14:paraId="0C37FB5C" w14:textId="0B35A3A8" w:rsidR="00243CC2" w:rsidRPr="00C470D0" w:rsidRDefault="00243CC2" w:rsidP="00243CC2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</w:rPr>
      </w:pPr>
      <w:r w:rsidRPr="000445FD">
        <w:rPr>
          <w:rFonts w:ascii="Book Antiqua" w:eastAsia="Times New Roman" w:hAnsi="Book Antiqua" w:cs="Times New Roman"/>
          <w:sz w:val="24"/>
        </w:rPr>
        <w:t xml:space="preserve">Sección </w:t>
      </w:r>
      <w:r>
        <w:rPr>
          <w:rFonts w:ascii="Book Antiqua" w:eastAsia="Times New Roman" w:hAnsi="Book Antiqua" w:cs="Times New Roman"/>
          <w:sz w:val="24"/>
        </w:rPr>
        <w:t>3</w:t>
      </w:r>
      <w:r w:rsidRPr="000445FD">
        <w:rPr>
          <w:rFonts w:ascii="Book Antiqua" w:eastAsia="Times New Roman" w:hAnsi="Book Antiqua" w:cs="Times New Roman"/>
          <w:sz w:val="24"/>
        </w:rPr>
        <w:t>.-</w:t>
      </w:r>
      <w:r w:rsidRPr="00AF0A89">
        <w:rPr>
          <w:rFonts w:ascii="Book Antiqua" w:eastAsia="Times New Roman" w:hAnsi="Book Antiqua" w:cs="Times New Roman"/>
          <w:sz w:val="24"/>
        </w:rPr>
        <w:t xml:space="preserve">La Comisión </w:t>
      </w:r>
      <w:r>
        <w:rPr>
          <w:rFonts w:ascii="Book Antiqua" w:eastAsia="Times New Roman" w:hAnsi="Book Antiqua" w:cs="Times New Roman"/>
          <w:sz w:val="24"/>
        </w:rPr>
        <w:t xml:space="preserve">podrá realizar referidos a las agencias pertinentes y </w:t>
      </w:r>
      <w:r w:rsidRPr="00AF0A89">
        <w:rPr>
          <w:rFonts w:ascii="Book Antiqua" w:eastAsia="Times New Roman" w:hAnsi="Book Antiqua" w:cs="Times New Roman"/>
          <w:sz w:val="24"/>
        </w:rPr>
        <w:t xml:space="preserve">rendirá </w:t>
      </w:r>
      <w:r>
        <w:rPr>
          <w:rFonts w:ascii="Book Antiqua" w:eastAsia="Times New Roman" w:hAnsi="Book Antiqua" w:cs="Times New Roman"/>
          <w:sz w:val="24"/>
        </w:rPr>
        <w:t>un</w:t>
      </w:r>
      <w:r w:rsidRPr="00AF0A89">
        <w:rPr>
          <w:rFonts w:ascii="Book Antiqua" w:eastAsia="Times New Roman" w:hAnsi="Book Antiqua" w:cs="Times New Roman"/>
          <w:sz w:val="24"/>
        </w:rPr>
        <w:t xml:space="preserve"> Informe Final conteniendo los hallazgos, conclusiones y recomendaciones</w:t>
      </w:r>
      <w:r w:rsidR="004B4838" w:rsidRPr="004B4838">
        <w:rPr>
          <w:rFonts w:ascii="Book Antiqua" w:eastAsia="Times New Roman" w:hAnsi="Book Antiqua" w:cs="Times New Roman"/>
          <w:sz w:val="24"/>
        </w:rPr>
        <w:t xml:space="preserve">, dentro de un periodo de </w:t>
      </w:r>
      <w:r w:rsidR="004B4838">
        <w:rPr>
          <w:rFonts w:ascii="Book Antiqua" w:eastAsia="Times New Roman" w:hAnsi="Book Antiqua" w:cs="Times New Roman"/>
          <w:sz w:val="24"/>
        </w:rPr>
        <w:t>ciento ochenta</w:t>
      </w:r>
      <w:r w:rsidR="004B4838" w:rsidRPr="004B4838">
        <w:rPr>
          <w:rFonts w:ascii="Book Antiqua" w:eastAsia="Times New Roman" w:hAnsi="Book Antiqua" w:cs="Times New Roman"/>
          <w:sz w:val="24"/>
        </w:rPr>
        <w:t xml:space="preserve"> (</w:t>
      </w:r>
      <w:r w:rsidR="004B4838">
        <w:rPr>
          <w:rFonts w:ascii="Book Antiqua" w:eastAsia="Times New Roman" w:hAnsi="Book Antiqua" w:cs="Times New Roman"/>
          <w:sz w:val="24"/>
        </w:rPr>
        <w:t>18</w:t>
      </w:r>
      <w:r w:rsidR="004B4838" w:rsidRPr="004B4838">
        <w:rPr>
          <w:rFonts w:ascii="Book Antiqua" w:eastAsia="Times New Roman" w:hAnsi="Book Antiqua" w:cs="Times New Roman"/>
          <w:sz w:val="24"/>
        </w:rPr>
        <w:t>0) días contados a partir de la aprobación de esta Resolución</w:t>
      </w:r>
      <w:r w:rsidRPr="00AF0A89">
        <w:rPr>
          <w:rFonts w:ascii="Book Antiqua" w:eastAsia="Times New Roman" w:hAnsi="Book Antiqua" w:cs="Times New Roman"/>
          <w:sz w:val="24"/>
        </w:rPr>
        <w:t>.</w:t>
      </w:r>
      <w:r w:rsidR="004B4838">
        <w:rPr>
          <w:rFonts w:ascii="Book Antiqua" w:eastAsia="Times New Roman" w:hAnsi="Book Antiqua" w:cs="Times New Roman"/>
          <w:sz w:val="24"/>
        </w:rPr>
        <w:t xml:space="preserve"> </w:t>
      </w:r>
    </w:p>
    <w:p w14:paraId="6A8E3044" w14:textId="6BFCDA37" w:rsidR="00890C1A" w:rsidRPr="00243CC2" w:rsidRDefault="00243CC2" w:rsidP="00243CC2">
      <w:pPr>
        <w:pStyle w:val="Normal1"/>
        <w:widowControl w:val="0"/>
        <w:spacing w:line="480" w:lineRule="auto"/>
        <w:ind w:firstLine="720"/>
        <w:jc w:val="both"/>
        <w:rPr>
          <w:rFonts w:ascii="Book Antiqua" w:hAnsi="Book Antiqua"/>
          <w:sz w:val="24"/>
        </w:rPr>
      </w:pPr>
      <w:r>
        <w:rPr>
          <w:rFonts w:ascii="Book Antiqua" w:eastAsia="Times New Roman" w:hAnsi="Book Antiqua" w:cs="Times New Roman"/>
          <w:sz w:val="24"/>
        </w:rPr>
        <w:lastRenderedPageBreak/>
        <w:t>Sección 4</w:t>
      </w:r>
      <w:r w:rsidRPr="00093855">
        <w:rPr>
          <w:rFonts w:ascii="Book Antiqua" w:eastAsia="Times New Roman" w:hAnsi="Book Antiqua" w:cs="Times New Roman"/>
          <w:sz w:val="24"/>
        </w:rPr>
        <w:t>.-</w:t>
      </w:r>
      <w:r w:rsidRPr="00AF0A89">
        <w:rPr>
          <w:rFonts w:ascii="Book Antiqua" w:eastAsia="Times New Roman" w:hAnsi="Book Antiqua" w:cs="Times New Roman"/>
          <w:sz w:val="24"/>
        </w:rPr>
        <w:t>Esta Resolución comenzará a regir inmediatamente después de su aprobación.</w:t>
      </w:r>
    </w:p>
    <w:sectPr w:rsidR="00890C1A" w:rsidRPr="00243CC2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CFDF6" w14:textId="77777777" w:rsidR="00FB3A2F" w:rsidRDefault="00FB3A2F">
      <w:r>
        <w:separator/>
      </w:r>
    </w:p>
  </w:endnote>
  <w:endnote w:type="continuationSeparator" w:id="0">
    <w:p w14:paraId="3E39BD91" w14:textId="77777777" w:rsidR="00FB3A2F" w:rsidRDefault="00FB3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50111" w14:textId="77777777" w:rsidR="00FB3A2F" w:rsidRDefault="00FB3A2F">
      <w:r>
        <w:separator/>
      </w:r>
    </w:p>
  </w:footnote>
  <w:footnote w:type="continuationSeparator" w:id="0">
    <w:p w14:paraId="52948CD8" w14:textId="77777777" w:rsidR="00FB3A2F" w:rsidRDefault="00FB3A2F">
      <w:r>
        <w:continuationSeparator/>
      </w:r>
    </w:p>
  </w:footnote>
  <w:footnote w:id="1">
    <w:p w14:paraId="5FCB79E9" w14:textId="1A47FFC8" w:rsidR="00663DBE" w:rsidRDefault="00663DBE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1" w:history="1">
        <w:r w:rsidRPr="000772E5">
          <w:rPr>
            <w:rStyle w:val="Hipervnculo"/>
          </w:rPr>
          <w:t>https://www.elnuevodia.com/noticias/gobierno/notas/sin-divulgar-informes-de-auditoria-la-oficina-del-contralor-por-cambio-de-imagen/</w:t>
        </w:r>
      </w:hyperlink>
      <w:r>
        <w:t xml:space="preserve"> </w:t>
      </w:r>
    </w:p>
  </w:footnote>
  <w:footnote w:id="2">
    <w:p w14:paraId="78CFFAF1" w14:textId="1081AF39" w:rsidR="00BE5E80" w:rsidRDefault="00BE5E80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2" w:history="1">
        <w:r w:rsidRPr="000772E5">
          <w:rPr>
            <w:rStyle w:val="Hipervnculo"/>
          </w:rPr>
          <w:t>https://teleonce.com/programas/uncategorized/etica-gubernamental-investigara-el-contrato-de-janet-parra/</w:t>
        </w:r>
      </w:hyperlink>
      <w:r>
        <w:t xml:space="preserve"> </w:t>
      </w:r>
    </w:p>
  </w:footnote>
  <w:footnote w:id="3">
    <w:p w14:paraId="3BC5C313" w14:textId="4EF96654" w:rsidR="006729B2" w:rsidRDefault="006729B2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3" w:history="1">
        <w:r w:rsidRPr="000772E5">
          <w:rPr>
            <w:rStyle w:val="Hipervnculo"/>
          </w:rPr>
          <w:t>https://www.elnuevodia.com/noticias/gobierno/notas/contralora-cambia-la-normativa-de-personal-de-la-oficina-para-permitir-los-destaques/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0"/>
  </w:num>
  <w:num w:numId="2" w16cid:durableId="267277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20C62"/>
    <w:rsid w:val="00030742"/>
    <w:rsid w:val="0003393F"/>
    <w:rsid w:val="00043B21"/>
    <w:rsid w:val="00056024"/>
    <w:rsid w:val="00074568"/>
    <w:rsid w:val="00095AE1"/>
    <w:rsid w:val="000A6B6C"/>
    <w:rsid w:val="000B0DBB"/>
    <w:rsid w:val="000B587D"/>
    <w:rsid w:val="000C3C2B"/>
    <w:rsid w:val="000C6C28"/>
    <w:rsid w:val="000D6CA4"/>
    <w:rsid w:val="000F5878"/>
    <w:rsid w:val="00111E71"/>
    <w:rsid w:val="00121EE6"/>
    <w:rsid w:val="00122BEC"/>
    <w:rsid w:val="00127C6A"/>
    <w:rsid w:val="00131B70"/>
    <w:rsid w:val="001363FE"/>
    <w:rsid w:val="0014430B"/>
    <w:rsid w:val="00152A06"/>
    <w:rsid w:val="00153407"/>
    <w:rsid w:val="0016070A"/>
    <w:rsid w:val="00160CBC"/>
    <w:rsid w:val="0017132B"/>
    <w:rsid w:val="001760FD"/>
    <w:rsid w:val="001850B4"/>
    <w:rsid w:val="00196D30"/>
    <w:rsid w:val="001A4F41"/>
    <w:rsid w:val="001C42D4"/>
    <w:rsid w:val="001D6647"/>
    <w:rsid w:val="001E0D88"/>
    <w:rsid w:val="001F4CA3"/>
    <w:rsid w:val="001F612A"/>
    <w:rsid w:val="00200720"/>
    <w:rsid w:val="00203EFC"/>
    <w:rsid w:val="00206DDA"/>
    <w:rsid w:val="00211396"/>
    <w:rsid w:val="002171CA"/>
    <w:rsid w:val="00226AE6"/>
    <w:rsid w:val="002314F5"/>
    <w:rsid w:val="00242D78"/>
    <w:rsid w:val="00243CC2"/>
    <w:rsid w:val="00245B34"/>
    <w:rsid w:val="00246130"/>
    <w:rsid w:val="002502B0"/>
    <w:rsid w:val="00253529"/>
    <w:rsid w:val="00261EBD"/>
    <w:rsid w:val="00263355"/>
    <w:rsid w:val="00273792"/>
    <w:rsid w:val="002A35C8"/>
    <w:rsid w:val="002A7B3A"/>
    <w:rsid w:val="002B071E"/>
    <w:rsid w:val="002B3DC5"/>
    <w:rsid w:val="002B7EDC"/>
    <w:rsid w:val="002C3354"/>
    <w:rsid w:val="002D4AC8"/>
    <w:rsid w:val="002E43CA"/>
    <w:rsid w:val="002E59C0"/>
    <w:rsid w:val="002F711A"/>
    <w:rsid w:val="00305B2A"/>
    <w:rsid w:val="00311A60"/>
    <w:rsid w:val="00317163"/>
    <w:rsid w:val="00320D78"/>
    <w:rsid w:val="003372BC"/>
    <w:rsid w:val="003372CE"/>
    <w:rsid w:val="00343C46"/>
    <w:rsid w:val="00351CD3"/>
    <w:rsid w:val="00361E2C"/>
    <w:rsid w:val="00380FE5"/>
    <w:rsid w:val="003924DD"/>
    <w:rsid w:val="00394FCB"/>
    <w:rsid w:val="003963F4"/>
    <w:rsid w:val="00397F4A"/>
    <w:rsid w:val="003A0EBF"/>
    <w:rsid w:val="003B5254"/>
    <w:rsid w:val="003B580C"/>
    <w:rsid w:val="003B5BF6"/>
    <w:rsid w:val="003B75A6"/>
    <w:rsid w:val="003F5AF9"/>
    <w:rsid w:val="004061CA"/>
    <w:rsid w:val="0041111D"/>
    <w:rsid w:val="00415689"/>
    <w:rsid w:val="004211E7"/>
    <w:rsid w:val="00421A22"/>
    <w:rsid w:val="004220A9"/>
    <w:rsid w:val="004244F7"/>
    <w:rsid w:val="00425E31"/>
    <w:rsid w:val="004264F3"/>
    <w:rsid w:val="0042775F"/>
    <w:rsid w:val="00432CB5"/>
    <w:rsid w:val="004440CB"/>
    <w:rsid w:val="00444369"/>
    <w:rsid w:val="00445FC5"/>
    <w:rsid w:val="0044682A"/>
    <w:rsid w:val="00461578"/>
    <w:rsid w:val="00462A30"/>
    <w:rsid w:val="0046496D"/>
    <w:rsid w:val="004660D9"/>
    <w:rsid w:val="00467695"/>
    <w:rsid w:val="004713D2"/>
    <w:rsid w:val="00471DFA"/>
    <w:rsid w:val="00473A4B"/>
    <w:rsid w:val="0047775F"/>
    <w:rsid w:val="00486727"/>
    <w:rsid w:val="00487E1F"/>
    <w:rsid w:val="00495FE7"/>
    <w:rsid w:val="004A24D4"/>
    <w:rsid w:val="004A74A8"/>
    <w:rsid w:val="004B4838"/>
    <w:rsid w:val="004B594A"/>
    <w:rsid w:val="004B615E"/>
    <w:rsid w:val="004B660B"/>
    <w:rsid w:val="004D6BF6"/>
    <w:rsid w:val="004E1B57"/>
    <w:rsid w:val="00501551"/>
    <w:rsid w:val="00501A6A"/>
    <w:rsid w:val="00521639"/>
    <w:rsid w:val="0052618B"/>
    <w:rsid w:val="00532BB7"/>
    <w:rsid w:val="005332E4"/>
    <w:rsid w:val="00534092"/>
    <w:rsid w:val="0053550C"/>
    <w:rsid w:val="0053775D"/>
    <w:rsid w:val="005544A2"/>
    <w:rsid w:val="00555018"/>
    <w:rsid w:val="005556B4"/>
    <w:rsid w:val="00557D07"/>
    <w:rsid w:val="005723DC"/>
    <w:rsid w:val="005924B5"/>
    <w:rsid w:val="005A7CAC"/>
    <w:rsid w:val="005B69F5"/>
    <w:rsid w:val="005B6AC8"/>
    <w:rsid w:val="005D5464"/>
    <w:rsid w:val="005D679A"/>
    <w:rsid w:val="005F25DA"/>
    <w:rsid w:val="0061442E"/>
    <w:rsid w:val="0061708B"/>
    <w:rsid w:val="006210DC"/>
    <w:rsid w:val="00622CED"/>
    <w:rsid w:val="00627474"/>
    <w:rsid w:val="0064349D"/>
    <w:rsid w:val="006461F0"/>
    <w:rsid w:val="00653E1E"/>
    <w:rsid w:val="00653EED"/>
    <w:rsid w:val="00656763"/>
    <w:rsid w:val="00657554"/>
    <w:rsid w:val="00663DBE"/>
    <w:rsid w:val="00667F05"/>
    <w:rsid w:val="006729B2"/>
    <w:rsid w:val="00685549"/>
    <w:rsid w:val="006874C9"/>
    <w:rsid w:val="006B7365"/>
    <w:rsid w:val="006C2D81"/>
    <w:rsid w:val="006C7DF8"/>
    <w:rsid w:val="006D4B6E"/>
    <w:rsid w:val="006E5DD4"/>
    <w:rsid w:val="006E6775"/>
    <w:rsid w:val="006F03E8"/>
    <w:rsid w:val="006F6DB6"/>
    <w:rsid w:val="00702186"/>
    <w:rsid w:val="00703717"/>
    <w:rsid w:val="00716CF2"/>
    <w:rsid w:val="00716D3A"/>
    <w:rsid w:val="007172D9"/>
    <w:rsid w:val="007223FC"/>
    <w:rsid w:val="00740270"/>
    <w:rsid w:val="00750FC8"/>
    <w:rsid w:val="007533D0"/>
    <w:rsid w:val="00755069"/>
    <w:rsid w:val="00761BAD"/>
    <w:rsid w:val="00772CD5"/>
    <w:rsid w:val="00776E8F"/>
    <w:rsid w:val="00781769"/>
    <w:rsid w:val="00784ADA"/>
    <w:rsid w:val="007915D3"/>
    <w:rsid w:val="00791800"/>
    <w:rsid w:val="007A7BE5"/>
    <w:rsid w:val="007B0660"/>
    <w:rsid w:val="007C2AA3"/>
    <w:rsid w:val="007D449C"/>
    <w:rsid w:val="007E3868"/>
    <w:rsid w:val="007F03E4"/>
    <w:rsid w:val="00807638"/>
    <w:rsid w:val="00811111"/>
    <w:rsid w:val="00820C41"/>
    <w:rsid w:val="008304B2"/>
    <w:rsid w:val="00844906"/>
    <w:rsid w:val="00850256"/>
    <w:rsid w:val="008629FB"/>
    <w:rsid w:val="008769A5"/>
    <w:rsid w:val="0088150D"/>
    <w:rsid w:val="00890C1A"/>
    <w:rsid w:val="00896423"/>
    <w:rsid w:val="00897291"/>
    <w:rsid w:val="008A3E27"/>
    <w:rsid w:val="008B578C"/>
    <w:rsid w:val="008C6B09"/>
    <w:rsid w:val="008E656A"/>
    <w:rsid w:val="008F0224"/>
    <w:rsid w:val="008F307D"/>
    <w:rsid w:val="008F435B"/>
    <w:rsid w:val="008F6077"/>
    <w:rsid w:val="00902B57"/>
    <w:rsid w:val="0091384D"/>
    <w:rsid w:val="00916A94"/>
    <w:rsid w:val="009259F2"/>
    <w:rsid w:val="0093330E"/>
    <w:rsid w:val="0093686F"/>
    <w:rsid w:val="00942FD4"/>
    <w:rsid w:val="00951997"/>
    <w:rsid w:val="00960F9E"/>
    <w:rsid w:val="0098132E"/>
    <w:rsid w:val="009834E1"/>
    <w:rsid w:val="00990352"/>
    <w:rsid w:val="0099602F"/>
    <w:rsid w:val="009A4161"/>
    <w:rsid w:val="009A6BB9"/>
    <w:rsid w:val="009C13F0"/>
    <w:rsid w:val="009C1D7D"/>
    <w:rsid w:val="009E0CE5"/>
    <w:rsid w:val="009E10AF"/>
    <w:rsid w:val="009F211B"/>
    <w:rsid w:val="00A03405"/>
    <w:rsid w:val="00A12045"/>
    <w:rsid w:val="00A12881"/>
    <w:rsid w:val="00A1528A"/>
    <w:rsid w:val="00A33918"/>
    <w:rsid w:val="00A466F3"/>
    <w:rsid w:val="00A60C09"/>
    <w:rsid w:val="00A7629F"/>
    <w:rsid w:val="00A903E7"/>
    <w:rsid w:val="00A95250"/>
    <w:rsid w:val="00AA06CC"/>
    <w:rsid w:val="00AB78E2"/>
    <w:rsid w:val="00AC1D44"/>
    <w:rsid w:val="00AC2EC5"/>
    <w:rsid w:val="00AC310E"/>
    <w:rsid w:val="00AD086A"/>
    <w:rsid w:val="00AD3BF2"/>
    <w:rsid w:val="00AD400E"/>
    <w:rsid w:val="00AF0CEE"/>
    <w:rsid w:val="00B14053"/>
    <w:rsid w:val="00B1631A"/>
    <w:rsid w:val="00B1764D"/>
    <w:rsid w:val="00B177D5"/>
    <w:rsid w:val="00B2143D"/>
    <w:rsid w:val="00B36D47"/>
    <w:rsid w:val="00B45DFB"/>
    <w:rsid w:val="00B5095B"/>
    <w:rsid w:val="00B51752"/>
    <w:rsid w:val="00B53DD9"/>
    <w:rsid w:val="00B667AD"/>
    <w:rsid w:val="00B84C38"/>
    <w:rsid w:val="00B86C00"/>
    <w:rsid w:val="00B91966"/>
    <w:rsid w:val="00B92475"/>
    <w:rsid w:val="00B947F6"/>
    <w:rsid w:val="00B95EF5"/>
    <w:rsid w:val="00BA6AB1"/>
    <w:rsid w:val="00BB3E3C"/>
    <w:rsid w:val="00BB7DAD"/>
    <w:rsid w:val="00BC0B34"/>
    <w:rsid w:val="00BC5ED8"/>
    <w:rsid w:val="00BD2C62"/>
    <w:rsid w:val="00BE0CD3"/>
    <w:rsid w:val="00BE2564"/>
    <w:rsid w:val="00BE5E80"/>
    <w:rsid w:val="00BF16AA"/>
    <w:rsid w:val="00C05908"/>
    <w:rsid w:val="00C07CBE"/>
    <w:rsid w:val="00C07DC8"/>
    <w:rsid w:val="00C216A3"/>
    <w:rsid w:val="00C24E41"/>
    <w:rsid w:val="00C32139"/>
    <w:rsid w:val="00C354B8"/>
    <w:rsid w:val="00C43193"/>
    <w:rsid w:val="00C4614A"/>
    <w:rsid w:val="00C52517"/>
    <w:rsid w:val="00C56632"/>
    <w:rsid w:val="00C60921"/>
    <w:rsid w:val="00C62936"/>
    <w:rsid w:val="00C64D1E"/>
    <w:rsid w:val="00C653F2"/>
    <w:rsid w:val="00C679E6"/>
    <w:rsid w:val="00C819A5"/>
    <w:rsid w:val="00C9029A"/>
    <w:rsid w:val="00C908F9"/>
    <w:rsid w:val="00CA0917"/>
    <w:rsid w:val="00CA1099"/>
    <w:rsid w:val="00CA1D0F"/>
    <w:rsid w:val="00CA5082"/>
    <w:rsid w:val="00CD455F"/>
    <w:rsid w:val="00CF32D2"/>
    <w:rsid w:val="00CF3BA1"/>
    <w:rsid w:val="00D06A74"/>
    <w:rsid w:val="00D20D52"/>
    <w:rsid w:val="00D23274"/>
    <w:rsid w:val="00D2391F"/>
    <w:rsid w:val="00D24E34"/>
    <w:rsid w:val="00D25F4E"/>
    <w:rsid w:val="00D417C2"/>
    <w:rsid w:val="00D51125"/>
    <w:rsid w:val="00D536D1"/>
    <w:rsid w:val="00D60936"/>
    <w:rsid w:val="00D6244F"/>
    <w:rsid w:val="00D63B14"/>
    <w:rsid w:val="00D709EB"/>
    <w:rsid w:val="00D740BD"/>
    <w:rsid w:val="00D74714"/>
    <w:rsid w:val="00D76B6A"/>
    <w:rsid w:val="00D81EFB"/>
    <w:rsid w:val="00D82F3F"/>
    <w:rsid w:val="00D84023"/>
    <w:rsid w:val="00D921C6"/>
    <w:rsid w:val="00D958C2"/>
    <w:rsid w:val="00DC23AD"/>
    <w:rsid w:val="00DE08B4"/>
    <w:rsid w:val="00DF5FA3"/>
    <w:rsid w:val="00DF65D8"/>
    <w:rsid w:val="00E03207"/>
    <w:rsid w:val="00E04AB5"/>
    <w:rsid w:val="00E16491"/>
    <w:rsid w:val="00E208BD"/>
    <w:rsid w:val="00E36C92"/>
    <w:rsid w:val="00E50EEA"/>
    <w:rsid w:val="00E52F58"/>
    <w:rsid w:val="00E67104"/>
    <w:rsid w:val="00E74C1C"/>
    <w:rsid w:val="00E8181D"/>
    <w:rsid w:val="00E87913"/>
    <w:rsid w:val="00E90C8C"/>
    <w:rsid w:val="00EA29BC"/>
    <w:rsid w:val="00EA413B"/>
    <w:rsid w:val="00EA7E1A"/>
    <w:rsid w:val="00EB6B8A"/>
    <w:rsid w:val="00EC26AA"/>
    <w:rsid w:val="00ED1E2F"/>
    <w:rsid w:val="00ED7A53"/>
    <w:rsid w:val="00EE1241"/>
    <w:rsid w:val="00EE4273"/>
    <w:rsid w:val="00EE69A1"/>
    <w:rsid w:val="00F02004"/>
    <w:rsid w:val="00F042CB"/>
    <w:rsid w:val="00F10F4B"/>
    <w:rsid w:val="00F13047"/>
    <w:rsid w:val="00F14DC1"/>
    <w:rsid w:val="00F17F4E"/>
    <w:rsid w:val="00F31AAC"/>
    <w:rsid w:val="00F40CF3"/>
    <w:rsid w:val="00F51823"/>
    <w:rsid w:val="00F538B1"/>
    <w:rsid w:val="00F60A20"/>
    <w:rsid w:val="00F73338"/>
    <w:rsid w:val="00FA00FA"/>
    <w:rsid w:val="00FB3A2F"/>
    <w:rsid w:val="00FB5FF6"/>
    <w:rsid w:val="00FC0A95"/>
    <w:rsid w:val="00FC3D9C"/>
    <w:rsid w:val="00FD2623"/>
    <w:rsid w:val="00FF0153"/>
    <w:rsid w:val="00FF12D9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03717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03717"/>
  </w:style>
  <w:style w:type="character" w:styleId="Refdenotaalpie">
    <w:name w:val="footnote reference"/>
    <w:basedOn w:val="Fuentedeprrafopredeter"/>
    <w:uiPriority w:val="99"/>
    <w:semiHidden/>
    <w:unhideWhenUsed/>
    <w:rsid w:val="0070371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0371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03717"/>
    <w:rPr>
      <w:color w:val="605E5C"/>
      <w:shd w:val="clear" w:color="auto" w:fill="E1DFDD"/>
    </w:rPr>
  </w:style>
  <w:style w:type="paragraph" w:customStyle="1" w:styleId="Normal1">
    <w:name w:val="Normal1"/>
    <w:rsid w:val="00243CC2"/>
    <w:pPr>
      <w:spacing w:line="276" w:lineRule="auto"/>
    </w:pPr>
    <w:rPr>
      <w:rFonts w:ascii="Arial" w:eastAsia="Arial" w:hAnsi="Arial" w:cs="Arial"/>
      <w:color w:val="000000"/>
      <w:sz w:val="22"/>
      <w:szCs w:val="24"/>
      <w:lang w:val="es-ES_tradnl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8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elnuevodia.com/noticias/gobierno/notas/contralora-cambia-la-normativa-de-personal-de-la-oficina-para-permitir-los-destaques/" TargetMode="External"/><Relationship Id="rId2" Type="http://schemas.openxmlformats.org/officeDocument/2006/relationships/hyperlink" Target="https://teleonce.com/programas/uncategorized/etica-gubernamental-investigara-el-contrato-de-janet-parra/" TargetMode="External"/><Relationship Id="rId1" Type="http://schemas.openxmlformats.org/officeDocument/2006/relationships/hyperlink" Target="https://www.elnuevodia.com/noticias/gobierno/notas/sin-divulgar-informes-de-auditoria-la-oficina-del-contralor-por-cambio-de-imag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A11136CC-DE7A-44D6-AD58-63EFA6BB76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Rocío Alayón Morell</cp:lastModifiedBy>
  <cp:revision>4</cp:revision>
  <cp:lastPrinted>2026-02-23T20:33:00Z</cp:lastPrinted>
  <dcterms:created xsi:type="dcterms:W3CDTF">2026-04-22T15:18:00Z</dcterms:created>
  <dcterms:modified xsi:type="dcterms:W3CDTF">2026-04-22T19:49:00Z</dcterms:modified>
</cp:coreProperties>
</file>