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0783FF" w14:textId="77777777" w:rsidR="006F6B16" w:rsidRDefault="00545444">
      <w:pPr>
        <w:jc w:val="center"/>
        <w:rPr>
          <w:rFonts w:eastAsia="Times New Roman" w:cs="Times New Roman"/>
          <w:sz w:val="28"/>
          <w:szCs w:val="20"/>
          <w:lang w:val="es-ES"/>
        </w:rPr>
      </w:pPr>
      <w:r>
        <w:rPr>
          <w:rFonts w:eastAsia="Times New Roman" w:cs="Times New Roman"/>
          <w:sz w:val="28"/>
          <w:szCs w:val="20"/>
          <w:lang w:val="es-ES"/>
        </w:rPr>
        <w:t>GOBIERNO DE PUERTO RICO</w:t>
      </w:r>
    </w:p>
    <w:p w14:paraId="535FC30C" w14:textId="77777777" w:rsidR="006F6B16" w:rsidRDefault="006F6B16">
      <w:pPr>
        <w:jc w:val="center"/>
        <w:rPr>
          <w:rFonts w:eastAsia="Times New Roman" w:cs="Times New Roman"/>
          <w:szCs w:val="20"/>
          <w:lang w:val="es-ES"/>
        </w:rPr>
      </w:pPr>
    </w:p>
    <w:p w14:paraId="1BCA957A" w14:textId="1AEE9246" w:rsidR="006F6B16" w:rsidRDefault="00545444">
      <w:pPr>
        <w:jc w:val="both"/>
        <w:rPr>
          <w:rFonts w:eastAsia="Times New Roman" w:cs="Times New Roman"/>
          <w:szCs w:val="20"/>
          <w:lang w:val="es-ES"/>
        </w:rPr>
      </w:pPr>
      <w:r>
        <w:rPr>
          <w:rFonts w:eastAsia="Times New Roman" w:cs="Times New Roman"/>
          <w:szCs w:val="20"/>
          <w:lang w:val="es-ES"/>
        </w:rPr>
        <w:t xml:space="preserve">20ma. Asamblea                                                        </w:t>
      </w:r>
      <w:r w:rsidR="000A74DE">
        <w:rPr>
          <w:rFonts w:eastAsia="Times New Roman" w:cs="Times New Roman"/>
          <w:szCs w:val="20"/>
          <w:lang w:val="es-ES"/>
        </w:rPr>
        <w:tab/>
      </w:r>
      <w:r w:rsidR="000A74DE">
        <w:rPr>
          <w:rFonts w:eastAsia="Times New Roman" w:cs="Times New Roman"/>
          <w:szCs w:val="20"/>
          <w:lang w:val="es-ES"/>
        </w:rPr>
        <w:tab/>
      </w:r>
      <w:r w:rsidR="000A74DE">
        <w:rPr>
          <w:rFonts w:eastAsia="Times New Roman" w:cs="Times New Roman"/>
          <w:szCs w:val="20"/>
          <w:lang w:val="es-ES"/>
        </w:rPr>
        <w:tab/>
      </w:r>
      <w:r w:rsidR="00DB7B71">
        <w:rPr>
          <w:rFonts w:eastAsia="Times New Roman" w:cs="Times New Roman"/>
          <w:szCs w:val="20"/>
          <w:lang w:val="es-ES"/>
        </w:rPr>
        <w:t xml:space="preserve">           </w:t>
      </w:r>
      <w:r>
        <w:rPr>
          <w:rFonts w:eastAsia="Times New Roman" w:cs="Times New Roman"/>
          <w:szCs w:val="20"/>
          <w:lang w:val="es-ES"/>
        </w:rPr>
        <w:t>3ra. Sesión</w:t>
      </w:r>
    </w:p>
    <w:p w14:paraId="45D5354C" w14:textId="143DCA85" w:rsidR="006F6B16" w:rsidRDefault="00545444">
      <w:pPr>
        <w:jc w:val="both"/>
        <w:rPr>
          <w:rFonts w:eastAsia="Times New Roman" w:cs="Times New Roman"/>
          <w:szCs w:val="20"/>
          <w:lang w:val="es-ES"/>
        </w:rPr>
      </w:pPr>
      <w:r>
        <w:rPr>
          <w:rFonts w:eastAsia="Times New Roman" w:cs="Times New Roman"/>
          <w:szCs w:val="20"/>
          <w:lang w:val="es-ES"/>
        </w:rPr>
        <w:t xml:space="preserve">           Legislativa                                                </w:t>
      </w:r>
      <w:r w:rsidR="000A74DE">
        <w:rPr>
          <w:rFonts w:eastAsia="Times New Roman" w:cs="Times New Roman"/>
          <w:szCs w:val="20"/>
          <w:lang w:val="es-ES"/>
        </w:rPr>
        <w:tab/>
      </w:r>
      <w:r w:rsidR="000A74DE">
        <w:rPr>
          <w:rFonts w:eastAsia="Times New Roman" w:cs="Times New Roman"/>
          <w:szCs w:val="20"/>
          <w:lang w:val="es-ES"/>
        </w:rPr>
        <w:tab/>
      </w:r>
      <w:r w:rsidR="000A74DE">
        <w:rPr>
          <w:rFonts w:eastAsia="Times New Roman" w:cs="Times New Roman"/>
          <w:szCs w:val="20"/>
          <w:lang w:val="es-ES"/>
        </w:rPr>
        <w:tab/>
      </w:r>
      <w:r w:rsidR="000A74DE">
        <w:rPr>
          <w:rFonts w:eastAsia="Times New Roman" w:cs="Times New Roman"/>
          <w:szCs w:val="20"/>
          <w:lang w:val="es-ES"/>
        </w:rPr>
        <w:tab/>
        <w:t xml:space="preserve">         </w:t>
      </w:r>
      <w:r w:rsidR="000A74DE">
        <w:rPr>
          <w:rFonts w:eastAsia="Times New Roman" w:cs="Times New Roman"/>
          <w:szCs w:val="20"/>
          <w:lang w:val="es-ES"/>
        </w:rPr>
        <w:tab/>
        <w:t xml:space="preserve">      </w:t>
      </w:r>
      <w:r>
        <w:rPr>
          <w:rFonts w:eastAsia="Times New Roman" w:cs="Times New Roman"/>
          <w:szCs w:val="20"/>
          <w:lang w:val="es-ES"/>
        </w:rPr>
        <w:t>Ordinaria</w:t>
      </w:r>
    </w:p>
    <w:p w14:paraId="1F6A857E" w14:textId="77777777" w:rsidR="006F6B16" w:rsidRDefault="006F6B16">
      <w:pPr>
        <w:rPr>
          <w:rFonts w:eastAsia="Times New Roman" w:cs="Times New Roman"/>
          <w:szCs w:val="20"/>
          <w:lang w:val="es-ES"/>
        </w:rPr>
      </w:pPr>
    </w:p>
    <w:p w14:paraId="5490074B" w14:textId="77777777" w:rsidR="006F6B16" w:rsidRDefault="00545444">
      <w:pPr>
        <w:jc w:val="center"/>
        <w:rPr>
          <w:rFonts w:eastAsia="Times New Roman" w:cs="Times New Roman"/>
          <w:b/>
          <w:sz w:val="36"/>
          <w:szCs w:val="20"/>
          <w:lang w:val="es-ES"/>
        </w:rPr>
      </w:pPr>
      <w:r>
        <w:rPr>
          <w:rFonts w:eastAsia="Times New Roman" w:cs="Times New Roman"/>
          <w:b/>
          <w:sz w:val="36"/>
          <w:szCs w:val="20"/>
          <w:lang w:val="es-ES"/>
        </w:rPr>
        <w:t>CÁMARA DE REPRESENTANTES</w:t>
      </w:r>
    </w:p>
    <w:p w14:paraId="34749DE4" w14:textId="77777777" w:rsidR="006F6B16" w:rsidRDefault="006F6B16">
      <w:pPr>
        <w:jc w:val="center"/>
        <w:rPr>
          <w:rFonts w:eastAsia="Times New Roman" w:cs="Times New Roman"/>
          <w:szCs w:val="20"/>
          <w:lang w:val="es-ES"/>
        </w:rPr>
      </w:pPr>
    </w:p>
    <w:p w14:paraId="78D9FEE7" w14:textId="260BCA1C" w:rsidR="006F6B16" w:rsidRDefault="00545444">
      <w:pPr>
        <w:jc w:val="center"/>
        <w:rPr>
          <w:rFonts w:eastAsia="Times New Roman" w:cs="Times New Roman"/>
          <w:b/>
          <w:sz w:val="52"/>
          <w:szCs w:val="52"/>
          <w:lang w:val="es-ES"/>
        </w:rPr>
      </w:pPr>
      <w:r>
        <w:rPr>
          <w:rFonts w:eastAsia="Times New Roman" w:cs="Times New Roman"/>
          <w:b/>
          <w:sz w:val="52"/>
          <w:szCs w:val="52"/>
          <w:lang w:val="es-ES"/>
        </w:rPr>
        <w:t>P. de la C.</w:t>
      </w:r>
      <w:r w:rsidR="00C30075">
        <w:rPr>
          <w:rFonts w:eastAsia="Times New Roman" w:cs="Times New Roman"/>
          <w:b/>
          <w:sz w:val="52"/>
          <w:szCs w:val="52"/>
          <w:lang w:val="es-ES"/>
        </w:rPr>
        <w:t xml:space="preserve"> 1235</w:t>
      </w:r>
    </w:p>
    <w:p w14:paraId="5E14E445" w14:textId="77777777" w:rsidR="006F6B16" w:rsidRDefault="006F6B16">
      <w:pPr>
        <w:jc w:val="center"/>
        <w:rPr>
          <w:rFonts w:eastAsia="Times New Roman" w:cs="Times New Roman"/>
          <w:szCs w:val="20"/>
          <w:lang w:val="es-ES"/>
        </w:rPr>
      </w:pPr>
    </w:p>
    <w:p w14:paraId="62860AC0" w14:textId="72007AAC" w:rsidR="006F6B16" w:rsidRDefault="00C30075">
      <w:pPr>
        <w:jc w:val="center"/>
        <w:rPr>
          <w:rFonts w:eastAsia="Times New Roman" w:cs="Times New Roman"/>
          <w:szCs w:val="20"/>
          <w:lang w:val="es-ES"/>
        </w:rPr>
      </w:pPr>
      <w:r>
        <w:rPr>
          <w:rFonts w:eastAsia="Times New Roman" w:cs="Times New Roman"/>
          <w:szCs w:val="20"/>
          <w:lang w:val="es-ES"/>
        </w:rPr>
        <w:t>23</w:t>
      </w:r>
      <w:r w:rsidR="00545444">
        <w:rPr>
          <w:rFonts w:eastAsia="Times New Roman" w:cs="Times New Roman"/>
          <w:szCs w:val="20"/>
          <w:lang w:val="es-ES"/>
        </w:rPr>
        <w:t xml:space="preserve"> DE ABRIL DE 2026</w:t>
      </w:r>
    </w:p>
    <w:p w14:paraId="4B573FDE" w14:textId="77777777" w:rsidR="006F6B16" w:rsidRDefault="006F6B16">
      <w:pPr>
        <w:jc w:val="center"/>
        <w:rPr>
          <w:rFonts w:eastAsia="Times New Roman" w:cs="Times New Roman"/>
          <w:szCs w:val="20"/>
          <w:lang w:val="es-ES"/>
        </w:rPr>
      </w:pPr>
    </w:p>
    <w:p w14:paraId="6D39F280" w14:textId="77777777" w:rsidR="006F6B16" w:rsidRDefault="00545444" w:rsidP="000A74DE">
      <w:pPr>
        <w:jc w:val="center"/>
        <w:rPr>
          <w:rFonts w:eastAsia="Times New Roman" w:cs="Times New Roman"/>
          <w:szCs w:val="20"/>
          <w:lang w:val="es-ES"/>
        </w:rPr>
      </w:pPr>
      <w:r>
        <w:rPr>
          <w:rFonts w:eastAsia="Times New Roman" w:cs="Times New Roman"/>
          <w:szCs w:val="20"/>
          <w:lang w:val="es-ES"/>
        </w:rPr>
        <w:t xml:space="preserve">Presentado por el representante </w:t>
      </w:r>
      <w:r>
        <w:rPr>
          <w:rFonts w:eastAsia="Times New Roman" w:cs="Times New Roman"/>
          <w:i/>
          <w:szCs w:val="20"/>
          <w:lang w:val="es-ES"/>
        </w:rPr>
        <w:t>Navarro Suárez</w:t>
      </w:r>
    </w:p>
    <w:p w14:paraId="631903F2" w14:textId="77777777" w:rsidR="006F6B16" w:rsidRDefault="006F6B16" w:rsidP="000A74DE">
      <w:pPr>
        <w:jc w:val="center"/>
        <w:rPr>
          <w:rFonts w:eastAsia="Times New Roman" w:cs="Times New Roman"/>
          <w:szCs w:val="20"/>
          <w:lang w:val="es-ES"/>
        </w:rPr>
      </w:pPr>
    </w:p>
    <w:p w14:paraId="4BE1427D" w14:textId="6658705B" w:rsidR="006F6B16" w:rsidRDefault="00545444" w:rsidP="000A74DE">
      <w:pPr>
        <w:jc w:val="center"/>
        <w:rPr>
          <w:rFonts w:eastAsia="Times New Roman" w:cs="Times New Roman"/>
          <w:szCs w:val="20"/>
          <w:lang w:val="es-ES"/>
        </w:rPr>
      </w:pPr>
      <w:r>
        <w:rPr>
          <w:rFonts w:eastAsia="Times New Roman" w:cs="Times New Roman"/>
          <w:szCs w:val="20"/>
          <w:lang w:val="es-ES"/>
        </w:rPr>
        <w:t xml:space="preserve">Referido a la Comisión de </w:t>
      </w:r>
      <w:r w:rsidR="001F1A3C">
        <w:rPr>
          <w:rFonts w:eastAsia="Times New Roman" w:cs="Times New Roman"/>
          <w:szCs w:val="20"/>
          <w:lang w:val="es-ES"/>
        </w:rPr>
        <w:t>Hacienda</w:t>
      </w:r>
    </w:p>
    <w:p w14:paraId="0CCCE198" w14:textId="77777777" w:rsidR="00DB7B71" w:rsidRDefault="00DB7B71">
      <w:pPr>
        <w:jc w:val="center"/>
        <w:rPr>
          <w:rFonts w:eastAsia="Times New Roman" w:cs="Times New Roman"/>
          <w:b/>
          <w:sz w:val="28"/>
          <w:szCs w:val="20"/>
          <w:lang w:val="es-ES"/>
        </w:rPr>
      </w:pPr>
    </w:p>
    <w:p w14:paraId="1BC08EF4" w14:textId="441FA36A" w:rsidR="006F6B16" w:rsidRDefault="00545444">
      <w:pPr>
        <w:jc w:val="center"/>
        <w:rPr>
          <w:rFonts w:eastAsia="Times New Roman" w:cs="Times New Roman"/>
          <w:b/>
          <w:sz w:val="28"/>
          <w:szCs w:val="20"/>
          <w:lang w:val="es-ES"/>
        </w:rPr>
      </w:pPr>
      <w:r>
        <w:rPr>
          <w:rFonts w:eastAsia="Times New Roman" w:cs="Times New Roman"/>
          <w:b/>
          <w:sz w:val="28"/>
          <w:szCs w:val="20"/>
          <w:lang w:val="es-ES"/>
        </w:rPr>
        <w:t>LEY</w:t>
      </w:r>
    </w:p>
    <w:p w14:paraId="4538DC70" w14:textId="77777777" w:rsidR="006F6B16" w:rsidRDefault="006F6B16">
      <w:pPr>
        <w:jc w:val="both"/>
        <w:rPr>
          <w:rFonts w:eastAsia="Times New Roman" w:cs="Times New Roman"/>
          <w:szCs w:val="20"/>
          <w:lang w:val="es-ES"/>
        </w:rPr>
      </w:pPr>
    </w:p>
    <w:p w14:paraId="316D9E90" w14:textId="77777777" w:rsidR="006F6B16" w:rsidRDefault="00545444">
      <w:pPr>
        <w:ind w:left="720" w:hanging="720"/>
        <w:jc w:val="both"/>
        <w:rPr>
          <w:rFonts w:eastAsia="Times New Roman"/>
          <w:szCs w:val="20"/>
          <w:lang w:val="es-ES"/>
        </w:rPr>
      </w:pPr>
      <w:r>
        <w:rPr>
          <w:rFonts w:eastAsia="Times New Roman"/>
          <w:szCs w:val="20"/>
          <w:lang w:val="es-ES"/>
        </w:rPr>
        <w:t xml:space="preserve">   Para crear la "Ley del Bono Voluntario de Maternidad"; establecer los parámetros, requisitos y procedimiento del bono voluntario que podrá pagar el patrono a la empleada que se acoja a la licencia de maternidad; disponer que el monto del bono será igual o mayor a la paga que la trabajadora recibiría durante el término de su licencia; otorgar a la trabajadora la opción de escoger entre su salario regular durante la licencia o, en la alternativa, el bono voluntario; autorizar al patrono a reclamar dicho bono como deducción ordinaria de gasto y, adicionalmente, un crédito contributivo equivalente al cincuenta por ciento (50%) del bono pagado en su planilla de contribución sobre ingresos; enmendar la Sección 1033.01 y añadir una nueva Sección 1051.17 a la Ley 1-2011, según enmendada, conocida como "Código de Rentas Internas para un Nuevo Puerto Rico"; y para otros fines relacionados.</w:t>
      </w:r>
    </w:p>
    <w:p w14:paraId="5568C70A" w14:textId="77777777" w:rsidR="006F6B16" w:rsidRDefault="006F6B16">
      <w:pPr>
        <w:jc w:val="both"/>
        <w:rPr>
          <w:rFonts w:eastAsia="Times New Roman" w:cs="Times New Roman"/>
          <w:szCs w:val="20"/>
          <w:lang w:val="es-ES"/>
        </w:rPr>
      </w:pPr>
    </w:p>
    <w:p w14:paraId="2FA8A479" w14:textId="77777777" w:rsidR="006F6B16" w:rsidRDefault="00545444">
      <w:pPr>
        <w:ind w:left="720" w:hanging="720"/>
        <w:jc w:val="center"/>
        <w:rPr>
          <w:rFonts w:eastAsia="Times New Roman" w:cs="Times New Roman"/>
          <w:szCs w:val="20"/>
          <w:lang w:val="es-ES"/>
        </w:rPr>
      </w:pPr>
      <w:r>
        <w:rPr>
          <w:rFonts w:eastAsia="Times New Roman" w:cs="Times New Roman"/>
          <w:szCs w:val="20"/>
          <w:lang w:val="es-ES"/>
        </w:rPr>
        <w:t>EXPOSICIÓN DE MOTIVOS</w:t>
      </w:r>
    </w:p>
    <w:p w14:paraId="73BA87A0" w14:textId="77777777" w:rsidR="006F6B16" w:rsidRDefault="006F6B16">
      <w:pPr>
        <w:jc w:val="center"/>
        <w:rPr>
          <w:rFonts w:eastAsia="Times New Roman" w:cs="Times New Roman"/>
          <w:szCs w:val="24"/>
          <w:lang w:val="es-ES"/>
        </w:rPr>
      </w:pPr>
    </w:p>
    <w:p w14:paraId="55F204E0" w14:textId="77777777" w:rsidR="006F6B16" w:rsidRDefault="00545444" w:rsidP="00DB7B71">
      <w:pPr>
        <w:ind w:firstLine="720"/>
        <w:jc w:val="both"/>
        <w:rPr>
          <w:rFonts w:eastAsia="Times New Roman" w:cs="Times New Roman"/>
          <w:szCs w:val="20"/>
          <w:lang w:val="es-ES"/>
        </w:rPr>
      </w:pPr>
      <w:r>
        <w:rPr>
          <w:rFonts w:eastAsia="Times New Roman" w:cs="Times New Roman"/>
          <w:szCs w:val="20"/>
          <w:lang w:val="es-ES"/>
        </w:rPr>
        <w:t>El cuidado y protección de la mujer trabajadora durante la etapa de maternidad constituye uno de los compromisos sociales más firmes de esta Asamblea Legislativa. Si bien la legislación vigente garantiza el pago íntegro del salario regular durante la licencia de maternidad, la realidad económica de muchos hogares puertorriqueños revela que esa compensación, aunque necesaria, resulta apenas suficiente para afrontar los gastos extraordinarios propios del nacimiento de un hijo o hija: cuidado médico prenatal y postnatal, equipamiento del recién nacido, artículos de lactancia, atención pediátrica y la pérdida indirecta de ingresos familiares. Por ello, resulta meritorio crear incentivos adicionales que reconozcan y premien la decisión de nuestras mujeres de ser madres y continuar siendo parte activa del mercado laboral.</w:t>
      </w:r>
    </w:p>
    <w:p w14:paraId="40B1FA0A" w14:textId="77777777" w:rsidR="006F6B16" w:rsidRDefault="00545444" w:rsidP="00DB7B71">
      <w:pPr>
        <w:ind w:firstLine="720"/>
        <w:jc w:val="both"/>
        <w:rPr>
          <w:rFonts w:eastAsia="Times New Roman" w:cs="Times New Roman"/>
          <w:szCs w:val="20"/>
          <w:lang w:val="es-ES"/>
        </w:rPr>
      </w:pPr>
      <w:r>
        <w:rPr>
          <w:rFonts w:eastAsia="Times New Roman" w:cs="Times New Roman"/>
          <w:szCs w:val="20"/>
          <w:lang w:val="es-ES"/>
        </w:rPr>
        <w:lastRenderedPageBreak/>
        <w:t>Esta Asamblea Legislativa reconoce, al mismo tiempo, que la carga económica vinculada al pago de salarios durante licencias prolongadas puede resultar onerosa para el patrono, especialmente para las pequeñas y medianas empresas (PYMES) que constituyen la espina dorsal de nuestra economía. Imponer una obligación adicional sin una contrapartida fiscal razonable podría desincentivar la contratación de mujeres en edad reproductiva y, por tanto, resultar contraproducente. Por esta razón, se hace necesario articular una herramienta voluntaria y neutral que alinee los intereses de la trabajadora, del patrono y del Estado mediante un adecuado balance de incentivos fiscales.</w:t>
      </w:r>
    </w:p>
    <w:p w14:paraId="6115321F" w14:textId="77777777" w:rsidR="00DB7B71" w:rsidRDefault="00DB7B71" w:rsidP="00DB7B71">
      <w:pPr>
        <w:ind w:firstLine="720"/>
        <w:jc w:val="both"/>
        <w:rPr>
          <w:rFonts w:eastAsia="Times New Roman" w:cs="Times New Roman"/>
          <w:szCs w:val="20"/>
          <w:lang w:val="es-ES"/>
        </w:rPr>
      </w:pPr>
    </w:p>
    <w:p w14:paraId="06D2245C" w14:textId="77777777" w:rsidR="006F6B16" w:rsidRDefault="00545444" w:rsidP="00DB7B71">
      <w:pPr>
        <w:ind w:firstLine="720"/>
        <w:jc w:val="both"/>
        <w:rPr>
          <w:rFonts w:eastAsia="Times New Roman" w:cs="Times New Roman"/>
          <w:szCs w:val="20"/>
          <w:lang w:val="es-ES"/>
        </w:rPr>
      </w:pPr>
      <w:r>
        <w:rPr>
          <w:rFonts w:eastAsia="Times New Roman" w:cs="Times New Roman"/>
          <w:szCs w:val="20"/>
          <w:lang w:val="es-ES"/>
        </w:rPr>
        <w:t>Con el propósito de atender ambos intereses legítimos, esta Ley crea el "Bono Voluntario de Maternidad", una figura innovadora mediante la cual el patrono podrá, en adición o en sustitución del salario regular de la licencia, ofrecer a la empleada un bono equivalente o mayor a lo que ella devengaría durante las semanas de su licencia de maternidad. Este bono será un beneficio completamente voluntario para el patrono —quien podrá decidir ofrecerlo o no—, pero una vez ofrecido será también un derecho opcional para la trabajadora, quien retendrá en todo momento la facultad de escoger entre su salario regular o el bono, lo que le convenga mejor. Se protege así la autonomía económica de la mujer y el principio constitucional de no regresividad de los derechos laborales.</w:t>
      </w:r>
    </w:p>
    <w:p w14:paraId="2FBA3809" w14:textId="77777777" w:rsidR="00DB7B71" w:rsidRDefault="00DB7B71" w:rsidP="00DB7B71">
      <w:pPr>
        <w:ind w:firstLine="720"/>
        <w:jc w:val="both"/>
        <w:rPr>
          <w:rFonts w:eastAsia="Times New Roman" w:cs="Times New Roman"/>
          <w:szCs w:val="20"/>
          <w:lang w:val="es-ES"/>
        </w:rPr>
      </w:pPr>
    </w:p>
    <w:p w14:paraId="46C97EEA" w14:textId="77777777" w:rsidR="006F6B16" w:rsidRDefault="00545444" w:rsidP="00DB7B71">
      <w:pPr>
        <w:ind w:firstLine="720"/>
        <w:jc w:val="both"/>
        <w:rPr>
          <w:rFonts w:eastAsia="Times New Roman" w:cs="Times New Roman"/>
          <w:szCs w:val="20"/>
          <w:lang w:val="es-ES"/>
        </w:rPr>
      </w:pPr>
      <w:r>
        <w:rPr>
          <w:rFonts w:eastAsia="Times New Roman" w:cs="Times New Roman"/>
          <w:szCs w:val="20"/>
          <w:lang w:val="es-ES"/>
        </w:rPr>
        <w:t>Como contrapartida al incentivo voluntario ofrecido por el patrono, esta Ley autoriza dos tratamientos contributivos complementarios. En primer lugar, el patrono podrá continuar reclamando el bono pagado como una deducción ordinaria de gasto de negocio en su planilla de contribución sobre ingresos, conforme a la Sección 1033.01 del Código de Rentas Internas. En segundo lugar, esta Ley concede al patrono un crédito contributivo adicional equivalente al cincuenta por ciento (50%) del bono pagado, aplicable contra la contribución sobre ingresos adeudada en el mismo año contributivo, con arrastre de hasta tres (3) años. Este esquema dual garantiza la viabilidad económica del beneficio, evita afectaciones al Fondo General del Estado más allá de lo estrictamente necesario para promover la política pública, y distribuye equitativamente el costo entre los tres actores involucrados: la trabajadora (quien obtiene un bono igual o mayor a su salario), el patrono (quien recupera el cincuenta por ciento (50%) del bono a través del crédito) y el Estado (quien renuncia a una fracción de contribuciones para promover la natalidad y el bienestar familiar).</w:t>
      </w:r>
    </w:p>
    <w:p w14:paraId="4585DCB0" w14:textId="77777777" w:rsidR="00DB7B71" w:rsidRDefault="00DB7B71" w:rsidP="00DB7B71">
      <w:pPr>
        <w:ind w:firstLine="720"/>
        <w:jc w:val="both"/>
        <w:rPr>
          <w:rFonts w:eastAsia="Times New Roman" w:cs="Times New Roman"/>
          <w:szCs w:val="20"/>
          <w:lang w:val="es-ES"/>
        </w:rPr>
      </w:pPr>
    </w:p>
    <w:p w14:paraId="0995A151" w14:textId="7ED1243F" w:rsidR="000A74DE" w:rsidRDefault="00545444" w:rsidP="00DB7B71">
      <w:pPr>
        <w:ind w:firstLine="720"/>
        <w:jc w:val="both"/>
        <w:rPr>
          <w:rFonts w:eastAsia="Times New Roman" w:cs="Times New Roman"/>
          <w:szCs w:val="20"/>
          <w:lang w:val="es-ES"/>
        </w:rPr>
      </w:pPr>
      <w:r>
        <w:rPr>
          <w:rFonts w:eastAsia="Times New Roman" w:cs="Times New Roman"/>
          <w:szCs w:val="20"/>
          <w:lang w:val="es-ES"/>
        </w:rPr>
        <w:t>Finalmente, esta medida se enmarca dentro del compromiso del Gobierno de Puerto Rico con la familia, con la natalidad responsable y con la dignidad de la mujer trabajadora. Ante el reto demográfico que enfrenta nuestra Isla, urge adoptar herramientas innovadoras que hagan económicamente viable la decisión de ser madre sin que ello implique un retroceso profesional o un desbalance familiar. Esta Asamblea Legislativa, consciente de esta realidad, aprueba esta medida con la convicción de que toda política pública verdaderamente transformadora debe colocar a la familia en el centro de la acción legislativa.</w:t>
      </w:r>
    </w:p>
    <w:p w14:paraId="4F578F6E" w14:textId="77777777" w:rsidR="006F6B16" w:rsidRDefault="00545444">
      <w:pPr>
        <w:spacing w:line="480" w:lineRule="auto"/>
        <w:rPr>
          <w:rFonts w:eastAsia="Times New Roman" w:cs="Times New Roman"/>
          <w:i/>
          <w:szCs w:val="20"/>
          <w:lang w:val="es-ES"/>
        </w:rPr>
      </w:pPr>
      <w:r>
        <w:rPr>
          <w:rFonts w:eastAsia="Times New Roman" w:cs="Times New Roman"/>
          <w:i/>
          <w:szCs w:val="20"/>
          <w:lang w:val="es-ES"/>
        </w:rPr>
        <w:lastRenderedPageBreak/>
        <w:t>DECRÉTASE POR LA ASAMBLEA LEGISLATIVA DE PUERTO RICO:</w:t>
      </w:r>
    </w:p>
    <w:p w14:paraId="5D0398DC" w14:textId="77777777" w:rsidR="006F6B16" w:rsidRDefault="006F6B16">
      <w:pPr>
        <w:spacing w:line="480" w:lineRule="auto"/>
        <w:jc w:val="both"/>
        <w:rPr>
          <w:rFonts w:eastAsia="Times New Roman" w:cs="Times New Roman"/>
          <w:szCs w:val="20"/>
          <w:lang w:val="es-ES"/>
        </w:rPr>
        <w:sectPr w:rsidR="006F6B16" w:rsidSect="003176F0">
          <w:headerReference w:type="default" r:id="rId10"/>
          <w:pgSz w:w="12240" w:h="15840" w:code="1"/>
          <w:pgMar w:top="1152" w:right="1440" w:bottom="1440" w:left="1440" w:header="720" w:footer="720" w:gutter="0"/>
          <w:cols w:space="720"/>
          <w:titlePg/>
          <w:docGrid w:linePitch="326"/>
        </w:sectPr>
      </w:pPr>
    </w:p>
    <w:p w14:paraId="6E0C1945" w14:textId="77777777" w:rsidR="006F6B16" w:rsidRDefault="00545444">
      <w:pPr>
        <w:spacing w:line="480" w:lineRule="auto"/>
        <w:jc w:val="both"/>
        <w:rPr>
          <w:rFonts w:eastAsia="Times New Roman"/>
          <w:szCs w:val="20"/>
          <w:lang w:val="es-ES"/>
        </w:rPr>
      </w:pPr>
      <w:r>
        <w:rPr>
          <w:rFonts w:eastAsia="Times New Roman" w:cs="Times New Roman"/>
          <w:szCs w:val="20"/>
          <w:lang w:val="es-ES"/>
        </w:rPr>
        <w:tab/>
      </w:r>
      <w:r>
        <w:rPr>
          <w:rFonts w:eastAsia="Times New Roman"/>
          <w:szCs w:val="20"/>
          <w:lang w:val="es-ES"/>
        </w:rPr>
        <w:t>Artículo 1.- Título. Esta Ley se conocerá y podrá ser citada como la "Ley del Bono Voluntario de Maternidad".</w:t>
      </w:r>
    </w:p>
    <w:p w14:paraId="613254BD" w14:textId="77777777" w:rsidR="006F6B16" w:rsidRDefault="00545444">
      <w:pPr>
        <w:spacing w:line="480" w:lineRule="auto"/>
        <w:jc w:val="both"/>
        <w:rPr>
          <w:rFonts w:eastAsia="Times New Roman"/>
          <w:szCs w:val="20"/>
          <w:lang w:val="es-ES"/>
        </w:rPr>
      </w:pPr>
      <w:r>
        <w:rPr>
          <w:rFonts w:eastAsia="Times New Roman" w:cs="Times New Roman"/>
          <w:szCs w:val="20"/>
          <w:lang w:val="es-ES"/>
        </w:rPr>
        <w:tab/>
      </w:r>
      <w:r>
        <w:rPr>
          <w:rFonts w:eastAsia="Times New Roman"/>
          <w:szCs w:val="20"/>
          <w:lang w:val="es-ES"/>
        </w:rPr>
        <w:t>Artículo 2.- Política Pública. Se declara política pública del Gobierno de Puerto Rico promover la permanencia y plena participación de la mujer en el mercado laboral durante y después de la maternidad; incentivar al sector patronal para que ofrezca voluntariamente compensaciones adicionales a la salariada durante la licencia de maternidad; y ampliar las opciones económicas que tiene la trabajadora para atender sus necesidades familiares durante dicho período, mediante el establecimiento de un esquema voluntario y fiscalmente responsable.</w:t>
      </w:r>
    </w:p>
    <w:p w14:paraId="62E9CD6B" w14:textId="77777777" w:rsidR="006F6B16" w:rsidRDefault="00545444">
      <w:pPr>
        <w:spacing w:line="480" w:lineRule="auto"/>
        <w:jc w:val="both"/>
        <w:rPr>
          <w:rFonts w:eastAsia="Times New Roman"/>
          <w:szCs w:val="20"/>
          <w:lang w:val="es-ES"/>
        </w:rPr>
      </w:pPr>
      <w:r>
        <w:rPr>
          <w:rFonts w:eastAsia="Times New Roman" w:cs="Times New Roman"/>
          <w:szCs w:val="20"/>
          <w:lang w:val="es-ES"/>
        </w:rPr>
        <w:tab/>
      </w:r>
      <w:r>
        <w:rPr>
          <w:rFonts w:eastAsia="Times New Roman"/>
          <w:szCs w:val="20"/>
          <w:lang w:val="es-ES"/>
        </w:rPr>
        <w:t>Artículo 3.- Definiciones. Para propósitos de esta Ley, los siguientes términos tendrán el significado que a continuación se indica:</w:t>
      </w:r>
    </w:p>
    <w:p w14:paraId="3E7A7E41" w14:textId="77777777" w:rsidR="006F6B16" w:rsidRDefault="00545444">
      <w:pPr>
        <w:spacing w:line="480" w:lineRule="auto"/>
        <w:ind w:left="1440" w:hanging="720"/>
        <w:jc w:val="both"/>
        <w:rPr>
          <w:rFonts w:eastAsia="Times New Roman"/>
          <w:szCs w:val="20"/>
          <w:lang w:val="es-ES"/>
        </w:rPr>
      </w:pPr>
      <w:r>
        <w:rPr>
          <w:rFonts w:eastAsia="Times New Roman"/>
          <w:szCs w:val="20"/>
          <w:lang w:val="es-ES"/>
        </w:rPr>
        <w:t>(a)</w:t>
      </w:r>
      <w:r>
        <w:rPr>
          <w:rFonts w:eastAsia="Times New Roman"/>
          <w:szCs w:val="20"/>
          <w:lang w:val="es-ES"/>
        </w:rPr>
        <w:tab/>
        <w:t>Bono Voluntario de Maternidad o "Bono": El pago único, en efectivo, que un patrono opta por ofrecer a una empleada elegible como compensación económica durante el período correspondiente a su licencia de maternidad, en una cantidad igual o mayor al salario regular que dicha empleada habría devengado durante todas las semanas de su licencia de maternidad vigente, según dispuesto en la Ley Núm. 3 de 13 de marzo de 1942, según enmendada (sector privado); en la Ley Núm. 8-2017, según enmendada, y la legislación especial aplicable al gobierno central; en el Código Municipal para las empleadas municipales; o en la ley especial que sustituya a cualquiera de las anteriores.</w:t>
      </w:r>
    </w:p>
    <w:p w14:paraId="7C4A4B2B" w14:textId="77777777" w:rsidR="006F6B16" w:rsidRDefault="00545444">
      <w:pPr>
        <w:spacing w:line="480" w:lineRule="auto"/>
        <w:ind w:left="1440" w:hanging="720"/>
        <w:jc w:val="both"/>
        <w:rPr>
          <w:rFonts w:eastAsia="Times New Roman"/>
          <w:szCs w:val="20"/>
          <w:lang w:val="es-ES"/>
        </w:rPr>
      </w:pPr>
      <w:r>
        <w:rPr>
          <w:rFonts w:eastAsia="Times New Roman"/>
          <w:szCs w:val="20"/>
          <w:lang w:val="es-ES"/>
        </w:rPr>
        <w:lastRenderedPageBreak/>
        <w:t>(b)</w:t>
      </w:r>
      <w:r>
        <w:rPr>
          <w:rFonts w:eastAsia="Times New Roman"/>
          <w:szCs w:val="20"/>
          <w:lang w:val="es-ES"/>
        </w:rPr>
        <w:tab/>
        <w:t>Empleada Elegible: Toda mujer trabajadora, del sector público o privado, que tenga derecho al disfrute de licencia de maternidad bajo cualquiera de las leyes vigentes de Puerto Rico, independientemente del tiempo de servicio, horas trabajadas o naturaleza del empleo, siempre que se acoja formalmente a la licencia.</w:t>
      </w:r>
    </w:p>
    <w:p w14:paraId="49329C5E" w14:textId="77777777" w:rsidR="006F6B16" w:rsidRDefault="00545444">
      <w:pPr>
        <w:spacing w:line="480" w:lineRule="auto"/>
        <w:ind w:left="1440" w:hanging="720"/>
        <w:jc w:val="both"/>
        <w:rPr>
          <w:rFonts w:eastAsia="Times New Roman"/>
          <w:szCs w:val="20"/>
          <w:lang w:val="es-ES"/>
        </w:rPr>
      </w:pPr>
      <w:r>
        <w:rPr>
          <w:rFonts w:eastAsia="Times New Roman"/>
          <w:szCs w:val="20"/>
          <w:lang w:val="es-ES"/>
        </w:rPr>
        <w:t>(c)</w:t>
      </w:r>
      <w:r>
        <w:rPr>
          <w:rFonts w:eastAsia="Times New Roman"/>
          <w:szCs w:val="20"/>
          <w:lang w:val="es-ES"/>
        </w:rPr>
        <w:tab/>
        <w:t>Patrono: Toda persona natural o jurídica que emplee a una o más trabajadoras cubiertas por esta Ley, incluyendo al Gobierno de Puerto Rico y sus instrumentalidades, corporaciones públicas y municipios.</w:t>
      </w:r>
    </w:p>
    <w:p w14:paraId="35A5A3A2" w14:textId="77777777" w:rsidR="006F6B16" w:rsidRDefault="00545444">
      <w:pPr>
        <w:spacing w:line="480" w:lineRule="auto"/>
        <w:ind w:left="1440" w:hanging="720"/>
        <w:jc w:val="both"/>
        <w:rPr>
          <w:rFonts w:eastAsia="Times New Roman"/>
          <w:szCs w:val="20"/>
          <w:lang w:val="es-ES"/>
        </w:rPr>
      </w:pPr>
      <w:r>
        <w:rPr>
          <w:rFonts w:eastAsia="Times New Roman"/>
          <w:szCs w:val="20"/>
          <w:lang w:val="es-ES"/>
        </w:rPr>
        <w:t>(d)</w:t>
      </w:r>
      <w:r>
        <w:rPr>
          <w:rFonts w:eastAsia="Times New Roman"/>
          <w:szCs w:val="20"/>
          <w:lang w:val="es-ES"/>
        </w:rPr>
        <w:tab/>
        <w:t>Salario Regular: La totalidad de la compensación periódica, fija o por hora, que recibe la empleada por los servicios prestados a su patrono, incluyendo bonos obligatorios, pero excluyendo pagos extraordinarios, dietas, propinas o comisiones condicionadas a la presencia física en el trabajo.</w:t>
      </w:r>
    </w:p>
    <w:p w14:paraId="2E833D64" w14:textId="77777777" w:rsidR="006F6B16" w:rsidRDefault="00545444">
      <w:pPr>
        <w:spacing w:line="480" w:lineRule="auto"/>
        <w:ind w:left="1440" w:hanging="720"/>
        <w:jc w:val="both"/>
        <w:rPr>
          <w:rFonts w:eastAsia="Times New Roman"/>
          <w:szCs w:val="20"/>
          <w:lang w:val="es-ES"/>
        </w:rPr>
      </w:pPr>
      <w:r>
        <w:rPr>
          <w:rFonts w:eastAsia="Times New Roman"/>
          <w:szCs w:val="20"/>
          <w:lang w:val="es-ES"/>
        </w:rPr>
        <w:t>(e)</w:t>
      </w:r>
      <w:r>
        <w:rPr>
          <w:rFonts w:eastAsia="Times New Roman"/>
          <w:szCs w:val="20"/>
          <w:lang w:val="es-ES"/>
        </w:rPr>
        <w:tab/>
        <w:t>Crédito Contributivo por Bono de Maternidad: Crédito equivalente al cincuenta por ciento (50%) del Bono Voluntario de Maternidad pagado por el patrono durante el año contributivo, acreditable contra la responsabilidad contributiva del patrono bajo el Subtítulo A del Código de Rentas Internas, y arrastrable hasta tres (3) años contributivos subsiguientes. Este crédito es adicional a la deducción ordinaria de gasto por concepto del bono pagado.</w:t>
      </w:r>
    </w:p>
    <w:p w14:paraId="7BD7005D" w14:textId="77777777" w:rsidR="006F6B16" w:rsidRDefault="00545444">
      <w:pPr>
        <w:spacing w:line="480" w:lineRule="auto"/>
        <w:ind w:left="1440" w:hanging="720"/>
        <w:jc w:val="both"/>
        <w:rPr>
          <w:rFonts w:eastAsia="Times New Roman"/>
          <w:szCs w:val="20"/>
          <w:lang w:val="es-ES"/>
        </w:rPr>
      </w:pPr>
      <w:r>
        <w:rPr>
          <w:rFonts w:eastAsia="Times New Roman"/>
          <w:szCs w:val="20"/>
          <w:lang w:val="es-ES"/>
        </w:rPr>
        <w:t>(f)</w:t>
      </w:r>
      <w:r>
        <w:rPr>
          <w:rFonts w:eastAsia="Times New Roman"/>
          <w:szCs w:val="20"/>
          <w:lang w:val="es-ES"/>
        </w:rPr>
        <w:tab/>
        <w:t>Código: El "Código de Rentas Internas para un Nuevo Puerto Rico", Ley 1-2011, según enmendada.</w:t>
      </w:r>
    </w:p>
    <w:p w14:paraId="0235E43A" w14:textId="77777777" w:rsidR="006F6B16" w:rsidRDefault="00545444">
      <w:pPr>
        <w:spacing w:line="480" w:lineRule="auto"/>
        <w:ind w:left="1440" w:hanging="720"/>
        <w:jc w:val="both"/>
        <w:rPr>
          <w:rFonts w:eastAsia="Times New Roman"/>
          <w:szCs w:val="20"/>
          <w:lang w:val="es-ES"/>
        </w:rPr>
      </w:pPr>
      <w:r>
        <w:rPr>
          <w:rFonts w:eastAsia="Times New Roman"/>
          <w:szCs w:val="20"/>
          <w:lang w:val="es-ES"/>
        </w:rPr>
        <w:lastRenderedPageBreak/>
        <w:t>(g)</w:t>
      </w:r>
      <w:r>
        <w:rPr>
          <w:rFonts w:eastAsia="Times New Roman"/>
          <w:szCs w:val="20"/>
          <w:lang w:val="es-ES"/>
        </w:rPr>
        <w:tab/>
        <w:t>Secretario: El Secretario del Departamento de Hacienda del Gobierno de Puerto Rico.</w:t>
      </w:r>
    </w:p>
    <w:p w14:paraId="19619CA0" w14:textId="77777777" w:rsidR="003E1068" w:rsidRDefault="00545444">
      <w:pPr>
        <w:spacing w:line="480" w:lineRule="auto"/>
        <w:jc w:val="both"/>
        <w:rPr>
          <w:rFonts w:eastAsia="Times New Roman"/>
          <w:szCs w:val="20"/>
          <w:lang w:val="es-ES"/>
        </w:rPr>
      </w:pPr>
      <w:r>
        <w:rPr>
          <w:rFonts w:eastAsia="Times New Roman" w:cs="Times New Roman"/>
          <w:szCs w:val="20"/>
          <w:lang w:val="es-ES"/>
        </w:rPr>
        <w:tab/>
      </w:r>
      <w:r>
        <w:rPr>
          <w:rFonts w:eastAsia="Times New Roman"/>
          <w:szCs w:val="20"/>
          <w:lang w:val="es-ES"/>
        </w:rPr>
        <w:t xml:space="preserve">Artículo 4.- Oferta Voluntaria del Bono. </w:t>
      </w:r>
    </w:p>
    <w:p w14:paraId="688142E2" w14:textId="2C822F69" w:rsidR="006F6B16" w:rsidRDefault="00545444" w:rsidP="003E1068">
      <w:pPr>
        <w:spacing w:line="480" w:lineRule="auto"/>
        <w:ind w:firstLine="720"/>
        <w:jc w:val="both"/>
        <w:rPr>
          <w:rFonts w:eastAsia="Times New Roman"/>
          <w:szCs w:val="20"/>
          <w:lang w:val="es-ES"/>
        </w:rPr>
      </w:pPr>
      <w:r>
        <w:rPr>
          <w:rFonts w:eastAsia="Times New Roman"/>
          <w:szCs w:val="20"/>
          <w:lang w:val="es-ES"/>
        </w:rPr>
        <w:t>Todo patrono podrá, por decisión voluntaria e individual y sin obligación alguna, ofrecer a sus empleadas elegibles el Bono Voluntario de Maternidad creado por esta Ley. La oferta del bono deberá hacerse por escrito, de forma no discriminatoria, y con criterios objetivos y uniformes aplicables a todas las empleadas elegibles del patrono. Una vez adoptado el beneficio, el patrono deberá documentar por escrito los criterios de elegibilidad, el monto, la forma de pago y el procedimiento aplicable, y someterlos al Departamento del Trabajo y Recursos Humanos con copia al Departamento de Hacienda.</w:t>
      </w:r>
    </w:p>
    <w:p w14:paraId="08F0C16A" w14:textId="77777777" w:rsidR="003E1068" w:rsidRDefault="00545444">
      <w:pPr>
        <w:spacing w:line="480" w:lineRule="auto"/>
        <w:jc w:val="both"/>
        <w:rPr>
          <w:rFonts w:eastAsia="Times New Roman"/>
          <w:szCs w:val="20"/>
          <w:lang w:val="es-ES"/>
        </w:rPr>
      </w:pPr>
      <w:r>
        <w:rPr>
          <w:rFonts w:eastAsia="Times New Roman" w:cs="Times New Roman"/>
          <w:szCs w:val="20"/>
          <w:lang w:val="es-ES"/>
        </w:rPr>
        <w:tab/>
      </w:r>
      <w:r>
        <w:rPr>
          <w:rFonts w:eastAsia="Times New Roman"/>
          <w:szCs w:val="20"/>
          <w:lang w:val="es-ES"/>
        </w:rPr>
        <w:t xml:space="preserve">Artículo 5.- Monto del Bono. </w:t>
      </w:r>
    </w:p>
    <w:p w14:paraId="41EFD2B0" w14:textId="635D2F69" w:rsidR="006F6B16" w:rsidRDefault="00545444" w:rsidP="003E1068">
      <w:pPr>
        <w:spacing w:line="480" w:lineRule="auto"/>
        <w:ind w:firstLine="720"/>
        <w:jc w:val="both"/>
        <w:rPr>
          <w:rFonts w:eastAsia="Times New Roman"/>
          <w:szCs w:val="20"/>
          <w:lang w:val="es-ES"/>
        </w:rPr>
      </w:pPr>
      <w:r>
        <w:rPr>
          <w:rFonts w:eastAsia="Times New Roman"/>
          <w:szCs w:val="20"/>
          <w:lang w:val="es-ES"/>
        </w:rPr>
        <w:t>El Bono Voluntario de Maternidad no podrá ser inferior a la totalidad del salario regular que la empleada hubiese devengado durante las semanas completas de su licencia de maternidad, conforme a la legislación vigente. El patrono podrá fijar un monto mayor como incentivo adicional. Los aumentos graduados por antigüedad, productividad, especialidad u otros criterios objetivos serán permitidos siempre y cuando no resulten discriminatorios por razón de edad, raza, estado civil, orientación sexual o cualquier otra categoría protegida por ley.</w:t>
      </w:r>
    </w:p>
    <w:p w14:paraId="6A21C908" w14:textId="77777777" w:rsidR="003E1068" w:rsidRDefault="00545444">
      <w:pPr>
        <w:spacing w:line="480" w:lineRule="auto"/>
        <w:jc w:val="both"/>
        <w:rPr>
          <w:rFonts w:eastAsia="Times New Roman"/>
          <w:szCs w:val="20"/>
          <w:lang w:val="es-ES"/>
        </w:rPr>
      </w:pPr>
      <w:r>
        <w:rPr>
          <w:rFonts w:eastAsia="Times New Roman" w:cs="Times New Roman"/>
          <w:szCs w:val="20"/>
          <w:lang w:val="es-ES"/>
        </w:rPr>
        <w:tab/>
      </w:r>
      <w:r>
        <w:rPr>
          <w:rFonts w:eastAsia="Times New Roman"/>
          <w:szCs w:val="20"/>
          <w:lang w:val="es-ES"/>
        </w:rPr>
        <w:t xml:space="preserve">Artículo 6.- Derecho de Opción de la Trabajadora. </w:t>
      </w:r>
    </w:p>
    <w:p w14:paraId="28727AB6" w14:textId="1DAF5377" w:rsidR="006F6B16" w:rsidRDefault="00545444" w:rsidP="003E1068">
      <w:pPr>
        <w:spacing w:line="480" w:lineRule="auto"/>
        <w:ind w:firstLine="720"/>
        <w:jc w:val="both"/>
        <w:rPr>
          <w:rFonts w:eastAsia="Times New Roman"/>
          <w:szCs w:val="20"/>
          <w:lang w:val="es-ES"/>
        </w:rPr>
      </w:pPr>
      <w:r>
        <w:rPr>
          <w:rFonts w:eastAsia="Times New Roman"/>
          <w:szCs w:val="20"/>
          <w:lang w:val="es-ES"/>
        </w:rPr>
        <w:t xml:space="preserve">Cuando un patrono haya adoptado el Bono Voluntario de Maternidad, la empleada elegible que se acoja a la licencia de maternidad tendrá el derecho exclusivo e irrenunciable de escoger, por escrito y de forma informada, entre las siguientes dos (2) </w:t>
      </w:r>
      <w:r>
        <w:rPr>
          <w:rFonts w:eastAsia="Times New Roman"/>
          <w:szCs w:val="20"/>
          <w:lang w:val="es-ES"/>
        </w:rPr>
        <w:lastRenderedPageBreak/>
        <w:t>alternativas: (i) recibir su salario regular durante las semanas de su licencia, conforme a la legislación vigente; o (ii) recibir, en sustitución del salario regular, el Bono Voluntario de Maternidad. La decisión de la trabajadora deberá notificarse al patrono no menos de quince (15) días antes del inicio efectivo de la licencia de maternidad, utilizando el formulario uniforme que adoptará el Secretario del Trabajo y Recursos Humanos. El patrono queda expresamente prohibido de coaccionar, sugerir, inducir o condicionar la decisión de la trabajadora, bajo las penalidades que establece esta Ley.</w:t>
      </w:r>
    </w:p>
    <w:p w14:paraId="023B6BE0" w14:textId="77777777" w:rsidR="003E1068" w:rsidRDefault="00545444">
      <w:pPr>
        <w:spacing w:line="480" w:lineRule="auto"/>
        <w:jc w:val="both"/>
        <w:rPr>
          <w:rFonts w:eastAsia="Times New Roman"/>
          <w:szCs w:val="20"/>
          <w:lang w:val="es-ES"/>
        </w:rPr>
      </w:pPr>
      <w:r>
        <w:rPr>
          <w:rFonts w:eastAsia="Times New Roman" w:cs="Times New Roman"/>
          <w:szCs w:val="20"/>
          <w:lang w:val="es-ES"/>
        </w:rPr>
        <w:tab/>
      </w:r>
      <w:r>
        <w:rPr>
          <w:rFonts w:eastAsia="Times New Roman"/>
          <w:szCs w:val="20"/>
          <w:lang w:val="es-ES"/>
        </w:rPr>
        <w:t xml:space="preserve">Artículo 7.- Forma de Pago, Retención en Fuente y No Duplicidad. </w:t>
      </w:r>
    </w:p>
    <w:p w14:paraId="5B92F6F9" w14:textId="77777777" w:rsidR="00545444" w:rsidRDefault="00545444" w:rsidP="003E1068">
      <w:pPr>
        <w:spacing w:line="480" w:lineRule="auto"/>
        <w:ind w:firstLine="720"/>
        <w:jc w:val="both"/>
        <w:rPr>
          <w:rFonts w:eastAsia="Times New Roman"/>
          <w:szCs w:val="20"/>
          <w:lang w:val="es-ES"/>
        </w:rPr>
      </w:pPr>
      <w:r>
        <w:rPr>
          <w:rFonts w:eastAsia="Times New Roman"/>
          <w:szCs w:val="20"/>
          <w:lang w:val="es-ES"/>
        </w:rPr>
        <w:t xml:space="preserve">El Bono Voluntario de Maternidad se pagará en una suma global por adelantado dentro de los primeros cinco (5) días laborables contados a partir del inicio efectivo de la licencia de maternidad. A los efectos contributivos, el bono será tratado como salario sujeto a retención en la fuente bajo la Sección 1062.01 del Código de Rentas Internas para un Nuevo Puerto Rico, así como a las contribuciones patronales y del empleado correspondientes al Federal Insurance Contributions Act (FICA) y al Federal Unemployment Tax Act (FUTA), conforme a la reglamentación federal y local aplicable. El patrono deberá reportar el bono en el Modelo 499R-2/W-2PR del año contributivo en que se pague, o en el formulario equivalente que prescriba el </w:t>
      </w:r>
      <w:proofErr w:type="gramStart"/>
      <w:r>
        <w:rPr>
          <w:rFonts w:eastAsia="Times New Roman"/>
          <w:szCs w:val="20"/>
          <w:lang w:val="es-ES"/>
        </w:rPr>
        <w:t>Secretario</w:t>
      </w:r>
      <w:proofErr w:type="gramEnd"/>
      <w:r>
        <w:rPr>
          <w:rFonts w:eastAsia="Times New Roman"/>
          <w:szCs w:val="20"/>
          <w:lang w:val="es-ES"/>
        </w:rPr>
        <w:t xml:space="preserve">. </w:t>
      </w:r>
    </w:p>
    <w:p w14:paraId="4ADA6A9D" w14:textId="306CDE25" w:rsidR="006F6B16" w:rsidRDefault="00545444" w:rsidP="003E1068">
      <w:pPr>
        <w:spacing w:line="480" w:lineRule="auto"/>
        <w:ind w:firstLine="720"/>
        <w:jc w:val="both"/>
        <w:rPr>
          <w:rFonts w:eastAsia="Times New Roman"/>
          <w:szCs w:val="20"/>
          <w:lang w:val="es-ES"/>
        </w:rPr>
      </w:pPr>
      <w:r>
        <w:rPr>
          <w:rFonts w:eastAsia="Times New Roman"/>
          <w:szCs w:val="20"/>
          <w:lang w:val="es-ES"/>
        </w:rPr>
        <w:t xml:space="preserve">El </w:t>
      </w:r>
      <w:proofErr w:type="gramStart"/>
      <w:r>
        <w:rPr>
          <w:rFonts w:eastAsia="Times New Roman"/>
          <w:szCs w:val="20"/>
          <w:lang w:val="es-ES"/>
        </w:rPr>
        <w:t>Secretario</w:t>
      </w:r>
      <w:proofErr w:type="gramEnd"/>
      <w:r>
        <w:rPr>
          <w:rFonts w:eastAsia="Times New Roman"/>
          <w:szCs w:val="20"/>
          <w:lang w:val="es-ES"/>
        </w:rPr>
        <w:t xml:space="preserve"> adoptará, mediante Carta Circular o Determinación Administrativa, una tabla especial de retención para el pago del bono, a fin de evitar una retención excesiva derivada de la concentración del pago en un solo período. En caso de que la trabajadora opte por el bono, no devengará el salario regular de la licencia, pero conservará todos sus demás derechos laborales, incluyendo, sin limitarse a, antigüedad, </w:t>
      </w:r>
      <w:r>
        <w:rPr>
          <w:rFonts w:eastAsia="Times New Roman"/>
          <w:szCs w:val="20"/>
          <w:lang w:val="es-ES"/>
        </w:rPr>
        <w:lastRenderedPageBreak/>
        <w:t>aportaciones patronales al seguro de salud, aportaciones al plan de retiro y acumulación de licencia de vacaciones y enfermedad, en la misma proporción que habría acumulado durante la licencia pagada. El bono no será considerado salario ordinario para fines del cálculo de horas extra, pero sí como ingreso bruto para propósitos contributivos.</w:t>
      </w:r>
    </w:p>
    <w:p w14:paraId="23E34AB5" w14:textId="77777777" w:rsidR="00545444" w:rsidRDefault="00545444">
      <w:pPr>
        <w:spacing w:line="480" w:lineRule="auto"/>
        <w:jc w:val="both"/>
        <w:rPr>
          <w:rFonts w:eastAsia="Times New Roman"/>
          <w:szCs w:val="20"/>
          <w:lang w:val="es-ES"/>
        </w:rPr>
      </w:pPr>
      <w:r>
        <w:rPr>
          <w:rFonts w:eastAsia="Times New Roman" w:cs="Times New Roman"/>
          <w:szCs w:val="20"/>
          <w:lang w:val="es-ES"/>
        </w:rPr>
        <w:tab/>
      </w:r>
      <w:r>
        <w:rPr>
          <w:rFonts w:eastAsia="Times New Roman"/>
          <w:szCs w:val="20"/>
          <w:lang w:val="es-ES"/>
        </w:rPr>
        <w:t xml:space="preserve">Artículo 8.- Protección Laboral y Reintegración. </w:t>
      </w:r>
    </w:p>
    <w:p w14:paraId="3838E25A" w14:textId="2763348A" w:rsidR="006F6B16" w:rsidRDefault="00545444" w:rsidP="00545444">
      <w:pPr>
        <w:spacing w:line="480" w:lineRule="auto"/>
        <w:ind w:firstLine="720"/>
        <w:jc w:val="both"/>
        <w:rPr>
          <w:rFonts w:eastAsia="Times New Roman"/>
          <w:szCs w:val="20"/>
          <w:lang w:val="es-ES"/>
        </w:rPr>
      </w:pPr>
      <w:r>
        <w:rPr>
          <w:rFonts w:eastAsia="Times New Roman"/>
          <w:szCs w:val="20"/>
          <w:lang w:val="es-ES"/>
        </w:rPr>
        <w:t>La elección del bono no alterará los derechos de la trabajadora a ser reintegrada al mismo puesto o a uno equivalente al concluir la licencia. Queda prohibida toda práctica de discrimen, represalia o menoscabo de derechos contra una trabajadora por el hecho de haber seleccionado una u otra alternativa conforme al Artículo 6 de esta Ley. Las violaciones a este Artículo se regirán, en cuanto a remedios, por la Ley 100 de 30 de junio de 1959, según enmendada, y la Ley 69-1985, según enmendada.</w:t>
      </w:r>
    </w:p>
    <w:p w14:paraId="3D1BDBD6" w14:textId="77777777" w:rsidR="00545444" w:rsidRDefault="00545444">
      <w:pPr>
        <w:spacing w:line="480" w:lineRule="auto"/>
        <w:jc w:val="both"/>
        <w:rPr>
          <w:rFonts w:eastAsia="Times New Roman"/>
          <w:szCs w:val="20"/>
          <w:lang w:val="es-ES"/>
        </w:rPr>
      </w:pPr>
      <w:r>
        <w:rPr>
          <w:rFonts w:eastAsia="Times New Roman" w:cs="Times New Roman"/>
          <w:szCs w:val="20"/>
          <w:lang w:val="es-ES"/>
        </w:rPr>
        <w:tab/>
      </w:r>
      <w:r>
        <w:rPr>
          <w:rFonts w:eastAsia="Times New Roman"/>
          <w:szCs w:val="20"/>
          <w:lang w:val="es-ES"/>
        </w:rPr>
        <w:t xml:space="preserve">Artículo 9.- Tratamiento Contributivo del Bono. </w:t>
      </w:r>
    </w:p>
    <w:p w14:paraId="79505DF3" w14:textId="3A7BDEB7" w:rsidR="006F6B16" w:rsidRDefault="00545444" w:rsidP="00545444">
      <w:pPr>
        <w:spacing w:line="480" w:lineRule="auto"/>
        <w:ind w:firstLine="720"/>
        <w:jc w:val="both"/>
        <w:rPr>
          <w:rFonts w:eastAsia="Times New Roman"/>
          <w:szCs w:val="20"/>
          <w:lang w:val="es-ES"/>
        </w:rPr>
      </w:pPr>
      <w:r>
        <w:rPr>
          <w:rFonts w:eastAsia="Times New Roman"/>
          <w:szCs w:val="20"/>
          <w:lang w:val="es-ES"/>
        </w:rPr>
        <w:t>Todo patrono que pague el Bono Voluntario de Maternidad a una empleada elegible durante un año contributivo tendrá derecho a los siguientes tratamientos contributivos en su planilla de contribución sobre ingresos:</w:t>
      </w:r>
    </w:p>
    <w:p w14:paraId="1B312984" w14:textId="77777777" w:rsidR="006F6B16" w:rsidRDefault="00545444">
      <w:pPr>
        <w:spacing w:line="480" w:lineRule="auto"/>
        <w:ind w:left="1440" w:hanging="720"/>
        <w:jc w:val="both"/>
        <w:rPr>
          <w:rFonts w:eastAsia="Times New Roman"/>
          <w:szCs w:val="20"/>
          <w:lang w:val="es-ES"/>
        </w:rPr>
      </w:pPr>
      <w:r>
        <w:rPr>
          <w:rFonts w:eastAsia="Times New Roman"/>
          <w:szCs w:val="20"/>
          <w:lang w:val="es-ES"/>
        </w:rPr>
        <w:t>(a)</w:t>
      </w:r>
      <w:r>
        <w:rPr>
          <w:rFonts w:eastAsia="Times New Roman"/>
          <w:szCs w:val="20"/>
          <w:lang w:val="es-ES"/>
        </w:rPr>
        <w:tab/>
        <w:t>Deducción Ordinaria. El total del bono pagado durante el año contributivo será deducible como gasto ordinario y necesario del negocio, conforme a la Sección 1033.01 del Código, en adición a cualquier otro gasto de nómina.</w:t>
      </w:r>
    </w:p>
    <w:p w14:paraId="4812788E" w14:textId="77777777" w:rsidR="006F6B16" w:rsidRDefault="00545444">
      <w:pPr>
        <w:spacing w:line="480" w:lineRule="auto"/>
        <w:ind w:left="1440" w:hanging="720"/>
        <w:jc w:val="both"/>
        <w:rPr>
          <w:rFonts w:eastAsia="Times New Roman"/>
          <w:szCs w:val="20"/>
          <w:lang w:val="es-ES"/>
        </w:rPr>
      </w:pPr>
      <w:r>
        <w:rPr>
          <w:rFonts w:eastAsia="Times New Roman"/>
          <w:szCs w:val="20"/>
          <w:lang w:val="es-ES"/>
        </w:rPr>
        <w:t>(b)</w:t>
      </w:r>
      <w:r>
        <w:rPr>
          <w:rFonts w:eastAsia="Times New Roman"/>
          <w:szCs w:val="20"/>
          <w:lang w:val="es-ES"/>
        </w:rPr>
        <w:tab/>
        <w:t xml:space="preserve">Crédito Contributivo del Cincuenta por Ciento (50%). Además de la deducción ordinaria autorizada en el inciso (a), el patrono tendrá derecho a un crédito contributivo equivalente al cincuenta por ciento (50%) del bono pagado durante el año contributivo, aplicable contra la contribución sobre </w:t>
      </w:r>
      <w:r>
        <w:rPr>
          <w:rFonts w:eastAsia="Times New Roman"/>
          <w:szCs w:val="20"/>
          <w:lang w:val="es-ES"/>
        </w:rPr>
        <w:lastRenderedPageBreak/>
        <w:t>ingresos determinada conforme al Subtítulo A del Código. El crédito no reembolsable podrá arrastrarse a los tres (3) años contributivos subsiguientes.</w:t>
      </w:r>
    </w:p>
    <w:p w14:paraId="07A7C3FE" w14:textId="77777777" w:rsidR="006F6B16" w:rsidRDefault="00545444">
      <w:pPr>
        <w:spacing w:line="480" w:lineRule="auto"/>
        <w:ind w:left="1440" w:hanging="720"/>
        <w:jc w:val="both"/>
        <w:rPr>
          <w:rFonts w:eastAsia="Times New Roman"/>
          <w:szCs w:val="20"/>
          <w:lang w:val="es-ES"/>
        </w:rPr>
      </w:pPr>
      <w:r>
        <w:rPr>
          <w:rFonts w:eastAsia="Times New Roman"/>
          <w:szCs w:val="20"/>
          <w:lang w:val="es-ES"/>
        </w:rPr>
        <w:t>(c)</w:t>
      </w:r>
      <w:r>
        <w:rPr>
          <w:rFonts w:eastAsia="Times New Roman"/>
          <w:szCs w:val="20"/>
          <w:lang w:val="es-ES"/>
        </w:rPr>
        <w:tab/>
        <w:t>Tope Anual. El crédito dispuesto en el inciso (b) no podrá exceder, por cada empleada elegible y por año contributivo, una suma equivalente al cincuenta por ciento (50%) del salario regular que la empleada hubiese devengado durante la totalidad de las semanas de licencia de maternidad a las que tiene derecho bajo la legislación vigente al momento del pago del bono, o en la alternativa, el cincuenta por ciento (50%) del mismo número de semanas del salario mediano de Puerto Rico, conforme a las estadísticas oficiales publicadas por el Departamento del Trabajo y Recursos Humanos, lo que resulte menor. El Secretario podrá, mediante reglamento, ajustar este tope para proteger las finanzas del Estado.</w:t>
      </w:r>
    </w:p>
    <w:p w14:paraId="4A16AA09" w14:textId="77777777" w:rsidR="006F6B16" w:rsidRDefault="00545444">
      <w:pPr>
        <w:spacing w:line="480" w:lineRule="auto"/>
        <w:ind w:left="1440" w:hanging="720"/>
        <w:jc w:val="both"/>
        <w:rPr>
          <w:rFonts w:eastAsia="Times New Roman"/>
          <w:szCs w:val="20"/>
          <w:lang w:val="es-ES"/>
        </w:rPr>
      </w:pPr>
      <w:r>
        <w:rPr>
          <w:rFonts w:eastAsia="Times New Roman"/>
          <w:szCs w:val="20"/>
          <w:lang w:val="es-ES"/>
        </w:rPr>
        <w:t>(d)</w:t>
      </w:r>
      <w:r>
        <w:rPr>
          <w:rFonts w:eastAsia="Times New Roman"/>
          <w:szCs w:val="20"/>
          <w:lang w:val="es-ES"/>
        </w:rPr>
        <w:tab/>
        <w:t>Cesiones y Transferencias. El crédito aquí establecido no será cedible, ni transferible, ni negociable a terceros. No obstante, se autoriza la cesión del crédito entre entidades que formen parte de un mismo grupo controlado de corporaciones, según definido en la Sección 1010.04 del Código de Rentas Internas, o entre entidades bajo control común de una misma persona natural o jurídica, siempre que se acredite tal relación ante el Secretario en la forma y con la evidencia que éste disponga por reglamento.</w:t>
      </w:r>
    </w:p>
    <w:p w14:paraId="6285EF0A" w14:textId="77777777" w:rsidR="006F6B16" w:rsidRDefault="00545444">
      <w:pPr>
        <w:spacing w:line="480" w:lineRule="auto"/>
        <w:jc w:val="both"/>
        <w:rPr>
          <w:rFonts w:eastAsia="Times New Roman"/>
          <w:szCs w:val="20"/>
          <w:lang w:val="es-ES"/>
        </w:rPr>
      </w:pPr>
      <w:r>
        <w:rPr>
          <w:rFonts w:eastAsia="Times New Roman" w:cs="Times New Roman"/>
          <w:szCs w:val="20"/>
          <w:lang w:val="es-ES"/>
        </w:rPr>
        <w:lastRenderedPageBreak/>
        <w:tab/>
      </w:r>
      <w:r>
        <w:rPr>
          <w:rFonts w:eastAsia="Times New Roman"/>
          <w:szCs w:val="20"/>
          <w:lang w:val="es-ES"/>
        </w:rPr>
        <w:t>Artículo 10.- Se enmienda la Sección 1033.01 de la Ley 1-2011, según enmendada, conocida como "Código de Rentas Internas para un Nuevo Puerto Rico", para añadir un nuevo apartado (a)(1)(H) que lea como sigue:</w:t>
      </w:r>
    </w:p>
    <w:p w14:paraId="47302F52" w14:textId="77777777" w:rsidR="006F6B16" w:rsidRDefault="00545444">
      <w:pPr>
        <w:spacing w:line="480" w:lineRule="auto"/>
        <w:jc w:val="both"/>
        <w:rPr>
          <w:rFonts w:eastAsia="Times New Roman"/>
          <w:szCs w:val="20"/>
          <w:lang w:val="es-ES"/>
        </w:rPr>
      </w:pPr>
      <w:r>
        <w:rPr>
          <w:rFonts w:eastAsia="Times New Roman" w:cs="Times New Roman"/>
          <w:szCs w:val="20"/>
          <w:lang w:val="es-ES"/>
        </w:rPr>
        <w:tab/>
      </w:r>
      <w:r>
        <w:rPr>
          <w:rFonts w:eastAsia="Times New Roman"/>
          <w:szCs w:val="20"/>
          <w:lang w:val="es-ES"/>
        </w:rPr>
        <w:t xml:space="preserve">"(H)  </w:t>
      </w:r>
      <w:r>
        <w:rPr>
          <w:rFonts w:eastAsia="Times New Roman"/>
          <w:i/>
          <w:szCs w:val="20"/>
          <w:lang w:val="es-ES"/>
        </w:rPr>
        <w:t>Bono Voluntario de Maternidad pagado por el patrono a una empleada elegible, conforme a la "Ley del Bono Voluntario de Maternidad", cuya totalidad será considerada gasto ordinario y necesario del negocio para el año contributivo en que se pague."</w:t>
      </w:r>
    </w:p>
    <w:p w14:paraId="1E942AB8" w14:textId="77777777" w:rsidR="006F6B16" w:rsidRDefault="00545444">
      <w:pPr>
        <w:spacing w:line="480" w:lineRule="auto"/>
        <w:jc w:val="both"/>
        <w:rPr>
          <w:rFonts w:eastAsia="Times New Roman"/>
          <w:szCs w:val="20"/>
          <w:lang w:val="es-ES"/>
        </w:rPr>
      </w:pPr>
      <w:r>
        <w:rPr>
          <w:rFonts w:eastAsia="Times New Roman" w:cs="Times New Roman"/>
          <w:szCs w:val="20"/>
          <w:lang w:val="es-ES"/>
        </w:rPr>
        <w:tab/>
      </w:r>
      <w:r>
        <w:rPr>
          <w:rFonts w:eastAsia="Times New Roman"/>
          <w:szCs w:val="20"/>
          <w:lang w:val="es-ES"/>
        </w:rPr>
        <w:t>Artículo 11.- Se añade una nueva Sección 1051.17 a la Ley 1-2011, según enmendada, conocida como "Código de Rentas Internas para un Nuevo Puerto Rico", para que lea como sigue:</w:t>
      </w:r>
    </w:p>
    <w:p w14:paraId="353784B9" w14:textId="77777777" w:rsidR="006F6B16" w:rsidRDefault="00545444">
      <w:pPr>
        <w:spacing w:line="480" w:lineRule="auto"/>
        <w:jc w:val="both"/>
        <w:rPr>
          <w:rFonts w:eastAsia="Times New Roman"/>
          <w:szCs w:val="20"/>
          <w:lang w:val="es-ES"/>
        </w:rPr>
      </w:pPr>
      <w:r>
        <w:rPr>
          <w:rFonts w:eastAsia="Times New Roman" w:cs="Times New Roman"/>
          <w:szCs w:val="20"/>
          <w:lang w:val="es-ES"/>
        </w:rPr>
        <w:tab/>
      </w:r>
      <w:r>
        <w:rPr>
          <w:rFonts w:eastAsia="Times New Roman"/>
          <w:i/>
          <w:szCs w:val="20"/>
          <w:lang w:val="es-ES"/>
        </w:rPr>
        <w:t>"Sección 1051.17.- Crédito Contributivo por Bono Voluntario de Maternidad. Se concede a todo patrono que pague a una empleada elegible el Bono Voluntario de Maternidad, conforme a la "Ley del Bono Voluntario de Maternidad", un crédito contributivo equivalente al cincuenta por ciento (50%) del bono pagado, aplicable contra la contribución sobre ingresos determinada bajo el Subtítulo A. El crédito no utilizado podrá arrastrarse a los tres (3) años contributivos subsiguientes, y no será reembolsable ni transferible a terceros. No obstante, se autoriza la cesión del crédito entre entidades que formen parte de un mismo grupo controlado de corporaciones, según definido en la Sección 1010.04, o entre entidades bajo control común de una misma persona natural o jurídica, en la forma que el Secretario disponga por reglamento. El Secretario adoptará, dentro de los ciento veinte (120) días siguientes a la vigencia de esta Sección, los formularios y la reglamentación necesaria para su implantación."</w:t>
      </w:r>
    </w:p>
    <w:p w14:paraId="7087FE8F" w14:textId="77777777" w:rsidR="00545444" w:rsidRDefault="00545444">
      <w:pPr>
        <w:spacing w:line="480" w:lineRule="auto"/>
        <w:jc w:val="both"/>
        <w:rPr>
          <w:rFonts w:eastAsia="Times New Roman"/>
          <w:szCs w:val="20"/>
          <w:lang w:val="es-ES"/>
        </w:rPr>
      </w:pPr>
      <w:r>
        <w:rPr>
          <w:rFonts w:eastAsia="Times New Roman" w:cs="Times New Roman"/>
          <w:szCs w:val="20"/>
          <w:lang w:val="es-ES"/>
        </w:rPr>
        <w:tab/>
      </w:r>
      <w:r>
        <w:rPr>
          <w:rFonts w:eastAsia="Times New Roman"/>
          <w:szCs w:val="20"/>
          <w:lang w:val="es-ES"/>
        </w:rPr>
        <w:t xml:space="preserve">Artículo 12.- Reglamentación. </w:t>
      </w:r>
    </w:p>
    <w:p w14:paraId="2DEB89AC" w14:textId="2DE2CABA" w:rsidR="006F6B16" w:rsidRDefault="00545444" w:rsidP="00545444">
      <w:pPr>
        <w:spacing w:line="480" w:lineRule="auto"/>
        <w:ind w:firstLine="720"/>
        <w:jc w:val="both"/>
        <w:rPr>
          <w:rFonts w:eastAsia="Times New Roman"/>
          <w:szCs w:val="20"/>
          <w:lang w:val="es-ES"/>
        </w:rPr>
      </w:pPr>
      <w:r>
        <w:rPr>
          <w:rFonts w:eastAsia="Times New Roman"/>
          <w:szCs w:val="20"/>
          <w:lang w:val="es-ES"/>
        </w:rPr>
        <w:lastRenderedPageBreak/>
        <w:t>El Secretario del Departamento de Hacienda y el Secretario del Departamento del Trabajo y Recursos Humanos, de forma conjunta, adoptarán dentro de un término que no excederá de ciento veinte (120) días contados desde la vigencia de esta Ley, los reglamentos necesarios para implementar sus disposiciones, incluyendo, sin limitarse a: (i) los formularios uniformes de oferta y opción; (ii) los mecanismos de verificación del pago del bono; (iii) el procedimiento y forma de reclamar el crédito contributivo; (iv) los criterios para el arrastre del crédito; y (v) los mecanismos de fiscalización, auditoría y sanciones.</w:t>
      </w:r>
    </w:p>
    <w:p w14:paraId="35F8919A" w14:textId="77777777" w:rsidR="00545444" w:rsidRDefault="00545444">
      <w:pPr>
        <w:spacing w:line="480" w:lineRule="auto"/>
        <w:jc w:val="both"/>
        <w:rPr>
          <w:rFonts w:eastAsia="Times New Roman"/>
          <w:szCs w:val="20"/>
          <w:lang w:val="es-ES"/>
        </w:rPr>
      </w:pPr>
      <w:r>
        <w:rPr>
          <w:rFonts w:eastAsia="Times New Roman" w:cs="Times New Roman"/>
          <w:szCs w:val="20"/>
          <w:lang w:val="es-ES"/>
        </w:rPr>
        <w:tab/>
      </w:r>
      <w:r>
        <w:rPr>
          <w:rFonts w:eastAsia="Times New Roman"/>
          <w:szCs w:val="20"/>
          <w:lang w:val="es-ES"/>
        </w:rPr>
        <w:t xml:space="preserve">Artículo 13.- Penalidades, Querella Interna y Término Prescriptivo. </w:t>
      </w:r>
    </w:p>
    <w:p w14:paraId="400D4481" w14:textId="417EBBD4" w:rsidR="006F6B16" w:rsidRDefault="00545444" w:rsidP="00545444">
      <w:pPr>
        <w:spacing w:line="480" w:lineRule="auto"/>
        <w:ind w:firstLine="720"/>
        <w:jc w:val="both"/>
        <w:rPr>
          <w:rFonts w:eastAsia="Times New Roman"/>
          <w:szCs w:val="20"/>
          <w:lang w:val="es-ES"/>
        </w:rPr>
      </w:pPr>
      <w:r>
        <w:rPr>
          <w:rFonts w:eastAsia="Times New Roman"/>
          <w:szCs w:val="20"/>
          <w:lang w:val="es-ES"/>
        </w:rPr>
        <w:t xml:space="preserve">Todo patrono que </w:t>
      </w:r>
      <w:proofErr w:type="gramStart"/>
      <w:r>
        <w:rPr>
          <w:rFonts w:eastAsia="Times New Roman"/>
          <w:szCs w:val="20"/>
          <w:lang w:val="es-ES"/>
        </w:rPr>
        <w:t>coaccione,</w:t>
      </w:r>
      <w:proofErr w:type="gramEnd"/>
      <w:r>
        <w:rPr>
          <w:rFonts w:eastAsia="Times New Roman"/>
          <w:szCs w:val="20"/>
          <w:lang w:val="es-ES"/>
        </w:rPr>
        <w:t xml:space="preserve"> induzca o condicione la decisión de la trabajadora en cuanto a la selección del salario regular o del bono, o que discrimine en contra de una trabajadora por el ejercicio de sus derechos bajo esta Ley, incurrirá en falta administrativa y será sancionado con una multa no menor de cinco mil dólares ($5,000) ni mayor de veinticinco mil dólares ($25,000) por cada infracción, sin perjuicio de la responsabilidad civil que proceda. Antes de la imposición de la multa, el Departamento del Trabajo y Recursos Humanos conducirá un procedimiento administrativo de querella conforme a la Ley Núm. 38-2017, conocida como "Ley de Procedimiento Administrativo Uniforme del Gobierno de Puerto Rico", y garantizará al patrono notificación, audiencia, derecho a descubrimiento y derecho a revisión judicial. La acción administrativa para la imposición de la multa prescribirá a los dos (2) años contados desde la fecha en que la agencia advino en conocimiento de la infracción. Cualquier reclamación fraudulenta del crédito </w:t>
      </w:r>
      <w:r>
        <w:rPr>
          <w:rFonts w:eastAsia="Times New Roman"/>
          <w:szCs w:val="20"/>
          <w:lang w:val="es-ES"/>
        </w:rPr>
        <w:lastRenderedPageBreak/>
        <w:t>contributivo establecido en esta Ley estará sujeta a las penalidades y términos prescriptivos dispuestos en el Subtítulo F del Código.</w:t>
      </w:r>
    </w:p>
    <w:p w14:paraId="19E8EAA9" w14:textId="77777777" w:rsidR="00545444" w:rsidRDefault="00545444">
      <w:pPr>
        <w:spacing w:line="480" w:lineRule="auto"/>
        <w:jc w:val="both"/>
        <w:rPr>
          <w:rFonts w:eastAsia="Times New Roman"/>
          <w:szCs w:val="20"/>
          <w:lang w:val="es-ES"/>
        </w:rPr>
      </w:pPr>
      <w:r>
        <w:rPr>
          <w:rFonts w:eastAsia="Times New Roman" w:cs="Times New Roman"/>
          <w:szCs w:val="20"/>
          <w:lang w:val="es-ES"/>
        </w:rPr>
        <w:tab/>
      </w:r>
      <w:r>
        <w:rPr>
          <w:rFonts w:eastAsia="Times New Roman"/>
          <w:szCs w:val="20"/>
          <w:lang w:val="es-ES"/>
        </w:rPr>
        <w:t xml:space="preserve">Artículo 14.- Informes y Evaluación. </w:t>
      </w:r>
    </w:p>
    <w:p w14:paraId="5809EB78" w14:textId="5CBB5641" w:rsidR="006F6B16" w:rsidRDefault="00545444" w:rsidP="00545444">
      <w:pPr>
        <w:spacing w:line="480" w:lineRule="auto"/>
        <w:ind w:firstLine="720"/>
        <w:jc w:val="both"/>
        <w:rPr>
          <w:rFonts w:eastAsia="Times New Roman"/>
          <w:szCs w:val="20"/>
          <w:lang w:val="es-ES"/>
        </w:rPr>
      </w:pPr>
      <w:r>
        <w:rPr>
          <w:rFonts w:eastAsia="Times New Roman"/>
          <w:szCs w:val="20"/>
          <w:lang w:val="es-ES"/>
        </w:rPr>
        <w:t>Dentro de los primeros tres (3) años de vigencia de esta Ley, y anualmente en lo sucesivo, el Departamento de Hacienda, en colaboración con el Departamento del Trabajo y Recursos Humanos, rendirá a la Asamblea Legislativa un informe sobre el número de patronos que han adoptado el Bono Voluntario de Maternidad, el número de trabajadoras beneficiadas, el monto agregado de bonos pagados, el impacto fiscal del crédito y las recomendaciones de ajuste, si algunas.</w:t>
      </w:r>
    </w:p>
    <w:p w14:paraId="1AF9AEA4" w14:textId="77777777" w:rsidR="00545444" w:rsidRDefault="00545444">
      <w:pPr>
        <w:spacing w:line="480" w:lineRule="auto"/>
        <w:jc w:val="both"/>
        <w:rPr>
          <w:rFonts w:eastAsia="Times New Roman"/>
          <w:szCs w:val="20"/>
          <w:lang w:val="es-ES"/>
        </w:rPr>
      </w:pPr>
      <w:r>
        <w:rPr>
          <w:rFonts w:eastAsia="Times New Roman" w:cs="Times New Roman"/>
          <w:szCs w:val="20"/>
          <w:lang w:val="es-ES"/>
        </w:rPr>
        <w:tab/>
      </w:r>
      <w:r>
        <w:rPr>
          <w:rFonts w:eastAsia="Times New Roman"/>
          <w:szCs w:val="20"/>
          <w:lang w:val="es-ES"/>
        </w:rPr>
        <w:t xml:space="preserve">Artículo 15.- Cláusula de Separabilidad. </w:t>
      </w:r>
    </w:p>
    <w:p w14:paraId="0F9B35EF" w14:textId="74B33B5F" w:rsidR="006F6B16" w:rsidRDefault="00545444" w:rsidP="00545444">
      <w:pPr>
        <w:spacing w:line="480" w:lineRule="auto"/>
        <w:ind w:firstLine="720"/>
        <w:jc w:val="both"/>
        <w:rPr>
          <w:rFonts w:eastAsia="Times New Roman"/>
          <w:szCs w:val="20"/>
          <w:lang w:val="es-ES"/>
        </w:rPr>
      </w:pPr>
      <w:r>
        <w:rPr>
          <w:rFonts w:eastAsia="Times New Roman"/>
          <w:szCs w:val="20"/>
          <w:lang w:val="es-ES"/>
        </w:rPr>
        <w:t>Si cualquier cláusula, párrafo, artículo, sección o parte de esta Ley fuere declarada inconstitucional o nula por un tribunal con competencia, la sentencia a tal efecto dictada no afectará, perjudicará ni invalidará el resto de esta Ley, limitando su efecto al precepto, párrafo, artículo, sección o parte específica declarada inconstitucional o nula.</w:t>
      </w:r>
    </w:p>
    <w:p w14:paraId="11F4325D" w14:textId="77777777" w:rsidR="00545444" w:rsidRDefault="00545444">
      <w:pPr>
        <w:spacing w:line="480" w:lineRule="auto"/>
        <w:jc w:val="both"/>
        <w:rPr>
          <w:rFonts w:eastAsia="Times New Roman"/>
          <w:szCs w:val="20"/>
          <w:lang w:val="es-ES"/>
        </w:rPr>
      </w:pPr>
      <w:r>
        <w:rPr>
          <w:rFonts w:eastAsia="Times New Roman" w:cs="Times New Roman"/>
          <w:szCs w:val="20"/>
          <w:lang w:val="es-ES"/>
        </w:rPr>
        <w:tab/>
      </w:r>
      <w:r>
        <w:rPr>
          <w:rFonts w:eastAsia="Times New Roman"/>
          <w:szCs w:val="20"/>
          <w:lang w:val="es-ES"/>
        </w:rPr>
        <w:t xml:space="preserve">Artículo 16.- Vigencia. </w:t>
      </w:r>
    </w:p>
    <w:p w14:paraId="5070D569" w14:textId="64970DAA" w:rsidR="006F6B16" w:rsidRDefault="00545444" w:rsidP="00545444">
      <w:pPr>
        <w:spacing w:line="480" w:lineRule="auto"/>
        <w:ind w:firstLine="720"/>
        <w:jc w:val="both"/>
        <w:rPr>
          <w:rFonts w:eastAsia="Times New Roman"/>
          <w:szCs w:val="20"/>
          <w:lang w:val="es-ES"/>
        </w:rPr>
      </w:pPr>
      <w:r>
        <w:rPr>
          <w:rFonts w:eastAsia="Times New Roman"/>
          <w:szCs w:val="20"/>
          <w:lang w:val="es-ES"/>
        </w:rPr>
        <w:t>Esta Ley entrará en vigor noventa (90) días después de su aprobación. El crédito contributivo autorizado en el Artículo 9, inciso (b), y en la nueva Sección 1051.17 del Código, aplicará respecto a bonos pagados en o después del primer (1er) día del año contributivo que comience con posterioridad a la aprobación de esta Ley.</w:t>
      </w:r>
    </w:p>
    <w:sectPr w:rsidR="006F6B16" w:rsidSect="003176F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9633BE" w14:textId="77777777" w:rsidR="00D37C85" w:rsidRDefault="00D37C85">
      <w:r>
        <w:separator/>
      </w:r>
    </w:p>
  </w:endnote>
  <w:endnote w:type="continuationSeparator" w:id="0">
    <w:p w14:paraId="6378DEE0" w14:textId="77777777" w:rsidR="00D37C85" w:rsidRDefault="00D37C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BDB202" w14:textId="77777777" w:rsidR="00D37C85" w:rsidRDefault="00D37C85">
      <w:r>
        <w:separator/>
      </w:r>
    </w:p>
  </w:footnote>
  <w:footnote w:type="continuationSeparator" w:id="0">
    <w:p w14:paraId="6C4C354A" w14:textId="77777777" w:rsidR="00D37C85" w:rsidRDefault="00D37C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399C1" w14:textId="77777777" w:rsidR="004D44AF" w:rsidRDefault="004D44AF">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6F65AE">
      <w:rPr>
        <w:rStyle w:val="Nmerodepgina"/>
        <w:noProof/>
      </w:rPr>
      <w:t>2</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315BE4"/>
    <w:multiLevelType w:val="hybridMultilevel"/>
    <w:tmpl w:val="A4FCCEDC"/>
    <w:lvl w:ilvl="0" w:tplc="62BC3FC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DC85D52"/>
    <w:multiLevelType w:val="hybridMultilevel"/>
    <w:tmpl w:val="C4325122"/>
    <w:lvl w:ilvl="0" w:tplc="D4AA3A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1447DE5"/>
    <w:multiLevelType w:val="hybridMultilevel"/>
    <w:tmpl w:val="342494E6"/>
    <w:lvl w:ilvl="0" w:tplc="E7541CE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76063249">
    <w:abstractNumId w:val="2"/>
  </w:num>
  <w:num w:numId="2" w16cid:durableId="1263805893">
    <w:abstractNumId w:val="0"/>
  </w:num>
  <w:num w:numId="3" w16cid:durableId="14775289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D4D"/>
    <w:rsid w:val="000148AC"/>
    <w:rsid w:val="0002046B"/>
    <w:rsid w:val="00041390"/>
    <w:rsid w:val="000477CD"/>
    <w:rsid w:val="00050FCD"/>
    <w:rsid w:val="0005220B"/>
    <w:rsid w:val="00064AEB"/>
    <w:rsid w:val="00073AC4"/>
    <w:rsid w:val="00083122"/>
    <w:rsid w:val="00091D3D"/>
    <w:rsid w:val="000924EB"/>
    <w:rsid w:val="000A132E"/>
    <w:rsid w:val="000A5391"/>
    <w:rsid w:val="000A6801"/>
    <w:rsid w:val="000A74DE"/>
    <w:rsid w:val="000B7BDD"/>
    <w:rsid w:val="000C51C8"/>
    <w:rsid w:val="000D3406"/>
    <w:rsid w:val="000D4D4C"/>
    <w:rsid w:val="000E4D0A"/>
    <w:rsid w:val="000E7346"/>
    <w:rsid w:val="000F7575"/>
    <w:rsid w:val="00104C81"/>
    <w:rsid w:val="00111BEF"/>
    <w:rsid w:val="00124D4D"/>
    <w:rsid w:val="001634AC"/>
    <w:rsid w:val="00176241"/>
    <w:rsid w:val="00185FA2"/>
    <w:rsid w:val="00194236"/>
    <w:rsid w:val="001976C4"/>
    <w:rsid w:val="001B41CE"/>
    <w:rsid w:val="001B64A0"/>
    <w:rsid w:val="001C66F4"/>
    <w:rsid w:val="001D2E5C"/>
    <w:rsid w:val="001D366E"/>
    <w:rsid w:val="001D56A3"/>
    <w:rsid w:val="001F01DB"/>
    <w:rsid w:val="001F1A3C"/>
    <w:rsid w:val="001F719B"/>
    <w:rsid w:val="0020324F"/>
    <w:rsid w:val="002063C7"/>
    <w:rsid w:val="00216943"/>
    <w:rsid w:val="0021751A"/>
    <w:rsid w:val="002241BF"/>
    <w:rsid w:val="002407F5"/>
    <w:rsid w:val="002542EE"/>
    <w:rsid w:val="002756B0"/>
    <w:rsid w:val="0028780D"/>
    <w:rsid w:val="002A157B"/>
    <w:rsid w:val="002A2591"/>
    <w:rsid w:val="002C3584"/>
    <w:rsid w:val="002C663D"/>
    <w:rsid w:val="002C6681"/>
    <w:rsid w:val="002F4F7A"/>
    <w:rsid w:val="00300B3C"/>
    <w:rsid w:val="003105C3"/>
    <w:rsid w:val="003176F0"/>
    <w:rsid w:val="003466E7"/>
    <w:rsid w:val="00350FC8"/>
    <w:rsid w:val="00362C3A"/>
    <w:rsid w:val="00380AA7"/>
    <w:rsid w:val="00381C05"/>
    <w:rsid w:val="003826D5"/>
    <w:rsid w:val="00392E30"/>
    <w:rsid w:val="00393B79"/>
    <w:rsid w:val="00395ED0"/>
    <w:rsid w:val="00397E94"/>
    <w:rsid w:val="003A26C4"/>
    <w:rsid w:val="003A7152"/>
    <w:rsid w:val="003C46D7"/>
    <w:rsid w:val="003D2464"/>
    <w:rsid w:val="003E102E"/>
    <w:rsid w:val="003E1068"/>
    <w:rsid w:val="003E4266"/>
    <w:rsid w:val="003F77EC"/>
    <w:rsid w:val="00406156"/>
    <w:rsid w:val="00411783"/>
    <w:rsid w:val="00430ECD"/>
    <w:rsid w:val="0043478D"/>
    <w:rsid w:val="00442C83"/>
    <w:rsid w:val="00460154"/>
    <w:rsid w:val="00464D0B"/>
    <w:rsid w:val="00474AB4"/>
    <w:rsid w:val="00475F20"/>
    <w:rsid w:val="00494371"/>
    <w:rsid w:val="004B268D"/>
    <w:rsid w:val="004D265F"/>
    <w:rsid w:val="004D3FDF"/>
    <w:rsid w:val="004D44AF"/>
    <w:rsid w:val="004E7C0B"/>
    <w:rsid w:val="004F1701"/>
    <w:rsid w:val="00500A50"/>
    <w:rsid w:val="005247C3"/>
    <w:rsid w:val="0053433D"/>
    <w:rsid w:val="0053453B"/>
    <w:rsid w:val="00545444"/>
    <w:rsid w:val="00556217"/>
    <w:rsid w:val="00562B77"/>
    <w:rsid w:val="00570126"/>
    <w:rsid w:val="00576E06"/>
    <w:rsid w:val="005908DE"/>
    <w:rsid w:val="005959FE"/>
    <w:rsid w:val="005C6316"/>
    <w:rsid w:val="005D6681"/>
    <w:rsid w:val="005D69F7"/>
    <w:rsid w:val="0061094A"/>
    <w:rsid w:val="00643B10"/>
    <w:rsid w:val="00646B78"/>
    <w:rsid w:val="00650A99"/>
    <w:rsid w:val="00651698"/>
    <w:rsid w:val="00656D75"/>
    <w:rsid w:val="00661293"/>
    <w:rsid w:val="00665974"/>
    <w:rsid w:val="00693A40"/>
    <w:rsid w:val="006A7DD8"/>
    <w:rsid w:val="006B235D"/>
    <w:rsid w:val="006D0922"/>
    <w:rsid w:val="006D0FAB"/>
    <w:rsid w:val="006D1C78"/>
    <w:rsid w:val="006E7149"/>
    <w:rsid w:val="006F65AE"/>
    <w:rsid w:val="006F6B16"/>
    <w:rsid w:val="00701A65"/>
    <w:rsid w:val="0071245E"/>
    <w:rsid w:val="00736D5A"/>
    <w:rsid w:val="0074699A"/>
    <w:rsid w:val="007473B2"/>
    <w:rsid w:val="007520B8"/>
    <w:rsid w:val="007539B8"/>
    <w:rsid w:val="00763344"/>
    <w:rsid w:val="007806C5"/>
    <w:rsid w:val="0078177B"/>
    <w:rsid w:val="0078339C"/>
    <w:rsid w:val="007A03C6"/>
    <w:rsid w:val="007A34C5"/>
    <w:rsid w:val="007B1821"/>
    <w:rsid w:val="007C1C11"/>
    <w:rsid w:val="007C2DC2"/>
    <w:rsid w:val="007C5363"/>
    <w:rsid w:val="007C77C9"/>
    <w:rsid w:val="007E1ED7"/>
    <w:rsid w:val="007E42DC"/>
    <w:rsid w:val="008233AE"/>
    <w:rsid w:val="00834E34"/>
    <w:rsid w:val="008369B0"/>
    <w:rsid w:val="00836A6A"/>
    <w:rsid w:val="00837588"/>
    <w:rsid w:val="0084056D"/>
    <w:rsid w:val="008456F2"/>
    <w:rsid w:val="00871A10"/>
    <w:rsid w:val="00872A28"/>
    <w:rsid w:val="00872EFB"/>
    <w:rsid w:val="00885C65"/>
    <w:rsid w:val="008929B8"/>
    <w:rsid w:val="008A2050"/>
    <w:rsid w:val="008B1838"/>
    <w:rsid w:val="008C2756"/>
    <w:rsid w:val="008D4569"/>
    <w:rsid w:val="008E146A"/>
    <w:rsid w:val="009039C5"/>
    <w:rsid w:val="009164F2"/>
    <w:rsid w:val="00924D51"/>
    <w:rsid w:val="00954986"/>
    <w:rsid w:val="0095552A"/>
    <w:rsid w:val="00995D61"/>
    <w:rsid w:val="009C6FB4"/>
    <w:rsid w:val="009D265D"/>
    <w:rsid w:val="00A01FAF"/>
    <w:rsid w:val="00A373B8"/>
    <w:rsid w:val="00A620BF"/>
    <w:rsid w:val="00A63DB1"/>
    <w:rsid w:val="00A725BE"/>
    <w:rsid w:val="00A752D8"/>
    <w:rsid w:val="00A95364"/>
    <w:rsid w:val="00AA5D3B"/>
    <w:rsid w:val="00AB51B0"/>
    <w:rsid w:val="00AD6293"/>
    <w:rsid w:val="00AE06FB"/>
    <w:rsid w:val="00AE2D20"/>
    <w:rsid w:val="00AF38B6"/>
    <w:rsid w:val="00AF41F1"/>
    <w:rsid w:val="00AF5C2D"/>
    <w:rsid w:val="00B15B22"/>
    <w:rsid w:val="00B171D8"/>
    <w:rsid w:val="00B22197"/>
    <w:rsid w:val="00B25466"/>
    <w:rsid w:val="00B31241"/>
    <w:rsid w:val="00B37073"/>
    <w:rsid w:val="00B37284"/>
    <w:rsid w:val="00B61137"/>
    <w:rsid w:val="00B7259C"/>
    <w:rsid w:val="00BA491E"/>
    <w:rsid w:val="00BB5425"/>
    <w:rsid w:val="00BC2692"/>
    <w:rsid w:val="00BE0F36"/>
    <w:rsid w:val="00BF7521"/>
    <w:rsid w:val="00C01C5C"/>
    <w:rsid w:val="00C30075"/>
    <w:rsid w:val="00C31FEA"/>
    <w:rsid w:val="00C53206"/>
    <w:rsid w:val="00C54804"/>
    <w:rsid w:val="00C57FD3"/>
    <w:rsid w:val="00C64B66"/>
    <w:rsid w:val="00C72EC6"/>
    <w:rsid w:val="00CB7517"/>
    <w:rsid w:val="00CC38CA"/>
    <w:rsid w:val="00CC652E"/>
    <w:rsid w:val="00CD4FA0"/>
    <w:rsid w:val="00CE0226"/>
    <w:rsid w:val="00CE068F"/>
    <w:rsid w:val="00CF5683"/>
    <w:rsid w:val="00D0054E"/>
    <w:rsid w:val="00D07502"/>
    <w:rsid w:val="00D1205A"/>
    <w:rsid w:val="00D16EBD"/>
    <w:rsid w:val="00D26582"/>
    <w:rsid w:val="00D30BAE"/>
    <w:rsid w:val="00D3275E"/>
    <w:rsid w:val="00D37C85"/>
    <w:rsid w:val="00D40AC9"/>
    <w:rsid w:val="00D4149A"/>
    <w:rsid w:val="00D42B87"/>
    <w:rsid w:val="00D44B20"/>
    <w:rsid w:val="00D454C1"/>
    <w:rsid w:val="00D5498C"/>
    <w:rsid w:val="00D5511D"/>
    <w:rsid w:val="00D60383"/>
    <w:rsid w:val="00D63C81"/>
    <w:rsid w:val="00D7082C"/>
    <w:rsid w:val="00DA0D27"/>
    <w:rsid w:val="00DB76AF"/>
    <w:rsid w:val="00DB7B71"/>
    <w:rsid w:val="00DC209E"/>
    <w:rsid w:val="00DC7D63"/>
    <w:rsid w:val="00DD1FC1"/>
    <w:rsid w:val="00DD705B"/>
    <w:rsid w:val="00DE2FB6"/>
    <w:rsid w:val="00DF06BC"/>
    <w:rsid w:val="00E07193"/>
    <w:rsid w:val="00E13C5D"/>
    <w:rsid w:val="00E20F38"/>
    <w:rsid w:val="00E31413"/>
    <w:rsid w:val="00E42417"/>
    <w:rsid w:val="00E55E0B"/>
    <w:rsid w:val="00E71145"/>
    <w:rsid w:val="00E77BBD"/>
    <w:rsid w:val="00E9207B"/>
    <w:rsid w:val="00E9305A"/>
    <w:rsid w:val="00E931DB"/>
    <w:rsid w:val="00E9619F"/>
    <w:rsid w:val="00EA269D"/>
    <w:rsid w:val="00EB5553"/>
    <w:rsid w:val="00ED578D"/>
    <w:rsid w:val="00EE5CD4"/>
    <w:rsid w:val="00F02689"/>
    <w:rsid w:val="00F043FC"/>
    <w:rsid w:val="00F1346E"/>
    <w:rsid w:val="00F171DB"/>
    <w:rsid w:val="00F3123A"/>
    <w:rsid w:val="00F860FD"/>
    <w:rsid w:val="00FA21A6"/>
    <w:rsid w:val="00FB3B76"/>
    <w:rsid w:val="00FC42CC"/>
    <w:rsid w:val="00FC6FF5"/>
    <w:rsid w:val="00FC7F7E"/>
    <w:rsid w:val="00FD5AFB"/>
    <w:rsid w:val="00FE2C5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9EE77C1"/>
  <w15:docId w15:val="{B89F39D1-8DC1-B24F-AB7D-E5B051B71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4D4D"/>
    <w:pPr>
      <w:spacing w:line="240" w:lineRule="auto"/>
      <w:jc w:val="left"/>
    </w:pPr>
    <w:rPr>
      <w:rFonts w:ascii="Book Antiqua" w:eastAsia="MS Mincho" w:hAnsi="Book Antiqua"/>
      <w:sz w:val="24"/>
      <w:lang w:val="es-P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124D4D"/>
    <w:pPr>
      <w:tabs>
        <w:tab w:val="center" w:pos="4680"/>
        <w:tab w:val="right" w:pos="9360"/>
      </w:tabs>
    </w:pPr>
  </w:style>
  <w:style w:type="character" w:customStyle="1" w:styleId="EncabezadoCar">
    <w:name w:val="Encabezado Car"/>
    <w:basedOn w:val="Fuentedeprrafopredeter"/>
    <w:link w:val="Encabezado"/>
    <w:uiPriority w:val="99"/>
    <w:semiHidden/>
    <w:rsid w:val="00124D4D"/>
    <w:rPr>
      <w:rFonts w:ascii="Book Antiqua" w:eastAsia="MS Mincho" w:hAnsi="Book Antiqua"/>
      <w:sz w:val="24"/>
      <w:lang w:val="es-PR"/>
    </w:rPr>
  </w:style>
  <w:style w:type="character" w:styleId="Nmerodepgina">
    <w:name w:val="page number"/>
    <w:basedOn w:val="Fuentedeprrafopredeter"/>
    <w:rsid w:val="00124D4D"/>
  </w:style>
  <w:style w:type="character" w:styleId="Nmerodelnea">
    <w:name w:val="line number"/>
    <w:basedOn w:val="Fuentedeprrafopredeter"/>
    <w:uiPriority w:val="99"/>
    <w:semiHidden/>
    <w:unhideWhenUsed/>
    <w:rsid w:val="00124D4D"/>
  </w:style>
  <w:style w:type="paragraph" w:styleId="Textodeglobo">
    <w:name w:val="Balloon Text"/>
    <w:basedOn w:val="Normal"/>
    <w:link w:val="TextodegloboCar"/>
    <w:uiPriority w:val="99"/>
    <w:semiHidden/>
    <w:unhideWhenUsed/>
    <w:rsid w:val="006D092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D0922"/>
    <w:rPr>
      <w:rFonts w:ascii="Segoe UI" w:eastAsia="MS Mincho" w:hAnsi="Segoe UI" w:cs="Segoe UI"/>
      <w:sz w:val="18"/>
      <w:szCs w:val="18"/>
      <w:lang w:val="es-PR"/>
    </w:rPr>
  </w:style>
  <w:style w:type="paragraph" w:styleId="NormalWeb">
    <w:name w:val="Normal (Web)"/>
    <w:basedOn w:val="Normal"/>
    <w:uiPriority w:val="99"/>
    <w:semiHidden/>
    <w:unhideWhenUsed/>
    <w:rsid w:val="005C6316"/>
    <w:rPr>
      <w:rFonts w:ascii="Times New Roman" w:hAnsi="Times New Roman" w:cs="Times New Roman"/>
      <w:szCs w:val="24"/>
    </w:rPr>
  </w:style>
  <w:style w:type="paragraph" w:styleId="Prrafodelista">
    <w:name w:val="List Paragraph"/>
    <w:basedOn w:val="Normal"/>
    <w:uiPriority w:val="34"/>
    <w:qFormat/>
    <w:rsid w:val="008369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3901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5" ma:contentTypeDescription="Create a new document." ma:contentTypeScope="" ma:versionID="c62b092a6d388b0adbf2e867bf98843b">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bfad75e939ed9d3ea52693882c87709e"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D216CB-F403-4CB3-88B4-DC3A5F470D74}">
  <ds:schemaRefs>
    <ds:schemaRef ds:uri="http://schemas.microsoft.com/sharepoint/v3/contenttype/forms"/>
  </ds:schemaRefs>
</ds:datastoreItem>
</file>

<file path=customXml/itemProps2.xml><?xml version="1.0" encoding="utf-8"?>
<ds:datastoreItem xmlns:ds="http://schemas.openxmlformats.org/officeDocument/2006/customXml" ds:itemID="{F5F7B152-8F76-462A-A76A-60AED1F829C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98C5D09-F9E3-400C-BAE6-28694540D1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2913</Words>
  <Characters>16610</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VC Legal</dc:creator>
  <cp:keywords/>
  <dc:description/>
  <cp:lastModifiedBy>Rocío Alayón Morell</cp:lastModifiedBy>
  <cp:revision>4</cp:revision>
  <cp:lastPrinted>2022-04-22T15:31:00Z</cp:lastPrinted>
  <dcterms:created xsi:type="dcterms:W3CDTF">2026-04-23T19:53:00Z</dcterms:created>
  <dcterms:modified xsi:type="dcterms:W3CDTF">2026-04-24T13:45:00Z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ies>
</file>