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3E39205A" w:rsidR="007223FC" w:rsidRPr="005E0DD0" w:rsidRDefault="00C24E41" w:rsidP="00C24E41">
      <w:pPr>
        <w:pStyle w:val="Title2"/>
        <w:tabs>
          <w:tab w:val="clear" w:pos="648"/>
          <w:tab w:val="clear" w:pos="7776"/>
          <w:tab w:val="clear" w:pos="7848"/>
        </w:tabs>
        <w:rPr>
          <w:rFonts w:ascii="Book Antiqua" w:hAnsi="Book Antiqua"/>
          <w:lang w:val="es-PR"/>
        </w:rPr>
      </w:pPr>
      <w:r w:rsidRPr="005E0DD0">
        <w:rPr>
          <w:rFonts w:ascii="Book Antiqua" w:hAnsi="Book Antiqua"/>
          <w:lang w:val="es-PR"/>
        </w:rPr>
        <w:t>20ma.</w:t>
      </w:r>
      <w:r w:rsidR="007223FC" w:rsidRPr="005E0DD0">
        <w:rPr>
          <w:rFonts w:ascii="Book Antiqua" w:hAnsi="Book Antiqua"/>
          <w:lang w:val="es-PR"/>
        </w:rPr>
        <w:tab/>
        <w:t>Asamblea</w:t>
      </w:r>
      <w:r w:rsidR="007223FC" w:rsidRPr="005E0DD0">
        <w:rPr>
          <w:rFonts w:ascii="Book Antiqua" w:hAnsi="Book Antiqua"/>
          <w:lang w:val="es-PR"/>
        </w:rPr>
        <w:tab/>
      </w:r>
      <w:r w:rsidRPr="005E0DD0">
        <w:rPr>
          <w:rFonts w:ascii="Book Antiqua" w:hAnsi="Book Antiqua"/>
          <w:lang w:val="es-PR"/>
        </w:rPr>
        <w:tab/>
      </w:r>
      <w:r w:rsidRPr="005E0DD0">
        <w:rPr>
          <w:rFonts w:ascii="Book Antiqua" w:hAnsi="Book Antiqua"/>
          <w:lang w:val="es-PR"/>
        </w:rPr>
        <w:tab/>
      </w:r>
      <w:r w:rsidRPr="005E0DD0">
        <w:rPr>
          <w:rFonts w:ascii="Book Antiqua" w:hAnsi="Book Antiqua"/>
          <w:lang w:val="es-PR"/>
        </w:rPr>
        <w:tab/>
      </w:r>
      <w:r w:rsidRPr="005E0DD0">
        <w:rPr>
          <w:rFonts w:ascii="Book Antiqua" w:hAnsi="Book Antiqua"/>
          <w:lang w:val="es-PR"/>
        </w:rPr>
        <w:tab/>
      </w:r>
      <w:r w:rsidRPr="005E0DD0">
        <w:rPr>
          <w:rFonts w:ascii="Book Antiqua" w:hAnsi="Book Antiqua"/>
          <w:lang w:val="es-PR"/>
        </w:rPr>
        <w:tab/>
      </w:r>
      <w:r w:rsidRPr="005E0DD0">
        <w:rPr>
          <w:rFonts w:ascii="Book Antiqua" w:hAnsi="Book Antiqua"/>
          <w:lang w:val="es-PR"/>
        </w:rPr>
        <w:tab/>
      </w:r>
      <w:r w:rsidRPr="005E0DD0">
        <w:rPr>
          <w:rFonts w:ascii="Book Antiqua" w:hAnsi="Book Antiqua"/>
          <w:lang w:val="es-PR"/>
        </w:rPr>
        <w:tab/>
        <w:t xml:space="preserve">     </w:t>
      </w:r>
      <w:r w:rsidR="005E0DD0">
        <w:rPr>
          <w:rFonts w:ascii="Book Antiqua" w:hAnsi="Book Antiqua"/>
          <w:lang w:val="es-PR"/>
        </w:rPr>
        <w:t xml:space="preserve">      </w:t>
      </w:r>
      <w:r w:rsidRPr="005E0DD0">
        <w:rPr>
          <w:rFonts w:ascii="Book Antiqua" w:hAnsi="Book Antiqua"/>
          <w:lang w:val="es-PR"/>
        </w:rPr>
        <w:t xml:space="preserve">3ra. </w:t>
      </w:r>
      <w:r w:rsidR="007223FC" w:rsidRPr="005E0DD0">
        <w:rPr>
          <w:rFonts w:ascii="Book Antiqua" w:hAnsi="Book Antiqua"/>
          <w:lang w:val="es-PR"/>
        </w:rPr>
        <w:t>Sesión</w:t>
      </w:r>
    </w:p>
    <w:p w14:paraId="6119718E" w14:textId="5F6A8B55" w:rsidR="007223FC" w:rsidRPr="005E0DD0" w:rsidRDefault="007223FC" w:rsidP="00C24E41">
      <w:pPr>
        <w:pStyle w:val="Title2"/>
        <w:tabs>
          <w:tab w:val="clear" w:pos="648"/>
          <w:tab w:val="clear" w:pos="7776"/>
          <w:tab w:val="clear" w:pos="7848"/>
        </w:tabs>
        <w:rPr>
          <w:rFonts w:ascii="Book Antiqua" w:hAnsi="Book Antiqua"/>
          <w:lang w:val="es-PR"/>
        </w:rPr>
      </w:pPr>
      <w:r w:rsidRPr="005E0DD0">
        <w:rPr>
          <w:rFonts w:ascii="Book Antiqua" w:hAnsi="Book Antiqua"/>
          <w:lang w:val="es-PR"/>
        </w:rPr>
        <w:tab/>
        <w:t>Legislativa</w:t>
      </w:r>
      <w:r w:rsidRPr="005E0DD0">
        <w:rPr>
          <w:rFonts w:ascii="Book Antiqua" w:hAnsi="Book Antiqua"/>
          <w:lang w:val="es-PR"/>
        </w:rPr>
        <w:tab/>
      </w:r>
      <w:r w:rsidRPr="005E0DD0">
        <w:rPr>
          <w:rFonts w:ascii="Book Antiqua" w:hAnsi="Book Antiqua"/>
          <w:lang w:val="es-PR"/>
        </w:rPr>
        <w:tab/>
      </w:r>
      <w:r w:rsidR="00C24E41" w:rsidRPr="005E0DD0">
        <w:rPr>
          <w:rFonts w:ascii="Book Antiqua" w:hAnsi="Book Antiqua"/>
          <w:lang w:val="es-PR"/>
        </w:rPr>
        <w:tab/>
      </w:r>
      <w:r w:rsidR="00C24E41" w:rsidRPr="005E0DD0">
        <w:rPr>
          <w:rFonts w:ascii="Book Antiqua" w:hAnsi="Book Antiqua"/>
          <w:lang w:val="es-PR"/>
        </w:rPr>
        <w:tab/>
      </w:r>
      <w:r w:rsidR="00C24E41" w:rsidRPr="005E0DD0">
        <w:rPr>
          <w:rFonts w:ascii="Book Antiqua" w:hAnsi="Book Antiqua"/>
          <w:lang w:val="es-PR"/>
        </w:rPr>
        <w:tab/>
      </w:r>
      <w:r w:rsidR="00C24E41" w:rsidRPr="005E0DD0">
        <w:rPr>
          <w:rFonts w:ascii="Book Antiqua" w:hAnsi="Book Antiqua"/>
          <w:lang w:val="es-PR"/>
        </w:rPr>
        <w:tab/>
      </w:r>
      <w:r w:rsidR="00C24E41" w:rsidRPr="005E0DD0">
        <w:rPr>
          <w:rFonts w:ascii="Book Antiqua" w:hAnsi="Book Antiqua"/>
          <w:lang w:val="es-PR"/>
        </w:rPr>
        <w:tab/>
      </w:r>
      <w:r w:rsidR="00C24E41" w:rsidRPr="005E0DD0">
        <w:rPr>
          <w:rFonts w:ascii="Book Antiqua" w:hAnsi="Book Antiqua"/>
          <w:lang w:val="es-PR"/>
        </w:rPr>
        <w:tab/>
      </w:r>
      <w:r w:rsidR="00C24E41" w:rsidRPr="005E0DD0">
        <w:rPr>
          <w:rFonts w:ascii="Book Antiqua" w:hAnsi="Book Antiqua"/>
          <w:lang w:val="es-PR"/>
        </w:rPr>
        <w:tab/>
      </w:r>
      <w:r w:rsidR="005E0DD0" w:rsidRPr="005E0DD0">
        <w:rPr>
          <w:rFonts w:ascii="Book Antiqua" w:hAnsi="Book Antiqua"/>
          <w:lang w:val="es-PR"/>
        </w:rPr>
        <w:t xml:space="preserve">      </w:t>
      </w:r>
      <w:r w:rsidRPr="005E0DD0">
        <w:rPr>
          <w:rFonts w:ascii="Book Antiqua" w:hAnsi="Book Antiqua"/>
          <w:lang w:val="es-PR"/>
        </w:rPr>
        <w:t>Ordinaria</w:t>
      </w:r>
    </w:p>
    <w:p w14:paraId="2826346C" w14:textId="77777777" w:rsidR="007223FC" w:rsidRPr="005E0DD0" w:rsidRDefault="007223FC" w:rsidP="00C24E41">
      <w:pPr>
        <w:rPr>
          <w:rFonts w:ascii="Book Antiqua" w:hAnsi="Book Antiqua"/>
          <w:lang w:val="es-PR"/>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411A5DCC"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A9257C">
        <w:rPr>
          <w:rFonts w:ascii="Book Antiqua" w:hAnsi="Book Antiqua"/>
          <w:b/>
          <w:sz w:val="52"/>
          <w:lang w:val="es-ES_tradnl"/>
        </w:rPr>
        <w:t xml:space="preserve"> 684</w:t>
      </w:r>
    </w:p>
    <w:p w14:paraId="4FB5DD3D" w14:textId="6974E6E7" w:rsidR="001E0D88" w:rsidRPr="001E0D88" w:rsidRDefault="001E0D88" w:rsidP="001E0D88">
      <w:pPr>
        <w:jc w:val="center"/>
        <w:rPr>
          <w:rFonts w:ascii="Book Antiqua" w:hAnsi="Book Antiqua"/>
          <w:b/>
          <w:szCs w:val="24"/>
          <w:lang w:val="es-ES_tradnl"/>
        </w:rPr>
      </w:pPr>
    </w:p>
    <w:p w14:paraId="12915E35" w14:textId="1D6E8E1A" w:rsidR="007223FC" w:rsidRDefault="00C22B55" w:rsidP="001E0D88">
      <w:pPr>
        <w:jc w:val="center"/>
        <w:rPr>
          <w:rFonts w:ascii="Book Antiqua" w:hAnsi="Book Antiqua"/>
          <w:lang w:val="es-ES_tradnl"/>
        </w:rPr>
      </w:pPr>
      <w:r>
        <w:rPr>
          <w:rFonts w:ascii="Book Antiqua" w:hAnsi="Book Antiqua"/>
          <w:lang w:val="es-ES_tradnl"/>
        </w:rPr>
        <w:t>2</w:t>
      </w:r>
      <w:r w:rsidR="0057288C">
        <w:rPr>
          <w:rFonts w:ascii="Book Antiqua" w:hAnsi="Book Antiqua"/>
          <w:lang w:val="es-ES_tradnl"/>
        </w:rPr>
        <w:t>3</w:t>
      </w:r>
      <w:r w:rsidR="00A9257C">
        <w:rPr>
          <w:rFonts w:ascii="Book Antiqua" w:hAnsi="Book Antiqua"/>
          <w:lang w:val="es-ES_tradnl"/>
        </w:rPr>
        <w:t xml:space="preserve"> </w:t>
      </w:r>
      <w:r w:rsidR="00E03207">
        <w:rPr>
          <w:rFonts w:ascii="Book Antiqua" w:hAnsi="Book Antiqua"/>
          <w:lang w:val="es-ES_tradnl"/>
        </w:rPr>
        <w:t xml:space="preserve">DE </w:t>
      </w:r>
      <w:r w:rsidR="0041111D">
        <w:rPr>
          <w:rFonts w:ascii="Book Antiqua" w:hAnsi="Book Antiqua"/>
          <w:lang w:val="es-ES_tradnl"/>
        </w:rPr>
        <w:t>ABRIL</w:t>
      </w:r>
      <w:r w:rsidR="001D6647">
        <w:rPr>
          <w:rFonts w:ascii="Book Antiqua" w:hAnsi="Book Antiqua"/>
          <w:lang w:val="es-ES_tradnl"/>
        </w:rPr>
        <w:t xml:space="preserve"> </w:t>
      </w:r>
      <w:r w:rsidR="007223FC">
        <w:rPr>
          <w:rFonts w:ascii="Book Antiqua" w:hAnsi="Book Antiqua"/>
          <w:lang w:val="es-ES_tradnl"/>
        </w:rPr>
        <w:t>DE 202</w:t>
      </w:r>
      <w:r w:rsidR="001C42D4">
        <w:rPr>
          <w:rFonts w:ascii="Book Antiqua" w:hAnsi="Book Antiqua"/>
          <w:lang w:val="es-ES_tradnl"/>
        </w:rPr>
        <w:t>6</w:t>
      </w:r>
    </w:p>
    <w:p w14:paraId="1DA12E69" w14:textId="77777777" w:rsidR="002E59C0" w:rsidRPr="000369FF" w:rsidRDefault="002E59C0" w:rsidP="002E59C0">
      <w:pPr>
        <w:jc w:val="center"/>
        <w:rPr>
          <w:rFonts w:ascii="Book Antiqua" w:hAnsi="Book Antiqua"/>
          <w:lang w:val="es-ES_tradnl"/>
        </w:rPr>
      </w:pPr>
    </w:p>
    <w:p w14:paraId="4B7E216D" w14:textId="2EF81C9F" w:rsidR="002E59C0" w:rsidRPr="00C338B0" w:rsidRDefault="002E59C0" w:rsidP="0041111D">
      <w:pPr>
        <w:ind w:left="810" w:hanging="900"/>
        <w:jc w:val="center"/>
        <w:rPr>
          <w:rFonts w:ascii="Book Antiqua" w:hAnsi="Book Antiqua"/>
          <w:i/>
          <w:iCs/>
          <w:lang w:val="es-ES"/>
        </w:rPr>
      </w:pPr>
      <w:r w:rsidRPr="000369FF">
        <w:rPr>
          <w:rFonts w:ascii="Book Antiqua" w:hAnsi="Book Antiqua"/>
          <w:lang w:val="es-ES_tradnl"/>
        </w:rPr>
        <w:t>Presentad</w:t>
      </w:r>
      <w:r>
        <w:rPr>
          <w:rFonts w:ascii="Book Antiqua" w:hAnsi="Book Antiqua"/>
          <w:lang w:val="es-ES_tradnl"/>
        </w:rPr>
        <w:t>a</w:t>
      </w:r>
      <w:r w:rsidRPr="000369FF">
        <w:rPr>
          <w:rFonts w:ascii="Book Antiqua" w:hAnsi="Book Antiqua"/>
          <w:lang w:val="es-ES_tradnl"/>
        </w:rPr>
        <w:t xml:space="preserve"> por </w:t>
      </w:r>
      <w:r w:rsidR="0041111D">
        <w:rPr>
          <w:rFonts w:ascii="Book Antiqua" w:hAnsi="Book Antiqua"/>
          <w:lang w:val="es-ES_tradnl"/>
        </w:rPr>
        <w:t>el</w:t>
      </w:r>
      <w:r w:rsidRPr="00460923">
        <w:rPr>
          <w:rFonts w:ascii="Book Antiqua" w:hAnsi="Book Antiqua"/>
          <w:lang w:val="es-ES_tradnl"/>
        </w:rPr>
        <w:t xml:space="preserve"> representante </w:t>
      </w:r>
      <w:r w:rsidRPr="00460923">
        <w:rPr>
          <w:rFonts w:ascii="Book Antiqua" w:hAnsi="Book Antiqua"/>
          <w:i/>
          <w:iCs/>
          <w:lang w:val="es-ES"/>
        </w:rPr>
        <w:t>Ferrer Santiago</w:t>
      </w:r>
    </w:p>
    <w:p w14:paraId="6B41298E" w14:textId="77777777" w:rsidR="001E0D88" w:rsidRPr="002E59C0" w:rsidRDefault="001E0D88" w:rsidP="00D2391F">
      <w:pPr>
        <w:rPr>
          <w:rFonts w:ascii="Book Antiqua" w:hAnsi="Book Antiqua"/>
          <w:lang w:val="es-ES"/>
        </w:rPr>
      </w:pPr>
    </w:p>
    <w:p w14:paraId="7E5306B6" w14:textId="3A3CE171" w:rsidR="00657554" w:rsidRDefault="00657554" w:rsidP="00657554">
      <w:pPr>
        <w:jc w:val="center"/>
        <w:rPr>
          <w:rFonts w:ascii="Book Antiqua" w:hAnsi="Book Antiqua"/>
          <w:lang w:val="es-ES_tradnl"/>
        </w:rPr>
      </w:pPr>
      <w:r>
        <w:rPr>
          <w:rFonts w:ascii="Book Antiqua" w:hAnsi="Book Antiqua"/>
          <w:lang w:val="es-ES_tradnl"/>
        </w:rPr>
        <w:t>Referida a</w:t>
      </w:r>
      <w:r w:rsidR="005E0DD0">
        <w:rPr>
          <w:rFonts w:ascii="Book Antiqua" w:hAnsi="Book Antiqua"/>
          <w:lang w:val="es-ES_tradnl"/>
        </w:rPr>
        <w:t xml:space="preserve"> 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3B9E6B45" w14:textId="77BDF4B4" w:rsidR="00152A06" w:rsidRDefault="00FD2623" w:rsidP="005E0DD0">
      <w:pPr>
        <w:ind w:left="720" w:hanging="720"/>
        <w:jc w:val="both"/>
        <w:rPr>
          <w:rFonts w:ascii="Book Antiqua" w:hAnsi="Book Antiqua"/>
          <w:lang w:val="es-ES_tradnl"/>
        </w:rPr>
      </w:pPr>
      <w:r w:rsidRPr="00FD2623">
        <w:rPr>
          <w:rFonts w:ascii="Book Antiqua" w:hAnsi="Book Antiqua"/>
          <w:lang w:val="es-ES_tradnl"/>
        </w:rPr>
        <w:t xml:space="preserve">Para </w:t>
      </w:r>
      <w:r w:rsidR="00C64D1E" w:rsidRPr="00C64D1E">
        <w:rPr>
          <w:rFonts w:ascii="Book Antiqua" w:hAnsi="Book Antiqua"/>
          <w:lang w:val="es-ES_tradnl"/>
        </w:rPr>
        <w:t xml:space="preserve">requerirle a la </w:t>
      </w:r>
      <w:r w:rsidR="00043B21" w:rsidRPr="00043B21">
        <w:rPr>
          <w:rFonts w:ascii="Book Antiqua" w:hAnsi="Book Antiqua"/>
          <w:lang w:val="es-ES_tradnl"/>
        </w:rPr>
        <w:t>Autoridad de Edificios Públicos</w:t>
      </w:r>
      <w:r w:rsidR="00043B21">
        <w:rPr>
          <w:rFonts w:ascii="Book Antiqua" w:hAnsi="Book Antiqua"/>
          <w:lang w:val="es-ES_tradnl"/>
        </w:rPr>
        <w:t xml:space="preserve"> </w:t>
      </w:r>
      <w:r w:rsidR="00C64D1E" w:rsidRPr="00C64D1E">
        <w:rPr>
          <w:rFonts w:ascii="Book Antiqua" w:hAnsi="Book Antiqua"/>
          <w:lang w:val="es-ES_tradnl"/>
        </w:rPr>
        <w:t xml:space="preserve">que entregue, a través de la Secretaría de la Cámara de Representantes en un término no mayor de cinco (5) días luego de la aprobación de esta </w:t>
      </w:r>
      <w:r w:rsidR="00B177D5">
        <w:rPr>
          <w:rFonts w:ascii="Book Antiqua" w:hAnsi="Book Antiqua"/>
          <w:lang w:val="es-ES_tradnl"/>
        </w:rPr>
        <w:t>Resolución</w:t>
      </w:r>
      <w:r w:rsidR="00C64D1E" w:rsidRPr="00C64D1E">
        <w:rPr>
          <w:rFonts w:ascii="Book Antiqua" w:hAnsi="Book Antiqua"/>
          <w:lang w:val="es-ES_tradnl"/>
        </w:rPr>
        <w:t xml:space="preserve">, un listado con el inventario de </w:t>
      </w:r>
      <w:r w:rsidR="00043B21" w:rsidRPr="00043B21">
        <w:rPr>
          <w:rFonts w:ascii="Book Antiqua" w:hAnsi="Book Antiqua"/>
          <w:lang w:val="es-ES_tradnl"/>
        </w:rPr>
        <w:t>propiedades en desuso</w:t>
      </w:r>
      <w:r w:rsidR="00C64D1E" w:rsidRPr="00C64D1E">
        <w:rPr>
          <w:rFonts w:ascii="Book Antiqua" w:hAnsi="Book Antiqua"/>
          <w:lang w:val="es-ES_tradnl"/>
        </w:rPr>
        <w:t xml:space="preserve"> que tiene bajo su posesión, incluyendo si existen acuerdos de arrendamiento vigentes o trámites para la compraventa de alguno y el estatus en que se encuentra la transacción, así como la descripción registral de cada inmueble, en los municipios de: San Juan, Guaynabo, Bayamón, Cataño, Carolina, Trujillo Alto y Caguas</w:t>
      </w:r>
      <w:r w:rsidR="002E59C0">
        <w:rPr>
          <w:rFonts w:ascii="Book Antiqua" w:hAnsi="Book Antiqua"/>
          <w:lang w:val="es-ES_tradnl"/>
        </w:rPr>
        <w:t xml:space="preserve">; y para otros fines relacionados. </w:t>
      </w:r>
    </w:p>
    <w:p w14:paraId="29EEABA2" w14:textId="77777777" w:rsidR="00B92475" w:rsidRPr="00F73338" w:rsidRDefault="00B92475" w:rsidP="001E0D88">
      <w:pPr>
        <w:ind w:left="360" w:hanging="360"/>
        <w:jc w:val="both"/>
        <w:rPr>
          <w:rFonts w:ascii="Book Antiqua" w:hAnsi="Book Antiqua"/>
          <w:lang w:val="es-ES_tradnl"/>
        </w:rPr>
      </w:pPr>
    </w:p>
    <w:p w14:paraId="24D42232" w14:textId="0A36AA94" w:rsidR="00BB3E3C" w:rsidRDefault="007223FC" w:rsidP="00C64D1E">
      <w:pPr>
        <w:jc w:val="center"/>
        <w:rPr>
          <w:rFonts w:ascii="Book Antiqua" w:hAnsi="Book Antiqua"/>
          <w:lang w:val="es-ES_tradnl"/>
        </w:rPr>
      </w:pPr>
      <w:r w:rsidRPr="00F73338">
        <w:rPr>
          <w:rFonts w:ascii="Book Antiqua" w:hAnsi="Book Antiqua"/>
          <w:lang w:val="es-ES_tradnl"/>
        </w:rPr>
        <w:t>EXPOSICIÓN DE MOTIVOS</w:t>
      </w:r>
    </w:p>
    <w:p w14:paraId="4CC58073" w14:textId="0511C56F" w:rsidR="00C64D1E" w:rsidRDefault="00C64D1E" w:rsidP="00C64D1E">
      <w:pPr>
        <w:jc w:val="center"/>
        <w:rPr>
          <w:rFonts w:ascii="Book Antiqua" w:hAnsi="Book Antiqua"/>
          <w:lang w:val="es-ES_tradnl"/>
        </w:rPr>
      </w:pPr>
    </w:p>
    <w:p w14:paraId="63072174" w14:textId="13CD94E3" w:rsidR="00C64D1E" w:rsidRDefault="00C64D1E" w:rsidP="003B5BF6">
      <w:pPr>
        <w:jc w:val="both"/>
        <w:rPr>
          <w:rFonts w:ascii="Book Antiqua" w:hAnsi="Book Antiqua"/>
          <w:lang w:val="es-ES_tradnl"/>
        </w:rPr>
      </w:pPr>
      <w:r>
        <w:rPr>
          <w:rFonts w:ascii="Book Antiqua" w:hAnsi="Book Antiqua"/>
          <w:lang w:val="es-ES_tradnl"/>
        </w:rPr>
        <w:tab/>
      </w:r>
      <w:r w:rsidR="003B5BF6">
        <w:rPr>
          <w:rFonts w:ascii="Book Antiqua" w:hAnsi="Book Antiqua"/>
          <w:lang w:val="es-ES_tradnl"/>
        </w:rPr>
        <w:t xml:space="preserve">La </w:t>
      </w:r>
      <w:r w:rsidR="003B5BF6" w:rsidRPr="003B5BF6">
        <w:rPr>
          <w:rFonts w:ascii="Book Antiqua" w:hAnsi="Book Antiqua"/>
          <w:lang w:val="es-ES_tradnl"/>
        </w:rPr>
        <w:t>Ley Núm. 56 de 19 de junio de 1958, según enmendada</w:t>
      </w:r>
      <w:r w:rsidR="003B5BF6">
        <w:rPr>
          <w:rFonts w:ascii="Book Antiqua" w:hAnsi="Book Antiqua"/>
          <w:lang w:val="es-ES_tradnl"/>
        </w:rPr>
        <w:t>, conocida como “</w:t>
      </w:r>
      <w:r w:rsidR="003B5BF6" w:rsidRPr="003B5BF6">
        <w:rPr>
          <w:rFonts w:ascii="Book Antiqua" w:hAnsi="Book Antiqua"/>
          <w:lang w:val="es-ES_tradnl"/>
        </w:rPr>
        <w:t>Ley de la Autoridad de Edificios Públicos</w:t>
      </w:r>
      <w:r w:rsidR="003B5BF6">
        <w:rPr>
          <w:rFonts w:ascii="Book Antiqua" w:hAnsi="Book Antiqua"/>
          <w:lang w:val="es-ES_tradnl"/>
        </w:rPr>
        <w:t xml:space="preserve">”, dispone que esta instrumentalidad </w:t>
      </w:r>
      <w:r w:rsidR="003B5BF6" w:rsidRPr="003B5BF6">
        <w:rPr>
          <w:rFonts w:ascii="Book Antiqua" w:hAnsi="Book Antiqua"/>
          <w:lang w:val="es-ES_tradnl"/>
        </w:rPr>
        <w:t>gestionar</w:t>
      </w:r>
      <w:r w:rsidR="003B5BF6">
        <w:rPr>
          <w:rFonts w:ascii="Book Antiqua" w:hAnsi="Book Antiqua"/>
          <w:lang w:val="es-ES_tradnl"/>
        </w:rPr>
        <w:t>á</w:t>
      </w:r>
      <w:r w:rsidR="003B5BF6" w:rsidRPr="003B5BF6">
        <w:rPr>
          <w:rFonts w:ascii="Book Antiqua" w:hAnsi="Book Antiqua"/>
          <w:lang w:val="es-ES_tradnl"/>
        </w:rPr>
        <w:t xml:space="preserve"> el diseño,</w:t>
      </w:r>
      <w:r w:rsidR="003B5BF6">
        <w:rPr>
          <w:rFonts w:ascii="Book Antiqua" w:hAnsi="Book Antiqua"/>
          <w:lang w:val="es-ES_tradnl"/>
        </w:rPr>
        <w:t xml:space="preserve"> </w:t>
      </w:r>
      <w:r w:rsidR="003B5BF6" w:rsidRPr="003B5BF6">
        <w:rPr>
          <w:rFonts w:ascii="Book Antiqua" w:hAnsi="Book Antiqua"/>
          <w:lang w:val="es-ES_tradnl"/>
        </w:rPr>
        <w:t>la construcción, remodelación y mantenimiento de</w:t>
      </w:r>
      <w:r w:rsidR="003B5BF6">
        <w:rPr>
          <w:rFonts w:ascii="Book Antiqua" w:hAnsi="Book Antiqua"/>
          <w:lang w:val="es-ES_tradnl"/>
        </w:rPr>
        <w:t xml:space="preserve"> </w:t>
      </w:r>
      <w:r w:rsidR="003B5BF6" w:rsidRPr="003B5BF6">
        <w:rPr>
          <w:rFonts w:ascii="Book Antiqua" w:hAnsi="Book Antiqua"/>
          <w:lang w:val="es-ES_tradnl"/>
        </w:rPr>
        <w:t>estructuras para albergar las operaciones de</w:t>
      </w:r>
      <w:r w:rsidR="003B5BF6">
        <w:rPr>
          <w:rFonts w:ascii="Book Antiqua" w:hAnsi="Book Antiqua"/>
          <w:lang w:val="es-ES_tradnl"/>
        </w:rPr>
        <w:t xml:space="preserve"> </w:t>
      </w:r>
      <w:r w:rsidR="003B5BF6" w:rsidRPr="003B5BF6">
        <w:rPr>
          <w:rFonts w:ascii="Book Antiqua" w:hAnsi="Book Antiqua"/>
          <w:lang w:val="es-ES_tradnl"/>
        </w:rPr>
        <w:t>diversas entidades gubernamentales</w:t>
      </w:r>
      <w:r w:rsidR="003B5BF6">
        <w:rPr>
          <w:rFonts w:ascii="Book Antiqua" w:hAnsi="Book Antiqua"/>
          <w:lang w:val="es-ES_tradnl"/>
        </w:rPr>
        <w:t xml:space="preserve">, incluyendo: </w:t>
      </w:r>
      <w:r w:rsidR="003B5BF6" w:rsidRPr="003B5BF6">
        <w:rPr>
          <w:rFonts w:ascii="Book Antiqua" w:hAnsi="Book Antiqua"/>
          <w:lang w:val="es-ES_tradnl"/>
        </w:rPr>
        <w:t>escuelas,</w:t>
      </w:r>
      <w:r w:rsidR="003B5BF6">
        <w:rPr>
          <w:rFonts w:ascii="Book Antiqua" w:hAnsi="Book Antiqua"/>
          <w:lang w:val="es-ES_tradnl"/>
        </w:rPr>
        <w:t xml:space="preserve"> </w:t>
      </w:r>
      <w:r w:rsidR="003B5BF6" w:rsidRPr="003B5BF6">
        <w:rPr>
          <w:rFonts w:ascii="Book Antiqua" w:hAnsi="Book Antiqua"/>
          <w:lang w:val="es-ES_tradnl"/>
        </w:rPr>
        <w:t>facilidades de salud, oficinas, cuarteles, tribunales,</w:t>
      </w:r>
      <w:r w:rsidR="003B5BF6">
        <w:rPr>
          <w:rFonts w:ascii="Book Antiqua" w:hAnsi="Book Antiqua"/>
          <w:lang w:val="es-ES_tradnl"/>
        </w:rPr>
        <w:t xml:space="preserve"> entre otras. </w:t>
      </w:r>
    </w:p>
    <w:p w14:paraId="2BEBFC99" w14:textId="77777777" w:rsidR="003B5BF6" w:rsidRDefault="003B5BF6" w:rsidP="003B5BF6">
      <w:pPr>
        <w:jc w:val="both"/>
        <w:rPr>
          <w:rFonts w:ascii="Book Antiqua" w:hAnsi="Book Antiqua"/>
          <w:lang w:val="es-ES_tradnl"/>
        </w:rPr>
      </w:pPr>
    </w:p>
    <w:p w14:paraId="2BCF0DA7" w14:textId="66281D72" w:rsidR="003B5BF6" w:rsidRDefault="003B5BF6" w:rsidP="003B5BF6">
      <w:pPr>
        <w:jc w:val="both"/>
        <w:rPr>
          <w:rFonts w:ascii="Book Antiqua" w:hAnsi="Book Antiqua"/>
          <w:lang w:val="es-PR"/>
        </w:rPr>
      </w:pPr>
      <w:r>
        <w:rPr>
          <w:rFonts w:ascii="Book Antiqua" w:hAnsi="Book Antiqua"/>
          <w:lang w:val="es-ES_tradnl"/>
        </w:rPr>
        <w:tab/>
        <w:t xml:space="preserve">Según el informe de transición de la agencia, publicado en el 2024, la Autoridad de Edificios Públicos </w:t>
      </w:r>
      <w:r w:rsidR="00311A60" w:rsidRPr="00311A60">
        <w:rPr>
          <w:rFonts w:ascii="Book Antiqua" w:hAnsi="Book Antiqua"/>
          <w:lang w:val="es-PR"/>
        </w:rPr>
        <w:t>administra unas 679 propiedades, de las cuales 614 se encuentran abiertas</w:t>
      </w:r>
      <w:r w:rsidR="00311A60">
        <w:rPr>
          <w:rFonts w:ascii="Book Antiqua" w:hAnsi="Book Antiqua"/>
          <w:lang w:val="es-PR"/>
        </w:rPr>
        <w:t xml:space="preserve">, y </w:t>
      </w:r>
      <w:r w:rsidR="00311A60" w:rsidRPr="00311A60">
        <w:rPr>
          <w:rFonts w:ascii="Book Antiqua" w:hAnsi="Book Antiqua"/>
          <w:lang w:val="es-PR"/>
        </w:rPr>
        <w:t>58</w:t>
      </w:r>
      <w:r w:rsidR="00311A60">
        <w:rPr>
          <w:rFonts w:ascii="Book Antiqua" w:hAnsi="Book Antiqua"/>
          <w:lang w:val="es-PR"/>
        </w:rPr>
        <w:t xml:space="preserve"> </w:t>
      </w:r>
      <w:r w:rsidR="00311A60" w:rsidRPr="00311A60">
        <w:rPr>
          <w:rFonts w:ascii="Book Antiqua" w:hAnsi="Book Antiqua"/>
          <w:lang w:val="es-PR"/>
        </w:rPr>
        <w:t>se encuentran cerradas</w:t>
      </w:r>
      <w:r w:rsidR="00311A60">
        <w:rPr>
          <w:rFonts w:ascii="Book Antiqua" w:hAnsi="Book Antiqua"/>
          <w:lang w:val="es-PR"/>
        </w:rPr>
        <w:t>,</w:t>
      </w:r>
      <w:r w:rsidR="00311A60" w:rsidRPr="00311A60">
        <w:rPr>
          <w:lang w:val="es-PR"/>
        </w:rPr>
        <w:t xml:space="preserve"> </w:t>
      </w:r>
      <w:r w:rsidR="00311A60" w:rsidRPr="00311A60">
        <w:rPr>
          <w:rFonts w:ascii="Book Antiqua" w:hAnsi="Book Antiqua"/>
          <w:lang w:val="es-PR"/>
        </w:rPr>
        <w:t xml:space="preserve">aunque </w:t>
      </w:r>
      <w:r w:rsidR="00311A60">
        <w:rPr>
          <w:rFonts w:ascii="Book Antiqua" w:hAnsi="Book Antiqua"/>
          <w:lang w:val="es-PR"/>
        </w:rPr>
        <w:t xml:space="preserve">están </w:t>
      </w:r>
      <w:r w:rsidR="00311A60" w:rsidRPr="00311A60">
        <w:rPr>
          <w:rFonts w:ascii="Book Antiqua" w:hAnsi="Book Antiqua"/>
          <w:lang w:val="es-PR"/>
        </w:rPr>
        <w:t>disponibles</w:t>
      </w:r>
      <w:r w:rsidR="00E90C8C">
        <w:rPr>
          <w:rFonts w:ascii="Book Antiqua" w:hAnsi="Book Antiqua"/>
          <w:lang w:val="es-PR"/>
        </w:rPr>
        <w:t xml:space="preserve"> para usarse</w:t>
      </w:r>
      <w:r w:rsidR="00311A60">
        <w:rPr>
          <w:rFonts w:ascii="Book Antiqua" w:hAnsi="Book Antiqua"/>
          <w:lang w:val="es-PR"/>
        </w:rPr>
        <w:t xml:space="preserve">. </w:t>
      </w:r>
    </w:p>
    <w:p w14:paraId="484BA7EA" w14:textId="77777777" w:rsidR="00311A60" w:rsidRDefault="00311A60" w:rsidP="003B5BF6">
      <w:pPr>
        <w:jc w:val="both"/>
        <w:rPr>
          <w:rFonts w:ascii="Book Antiqua" w:hAnsi="Book Antiqua"/>
          <w:lang w:val="es-PR"/>
        </w:rPr>
      </w:pPr>
    </w:p>
    <w:p w14:paraId="388FAC43" w14:textId="57DB2C67" w:rsidR="00B5095B" w:rsidRPr="00311A60" w:rsidRDefault="00311A60" w:rsidP="00074568">
      <w:pPr>
        <w:jc w:val="both"/>
        <w:rPr>
          <w:rFonts w:ascii="Book Antiqua" w:hAnsi="Book Antiqua"/>
          <w:lang w:val="es-PR"/>
        </w:rPr>
      </w:pPr>
      <w:r>
        <w:rPr>
          <w:rFonts w:ascii="Book Antiqua" w:hAnsi="Book Antiqua"/>
          <w:lang w:val="es-PR"/>
        </w:rPr>
        <w:tab/>
        <w:t xml:space="preserve">Por tanto, es meritorio que esta Cámara de Representantes, en el uso de su facultad constitucional de investigación, tenga disponible el inventario de las propiedades en desuso que tiene bajo su posesión la Autoridad de Edificios Públicos. </w:t>
      </w:r>
    </w:p>
    <w:p w14:paraId="6402879F" w14:textId="77777777" w:rsidR="007223FC" w:rsidRDefault="007223FC" w:rsidP="001E0D88">
      <w:pPr>
        <w:spacing w:line="480" w:lineRule="auto"/>
        <w:rPr>
          <w:rFonts w:ascii="Book Antiqua" w:hAnsi="Book Antiqua"/>
          <w:i/>
          <w:lang w:val="es-ES_tradnl"/>
        </w:rPr>
      </w:pPr>
      <w:r w:rsidRPr="00F73338">
        <w:rPr>
          <w:rFonts w:ascii="Book Antiqua" w:hAnsi="Book Antiqua"/>
          <w:i/>
          <w:lang w:val="es-ES_tradnl"/>
        </w:rPr>
        <w:lastRenderedPageBreak/>
        <w:t>RESUÉLVESE POR LA CÁMARA DE REPRESENTANTES DE PUERTO</w:t>
      </w:r>
      <w:r>
        <w:rPr>
          <w:rFonts w:ascii="Book Antiqua" w:hAnsi="Book Antiqua"/>
          <w:i/>
          <w:lang w:val="es-ES_tradnl"/>
        </w:rPr>
        <w:t xml:space="preserve">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9"/>
          <w:type w:val="continuous"/>
          <w:pgSz w:w="12240" w:h="15840" w:code="1"/>
          <w:pgMar w:top="1440" w:right="1440" w:bottom="1440" w:left="1440" w:header="720" w:footer="720" w:gutter="0"/>
          <w:cols w:space="720"/>
          <w:titlePg/>
        </w:sectPr>
      </w:pPr>
    </w:p>
    <w:p w14:paraId="2E0C9623" w14:textId="3267D0B3" w:rsidR="00667F05" w:rsidRPr="00667F05" w:rsidRDefault="00667F05" w:rsidP="00667F05">
      <w:pPr>
        <w:spacing w:line="480" w:lineRule="auto"/>
        <w:ind w:firstLine="720"/>
        <w:jc w:val="both"/>
        <w:rPr>
          <w:rFonts w:ascii="Book Antiqua" w:hAnsi="Book Antiqua"/>
          <w:lang w:val="es-ES_tradnl"/>
        </w:rPr>
      </w:pPr>
      <w:r w:rsidRPr="00667F05">
        <w:rPr>
          <w:rFonts w:ascii="Book Antiqua" w:hAnsi="Book Antiqua"/>
          <w:lang w:val="es-ES_tradnl"/>
        </w:rPr>
        <w:t>Sección 1</w:t>
      </w:r>
      <w:r w:rsidR="00206DDA">
        <w:rPr>
          <w:rFonts w:ascii="Book Antiqua" w:hAnsi="Book Antiqua"/>
          <w:lang w:val="es-ES_tradnl"/>
        </w:rPr>
        <w:t>.</w:t>
      </w:r>
      <w:r w:rsidRPr="00667F05">
        <w:rPr>
          <w:rFonts w:ascii="Book Antiqua" w:hAnsi="Book Antiqua"/>
          <w:lang w:val="es-ES_tradnl"/>
        </w:rPr>
        <w:t xml:space="preserve">–Se </w:t>
      </w:r>
      <w:r w:rsidR="00C64D1E">
        <w:rPr>
          <w:rFonts w:ascii="Book Antiqua" w:hAnsi="Book Antiqua"/>
          <w:lang w:val="es-ES_tradnl"/>
        </w:rPr>
        <w:t>le</w:t>
      </w:r>
      <w:r w:rsidRPr="00667F05">
        <w:rPr>
          <w:rFonts w:ascii="Book Antiqua" w:hAnsi="Book Antiqua"/>
          <w:lang w:val="es-ES_tradnl"/>
        </w:rPr>
        <w:t xml:space="preserve"> </w:t>
      </w:r>
      <w:r w:rsidR="00C64D1E" w:rsidRPr="00C64D1E">
        <w:rPr>
          <w:rFonts w:ascii="Book Antiqua" w:hAnsi="Book Antiqua"/>
          <w:lang w:val="es-ES_tradnl"/>
        </w:rPr>
        <w:t>requ</w:t>
      </w:r>
      <w:r w:rsidR="00C64D1E">
        <w:rPr>
          <w:rFonts w:ascii="Book Antiqua" w:hAnsi="Book Antiqua"/>
          <w:lang w:val="es-ES_tradnl"/>
        </w:rPr>
        <w:t>iere</w:t>
      </w:r>
      <w:r w:rsidR="00C64D1E" w:rsidRPr="00C64D1E">
        <w:rPr>
          <w:rFonts w:ascii="Book Antiqua" w:hAnsi="Book Antiqua"/>
          <w:lang w:val="es-ES_tradnl"/>
        </w:rPr>
        <w:t xml:space="preserve"> a la </w:t>
      </w:r>
      <w:r w:rsidR="00043B21" w:rsidRPr="00043B21">
        <w:rPr>
          <w:rFonts w:ascii="Book Antiqua" w:hAnsi="Book Antiqua"/>
          <w:lang w:val="es-ES_tradnl"/>
        </w:rPr>
        <w:t>Autoridad de Edificios Públicos</w:t>
      </w:r>
      <w:r w:rsidR="00043B21">
        <w:rPr>
          <w:rFonts w:ascii="Book Antiqua" w:hAnsi="Book Antiqua"/>
          <w:lang w:val="es-ES_tradnl"/>
        </w:rPr>
        <w:t xml:space="preserve"> </w:t>
      </w:r>
      <w:r w:rsidR="00C64D1E" w:rsidRPr="00C64D1E">
        <w:rPr>
          <w:rFonts w:ascii="Book Antiqua" w:hAnsi="Book Antiqua"/>
          <w:lang w:val="es-ES_tradnl"/>
        </w:rPr>
        <w:t xml:space="preserve">que entregue, a través de la Secretaría de la Cámara de Representantes en un término no mayor de cinco (5) días luego de la aprobación de esta </w:t>
      </w:r>
      <w:r w:rsidR="00B177D5">
        <w:rPr>
          <w:rFonts w:ascii="Book Antiqua" w:hAnsi="Book Antiqua"/>
          <w:lang w:val="es-ES_tradnl"/>
        </w:rPr>
        <w:t>Resolución</w:t>
      </w:r>
      <w:r w:rsidR="00C64D1E" w:rsidRPr="00C64D1E">
        <w:rPr>
          <w:rFonts w:ascii="Book Antiqua" w:hAnsi="Book Antiqua"/>
          <w:lang w:val="es-ES_tradnl"/>
        </w:rPr>
        <w:t xml:space="preserve">, un listado con el inventario de </w:t>
      </w:r>
      <w:r w:rsidR="00043B21" w:rsidRPr="00043B21">
        <w:rPr>
          <w:rFonts w:ascii="Book Antiqua" w:hAnsi="Book Antiqua"/>
          <w:lang w:val="es-ES_tradnl"/>
        </w:rPr>
        <w:t>propiedades en desuso</w:t>
      </w:r>
      <w:r w:rsidR="00043B21">
        <w:rPr>
          <w:rFonts w:ascii="Book Antiqua" w:hAnsi="Book Antiqua"/>
          <w:lang w:val="es-ES_tradnl"/>
        </w:rPr>
        <w:t xml:space="preserve"> </w:t>
      </w:r>
      <w:r w:rsidR="00C64D1E" w:rsidRPr="00C64D1E">
        <w:rPr>
          <w:rFonts w:ascii="Book Antiqua" w:hAnsi="Book Antiqua"/>
          <w:lang w:val="es-ES_tradnl"/>
        </w:rPr>
        <w:t>que tiene bajo su posesión, incluyendo si existen acuerdos de arrendamiento vigentes o trámites para la compraventa de alguno y el estatus en que se encuentra la transacción, así como la descripción registral de cada inmueble, en los municipios de: San Juan, Guaynabo, Bayamón, Cataño, Carolina, Trujillo Alto y Caguas.</w:t>
      </w:r>
    </w:p>
    <w:p w14:paraId="6A8E3044" w14:textId="0B9A5554" w:rsidR="00890C1A" w:rsidRPr="00ED1E2F" w:rsidRDefault="00667F05" w:rsidP="00421A22">
      <w:pPr>
        <w:spacing w:line="480" w:lineRule="auto"/>
        <w:ind w:firstLine="720"/>
        <w:jc w:val="both"/>
        <w:rPr>
          <w:rFonts w:ascii="Book Antiqua" w:hAnsi="Book Antiqua"/>
          <w:lang w:val="es-ES_tradnl"/>
        </w:rPr>
      </w:pPr>
      <w:r w:rsidRPr="00667F05">
        <w:rPr>
          <w:rFonts w:ascii="Book Antiqua" w:hAnsi="Book Antiqua"/>
          <w:lang w:val="es-ES_tradnl"/>
        </w:rPr>
        <w:t xml:space="preserve">Sección </w:t>
      </w:r>
      <w:r w:rsidR="00C64D1E">
        <w:rPr>
          <w:rFonts w:ascii="Book Antiqua" w:hAnsi="Book Antiqua"/>
          <w:lang w:val="es-ES_tradnl"/>
        </w:rPr>
        <w:t>2</w:t>
      </w:r>
      <w:r w:rsidRPr="00667F05">
        <w:rPr>
          <w:rFonts w:ascii="Book Antiqua" w:hAnsi="Book Antiqua"/>
          <w:lang w:val="es-ES_tradnl"/>
        </w:rPr>
        <w:t>.</w:t>
      </w:r>
      <w:r w:rsidR="00206DDA" w:rsidRPr="00667F05">
        <w:rPr>
          <w:rFonts w:ascii="Book Antiqua" w:hAnsi="Book Antiqua"/>
          <w:lang w:val="es-ES_tradnl"/>
        </w:rPr>
        <w:t>–</w:t>
      </w:r>
      <w:r w:rsidRPr="00667F05">
        <w:rPr>
          <w:rFonts w:ascii="Book Antiqua" w:hAnsi="Book Antiqua"/>
          <w:lang w:val="es-ES_tradnl"/>
        </w:rPr>
        <w:t>Esta Resolución comenzará a regir inmediatamente después de su aprobación.</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E7F52" w14:textId="77777777" w:rsidR="00F20A05" w:rsidRDefault="00F20A05">
      <w:r>
        <w:separator/>
      </w:r>
    </w:p>
  </w:endnote>
  <w:endnote w:type="continuationSeparator" w:id="0">
    <w:p w14:paraId="1F441ED0" w14:textId="77777777" w:rsidR="00F20A05" w:rsidRDefault="00F20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84730" w14:textId="77777777" w:rsidR="00F20A05" w:rsidRDefault="00F20A05">
      <w:r>
        <w:separator/>
      </w:r>
    </w:p>
  </w:footnote>
  <w:footnote w:type="continuationSeparator" w:id="0">
    <w:p w14:paraId="30E56003" w14:textId="77777777" w:rsidR="00F20A05" w:rsidRDefault="00F20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20C62"/>
    <w:rsid w:val="00030742"/>
    <w:rsid w:val="0003393F"/>
    <w:rsid w:val="00043B21"/>
    <w:rsid w:val="00056024"/>
    <w:rsid w:val="00074568"/>
    <w:rsid w:val="00095AE1"/>
    <w:rsid w:val="000A6B6C"/>
    <w:rsid w:val="000B0DBB"/>
    <w:rsid w:val="000B587D"/>
    <w:rsid w:val="000C3C2B"/>
    <w:rsid w:val="000C6C28"/>
    <w:rsid w:val="000D6CA4"/>
    <w:rsid w:val="000F5878"/>
    <w:rsid w:val="00111E71"/>
    <w:rsid w:val="00121EE6"/>
    <w:rsid w:val="00127C6A"/>
    <w:rsid w:val="00131B70"/>
    <w:rsid w:val="001363FE"/>
    <w:rsid w:val="0014430B"/>
    <w:rsid w:val="00152A06"/>
    <w:rsid w:val="00153407"/>
    <w:rsid w:val="0016070A"/>
    <w:rsid w:val="00160CBC"/>
    <w:rsid w:val="0017132B"/>
    <w:rsid w:val="001760FD"/>
    <w:rsid w:val="001850B4"/>
    <w:rsid w:val="00196D30"/>
    <w:rsid w:val="001A4F41"/>
    <w:rsid w:val="001C42D4"/>
    <w:rsid w:val="001D6647"/>
    <w:rsid w:val="001E0D88"/>
    <w:rsid w:val="001F4CA3"/>
    <w:rsid w:val="001F612A"/>
    <w:rsid w:val="00200720"/>
    <w:rsid w:val="00203EFC"/>
    <w:rsid w:val="00206DDA"/>
    <w:rsid w:val="00211396"/>
    <w:rsid w:val="00226AE6"/>
    <w:rsid w:val="002314F5"/>
    <w:rsid w:val="00242D78"/>
    <w:rsid w:val="00245B34"/>
    <w:rsid w:val="00246130"/>
    <w:rsid w:val="00247454"/>
    <w:rsid w:val="002502B0"/>
    <w:rsid w:val="00253529"/>
    <w:rsid w:val="00261EBD"/>
    <w:rsid w:val="00263355"/>
    <w:rsid w:val="00273792"/>
    <w:rsid w:val="002A35C8"/>
    <w:rsid w:val="002A7B3A"/>
    <w:rsid w:val="002B3DC5"/>
    <w:rsid w:val="002B7EDC"/>
    <w:rsid w:val="002C3354"/>
    <w:rsid w:val="002D4AC8"/>
    <w:rsid w:val="002E43CA"/>
    <w:rsid w:val="002E59C0"/>
    <w:rsid w:val="002F711A"/>
    <w:rsid w:val="00305B2A"/>
    <w:rsid w:val="00311A60"/>
    <w:rsid w:val="00317163"/>
    <w:rsid w:val="00320D78"/>
    <w:rsid w:val="003372BC"/>
    <w:rsid w:val="003372CE"/>
    <w:rsid w:val="00343C46"/>
    <w:rsid w:val="00351CD3"/>
    <w:rsid w:val="00380FE5"/>
    <w:rsid w:val="003924DD"/>
    <w:rsid w:val="00394FCB"/>
    <w:rsid w:val="003963F4"/>
    <w:rsid w:val="003A0EBF"/>
    <w:rsid w:val="003B5254"/>
    <w:rsid w:val="003B580C"/>
    <w:rsid w:val="003B5BF6"/>
    <w:rsid w:val="003B75A6"/>
    <w:rsid w:val="003F5AF9"/>
    <w:rsid w:val="004061CA"/>
    <w:rsid w:val="0041111D"/>
    <w:rsid w:val="00415689"/>
    <w:rsid w:val="004211E7"/>
    <w:rsid w:val="00421A22"/>
    <w:rsid w:val="004220A9"/>
    <w:rsid w:val="004244F7"/>
    <w:rsid w:val="00425E31"/>
    <w:rsid w:val="004264F3"/>
    <w:rsid w:val="0042775F"/>
    <w:rsid w:val="004440CB"/>
    <w:rsid w:val="00445FC5"/>
    <w:rsid w:val="0044682A"/>
    <w:rsid w:val="00461578"/>
    <w:rsid w:val="00462A30"/>
    <w:rsid w:val="0046496D"/>
    <w:rsid w:val="004660D9"/>
    <w:rsid w:val="00467695"/>
    <w:rsid w:val="004713D2"/>
    <w:rsid w:val="00471DFA"/>
    <w:rsid w:val="00473A4B"/>
    <w:rsid w:val="0047775F"/>
    <w:rsid w:val="00486727"/>
    <w:rsid w:val="00487E1F"/>
    <w:rsid w:val="00495FE7"/>
    <w:rsid w:val="004B594A"/>
    <w:rsid w:val="004B615E"/>
    <w:rsid w:val="004B660B"/>
    <w:rsid w:val="004D6BF6"/>
    <w:rsid w:val="004E0D97"/>
    <w:rsid w:val="004E1B57"/>
    <w:rsid w:val="00501A6A"/>
    <w:rsid w:val="00521639"/>
    <w:rsid w:val="0052618B"/>
    <w:rsid w:val="00532BB7"/>
    <w:rsid w:val="005332E4"/>
    <w:rsid w:val="00534092"/>
    <w:rsid w:val="0053550C"/>
    <w:rsid w:val="0053775D"/>
    <w:rsid w:val="005544A2"/>
    <w:rsid w:val="00555018"/>
    <w:rsid w:val="005556B4"/>
    <w:rsid w:val="005723DC"/>
    <w:rsid w:val="0057288C"/>
    <w:rsid w:val="005924B5"/>
    <w:rsid w:val="005A7CAC"/>
    <w:rsid w:val="005B69F5"/>
    <w:rsid w:val="005B6AC8"/>
    <w:rsid w:val="005D5464"/>
    <w:rsid w:val="005D679A"/>
    <w:rsid w:val="005E0DD0"/>
    <w:rsid w:val="005F25DA"/>
    <w:rsid w:val="0061442E"/>
    <w:rsid w:val="0061708B"/>
    <w:rsid w:val="006210DC"/>
    <w:rsid w:val="00622CED"/>
    <w:rsid w:val="00627474"/>
    <w:rsid w:val="0064349D"/>
    <w:rsid w:val="006461F0"/>
    <w:rsid w:val="00653E1E"/>
    <w:rsid w:val="00653EED"/>
    <w:rsid w:val="00656763"/>
    <w:rsid w:val="00657554"/>
    <w:rsid w:val="00667F05"/>
    <w:rsid w:val="00685549"/>
    <w:rsid w:val="006874C9"/>
    <w:rsid w:val="006B7365"/>
    <w:rsid w:val="006C2D81"/>
    <w:rsid w:val="006C7DF8"/>
    <w:rsid w:val="006D4B6E"/>
    <w:rsid w:val="006E5DD4"/>
    <w:rsid w:val="006E6775"/>
    <w:rsid w:val="006F03E8"/>
    <w:rsid w:val="006F6DB6"/>
    <w:rsid w:val="00702186"/>
    <w:rsid w:val="00703717"/>
    <w:rsid w:val="00716CF2"/>
    <w:rsid w:val="00716D3A"/>
    <w:rsid w:val="007172D9"/>
    <w:rsid w:val="007223FC"/>
    <w:rsid w:val="00740270"/>
    <w:rsid w:val="00750FC8"/>
    <w:rsid w:val="007533D0"/>
    <w:rsid w:val="00755069"/>
    <w:rsid w:val="00772CD5"/>
    <w:rsid w:val="00775A60"/>
    <w:rsid w:val="00776E8F"/>
    <w:rsid w:val="00781769"/>
    <w:rsid w:val="00784ADA"/>
    <w:rsid w:val="007915D3"/>
    <w:rsid w:val="00791800"/>
    <w:rsid w:val="007A7BE5"/>
    <w:rsid w:val="007B0660"/>
    <w:rsid w:val="007C2AA3"/>
    <w:rsid w:val="007D449C"/>
    <w:rsid w:val="007E3868"/>
    <w:rsid w:val="007F03E4"/>
    <w:rsid w:val="00807638"/>
    <w:rsid w:val="00811111"/>
    <w:rsid w:val="00820C41"/>
    <w:rsid w:val="008304B2"/>
    <w:rsid w:val="00844906"/>
    <w:rsid w:val="00850256"/>
    <w:rsid w:val="008629FB"/>
    <w:rsid w:val="008769A5"/>
    <w:rsid w:val="0088150D"/>
    <w:rsid w:val="00890C1A"/>
    <w:rsid w:val="00896423"/>
    <w:rsid w:val="00897291"/>
    <w:rsid w:val="008A3E27"/>
    <w:rsid w:val="008B578C"/>
    <w:rsid w:val="008E656A"/>
    <w:rsid w:val="008F0224"/>
    <w:rsid w:val="008F307D"/>
    <w:rsid w:val="008F435B"/>
    <w:rsid w:val="008F6077"/>
    <w:rsid w:val="00902B57"/>
    <w:rsid w:val="0091384D"/>
    <w:rsid w:val="00916A94"/>
    <w:rsid w:val="009259F2"/>
    <w:rsid w:val="0093330E"/>
    <w:rsid w:val="0093686F"/>
    <w:rsid w:val="00942FD4"/>
    <w:rsid w:val="00951997"/>
    <w:rsid w:val="00955A16"/>
    <w:rsid w:val="00960F9E"/>
    <w:rsid w:val="0098132E"/>
    <w:rsid w:val="009834E1"/>
    <w:rsid w:val="00990352"/>
    <w:rsid w:val="0099602F"/>
    <w:rsid w:val="009A14A6"/>
    <w:rsid w:val="009A4161"/>
    <w:rsid w:val="009A6BB9"/>
    <w:rsid w:val="009C13F0"/>
    <w:rsid w:val="009C1D7D"/>
    <w:rsid w:val="009E0CE5"/>
    <w:rsid w:val="009E10AF"/>
    <w:rsid w:val="009F211B"/>
    <w:rsid w:val="00A03405"/>
    <w:rsid w:val="00A12045"/>
    <w:rsid w:val="00A1528A"/>
    <w:rsid w:val="00A33918"/>
    <w:rsid w:val="00A60C09"/>
    <w:rsid w:val="00A7629F"/>
    <w:rsid w:val="00A903E7"/>
    <w:rsid w:val="00A9257C"/>
    <w:rsid w:val="00AA06CC"/>
    <w:rsid w:val="00AB78E2"/>
    <w:rsid w:val="00AC1D44"/>
    <w:rsid w:val="00AC2EC5"/>
    <w:rsid w:val="00AC310E"/>
    <w:rsid w:val="00AD086A"/>
    <w:rsid w:val="00AD3BF2"/>
    <w:rsid w:val="00AD400E"/>
    <w:rsid w:val="00AF0CEE"/>
    <w:rsid w:val="00B14053"/>
    <w:rsid w:val="00B1631A"/>
    <w:rsid w:val="00B1764D"/>
    <w:rsid w:val="00B177D5"/>
    <w:rsid w:val="00B2143D"/>
    <w:rsid w:val="00B36D47"/>
    <w:rsid w:val="00B45DFB"/>
    <w:rsid w:val="00B5095B"/>
    <w:rsid w:val="00B51752"/>
    <w:rsid w:val="00B53DD9"/>
    <w:rsid w:val="00B667AD"/>
    <w:rsid w:val="00B84C38"/>
    <w:rsid w:val="00B86C00"/>
    <w:rsid w:val="00B91966"/>
    <w:rsid w:val="00B92475"/>
    <w:rsid w:val="00B947F6"/>
    <w:rsid w:val="00B95EF5"/>
    <w:rsid w:val="00BB3E3C"/>
    <w:rsid w:val="00BB7DAD"/>
    <w:rsid w:val="00BC5ED8"/>
    <w:rsid w:val="00BD2C62"/>
    <w:rsid w:val="00BE2564"/>
    <w:rsid w:val="00BF16AA"/>
    <w:rsid w:val="00C05908"/>
    <w:rsid w:val="00C07CBE"/>
    <w:rsid w:val="00C07DC8"/>
    <w:rsid w:val="00C13492"/>
    <w:rsid w:val="00C216A3"/>
    <w:rsid w:val="00C22B55"/>
    <w:rsid w:val="00C24E41"/>
    <w:rsid w:val="00C32139"/>
    <w:rsid w:val="00C354B8"/>
    <w:rsid w:val="00C43193"/>
    <w:rsid w:val="00C4614A"/>
    <w:rsid w:val="00C52517"/>
    <w:rsid w:val="00C56632"/>
    <w:rsid w:val="00C60921"/>
    <w:rsid w:val="00C62936"/>
    <w:rsid w:val="00C64D1E"/>
    <w:rsid w:val="00C653F2"/>
    <w:rsid w:val="00C679E6"/>
    <w:rsid w:val="00C819A5"/>
    <w:rsid w:val="00C9029A"/>
    <w:rsid w:val="00C908F9"/>
    <w:rsid w:val="00CA0917"/>
    <w:rsid w:val="00CA1099"/>
    <w:rsid w:val="00CA1D0F"/>
    <w:rsid w:val="00CA5082"/>
    <w:rsid w:val="00CD455F"/>
    <w:rsid w:val="00CF32D2"/>
    <w:rsid w:val="00CF3BA1"/>
    <w:rsid w:val="00D06A74"/>
    <w:rsid w:val="00D23274"/>
    <w:rsid w:val="00D2391F"/>
    <w:rsid w:val="00D24E34"/>
    <w:rsid w:val="00D25F4E"/>
    <w:rsid w:val="00D417C2"/>
    <w:rsid w:val="00D51125"/>
    <w:rsid w:val="00D536D1"/>
    <w:rsid w:val="00D60936"/>
    <w:rsid w:val="00D6244F"/>
    <w:rsid w:val="00D63B14"/>
    <w:rsid w:val="00D709EB"/>
    <w:rsid w:val="00D740BD"/>
    <w:rsid w:val="00D74714"/>
    <w:rsid w:val="00D76957"/>
    <w:rsid w:val="00D76B6A"/>
    <w:rsid w:val="00D81EFB"/>
    <w:rsid w:val="00D82F3F"/>
    <w:rsid w:val="00D84023"/>
    <w:rsid w:val="00D921C6"/>
    <w:rsid w:val="00D958C2"/>
    <w:rsid w:val="00DC23AD"/>
    <w:rsid w:val="00DE08B4"/>
    <w:rsid w:val="00DF5FA3"/>
    <w:rsid w:val="00E03207"/>
    <w:rsid w:val="00E04AB5"/>
    <w:rsid w:val="00E208BD"/>
    <w:rsid w:val="00E36C92"/>
    <w:rsid w:val="00E50EEA"/>
    <w:rsid w:val="00E52F58"/>
    <w:rsid w:val="00E67104"/>
    <w:rsid w:val="00E74C1C"/>
    <w:rsid w:val="00E8181D"/>
    <w:rsid w:val="00E87913"/>
    <w:rsid w:val="00E90C8C"/>
    <w:rsid w:val="00EA29BC"/>
    <w:rsid w:val="00EA413B"/>
    <w:rsid w:val="00EA7E1A"/>
    <w:rsid w:val="00EB6B8A"/>
    <w:rsid w:val="00EC26AA"/>
    <w:rsid w:val="00ED1E2F"/>
    <w:rsid w:val="00ED7A53"/>
    <w:rsid w:val="00EE1241"/>
    <w:rsid w:val="00EE4273"/>
    <w:rsid w:val="00EE69A1"/>
    <w:rsid w:val="00F02004"/>
    <w:rsid w:val="00F042CB"/>
    <w:rsid w:val="00F10F4B"/>
    <w:rsid w:val="00F13047"/>
    <w:rsid w:val="00F14DC1"/>
    <w:rsid w:val="00F17F4E"/>
    <w:rsid w:val="00F20A05"/>
    <w:rsid w:val="00F31AAC"/>
    <w:rsid w:val="00F40CF3"/>
    <w:rsid w:val="00F51823"/>
    <w:rsid w:val="00F538B1"/>
    <w:rsid w:val="00F60A20"/>
    <w:rsid w:val="00F73338"/>
    <w:rsid w:val="00FA00FA"/>
    <w:rsid w:val="00FB5FF6"/>
    <w:rsid w:val="00FC0A95"/>
    <w:rsid w:val="00FC3D9C"/>
    <w:rsid w:val="00FD2623"/>
    <w:rsid w:val="00FF0153"/>
    <w:rsid w:val="00FF12D9"/>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paragraph" w:styleId="Textonotapie">
    <w:name w:val="footnote text"/>
    <w:basedOn w:val="Normal"/>
    <w:link w:val="TextonotapieCar"/>
    <w:uiPriority w:val="99"/>
    <w:semiHidden/>
    <w:unhideWhenUsed/>
    <w:rsid w:val="00703717"/>
    <w:rPr>
      <w:sz w:val="20"/>
    </w:rPr>
  </w:style>
  <w:style w:type="character" w:customStyle="1" w:styleId="TextonotapieCar">
    <w:name w:val="Texto nota pie Car"/>
    <w:basedOn w:val="Fuentedeprrafopredeter"/>
    <w:link w:val="Textonotapie"/>
    <w:uiPriority w:val="99"/>
    <w:semiHidden/>
    <w:rsid w:val="00703717"/>
  </w:style>
  <w:style w:type="character" w:styleId="Refdenotaalpie">
    <w:name w:val="footnote reference"/>
    <w:basedOn w:val="Fuentedeprrafopredeter"/>
    <w:uiPriority w:val="99"/>
    <w:semiHidden/>
    <w:unhideWhenUsed/>
    <w:rsid w:val="00703717"/>
    <w:rPr>
      <w:vertAlign w:val="superscript"/>
    </w:rPr>
  </w:style>
  <w:style w:type="character" w:styleId="Hipervnculo">
    <w:name w:val="Hyperlink"/>
    <w:basedOn w:val="Fuentedeprrafopredeter"/>
    <w:uiPriority w:val="99"/>
    <w:unhideWhenUsed/>
    <w:rsid w:val="00703717"/>
    <w:rPr>
      <w:color w:val="0563C1" w:themeColor="hyperlink"/>
      <w:u w:val="single"/>
    </w:rPr>
  </w:style>
  <w:style w:type="character" w:styleId="Mencinsinresolver">
    <w:name w:val="Unresolved Mention"/>
    <w:basedOn w:val="Fuentedeprrafopredeter"/>
    <w:uiPriority w:val="99"/>
    <w:semiHidden/>
    <w:unhideWhenUsed/>
    <w:rsid w:val="00703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11136CC-DE7A-44D6-AD58-63EFA6BB765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378</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5</cp:revision>
  <cp:lastPrinted>2026-02-23T20:33:00Z</cp:lastPrinted>
  <dcterms:created xsi:type="dcterms:W3CDTF">2026-04-23T13:38:00Z</dcterms:created>
  <dcterms:modified xsi:type="dcterms:W3CDTF">2026-04-24T20:38:00Z</dcterms:modified>
</cp:coreProperties>
</file>