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B2E9A" w14:textId="77777777" w:rsidR="00673C93" w:rsidRPr="00247A66" w:rsidRDefault="00673C93" w:rsidP="00673C93">
      <w:pPr>
        <w:jc w:val="center"/>
        <w:rPr>
          <w:rFonts w:ascii="Book Antiqua" w:hAnsi="Book Antiqua"/>
          <w:b/>
          <w:bCs/>
          <w:caps/>
          <w:sz w:val="28"/>
          <w:szCs w:val="28"/>
          <w:lang w:val="es-ES"/>
        </w:rPr>
      </w:pPr>
      <w:r w:rsidRPr="00247A66">
        <w:rPr>
          <w:rFonts w:ascii="Book Antiqua" w:hAnsi="Book Antiqua"/>
          <w:b/>
          <w:bCs/>
          <w:caps/>
          <w:sz w:val="28"/>
          <w:szCs w:val="28"/>
          <w:lang w:val="es-ES"/>
        </w:rPr>
        <w:t>GOBIERNO de Puerto Rico</w:t>
      </w:r>
    </w:p>
    <w:p w14:paraId="39C794E0" w14:textId="77777777" w:rsidR="00673C93" w:rsidRPr="00234435" w:rsidRDefault="00673C93" w:rsidP="00673C93">
      <w:pPr>
        <w:jc w:val="center"/>
        <w:rPr>
          <w:rFonts w:ascii="Book Antiqua" w:hAnsi="Book Antiqua"/>
          <w:caps/>
          <w:szCs w:val="24"/>
          <w:lang w:val="es-ES"/>
        </w:rPr>
      </w:pPr>
    </w:p>
    <w:p w14:paraId="38A7216E" w14:textId="4B406ECC" w:rsidR="00673C93" w:rsidRPr="00234435" w:rsidRDefault="00C23B64" w:rsidP="00673C93">
      <w:pPr>
        <w:jc w:val="both"/>
        <w:rPr>
          <w:rFonts w:ascii="Book Antiqua" w:hAnsi="Book Antiqua"/>
          <w:sz w:val="24"/>
          <w:szCs w:val="32"/>
          <w:lang w:val="es-ES"/>
        </w:rPr>
      </w:pPr>
      <w:r w:rsidRPr="00234435">
        <w:rPr>
          <w:rFonts w:ascii="Book Antiqua" w:hAnsi="Book Antiqua"/>
          <w:sz w:val="24"/>
          <w:szCs w:val="32"/>
          <w:lang w:val="es-ES"/>
        </w:rPr>
        <w:t>20m</w:t>
      </w:r>
      <w:r w:rsidR="00673C93" w:rsidRPr="00234435">
        <w:rPr>
          <w:rFonts w:ascii="Book Antiqua" w:hAnsi="Book Antiqua"/>
          <w:sz w:val="24"/>
          <w:szCs w:val="32"/>
          <w:lang w:val="es-ES"/>
        </w:rPr>
        <w:t>a. Asamblea</w:t>
      </w:r>
      <w:r w:rsidR="00673C93" w:rsidRPr="00234435">
        <w:rPr>
          <w:rFonts w:ascii="Book Antiqua" w:hAnsi="Book Antiqua"/>
          <w:sz w:val="24"/>
          <w:szCs w:val="32"/>
          <w:lang w:val="es-ES"/>
        </w:rPr>
        <w:tab/>
      </w:r>
      <w:r w:rsidR="00673C93" w:rsidRPr="00234435">
        <w:rPr>
          <w:rFonts w:ascii="Book Antiqua" w:hAnsi="Book Antiqua"/>
          <w:sz w:val="24"/>
          <w:szCs w:val="32"/>
          <w:lang w:val="es-ES"/>
        </w:rPr>
        <w:tab/>
      </w:r>
      <w:r w:rsidR="00673C93" w:rsidRPr="00234435">
        <w:rPr>
          <w:rFonts w:ascii="Book Antiqua" w:hAnsi="Book Antiqua"/>
          <w:sz w:val="24"/>
          <w:szCs w:val="32"/>
          <w:lang w:val="es-ES"/>
        </w:rPr>
        <w:tab/>
      </w:r>
      <w:r w:rsidR="00673C93" w:rsidRPr="00234435">
        <w:rPr>
          <w:rFonts w:ascii="Book Antiqua" w:hAnsi="Book Antiqua"/>
          <w:sz w:val="24"/>
          <w:szCs w:val="32"/>
          <w:lang w:val="es-ES"/>
        </w:rPr>
        <w:tab/>
      </w:r>
      <w:r w:rsidR="00673C93" w:rsidRPr="00234435">
        <w:rPr>
          <w:rFonts w:ascii="Book Antiqua" w:hAnsi="Book Antiqua"/>
          <w:sz w:val="24"/>
          <w:szCs w:val="32"/>
          <w:lang w:val="es-ES"/>
        </w:rPr>
        <w:tab/>
      </w:r>
      <w:r w:rsidR="00673C93" w:rsidRPr="00234435">
        <w:rPr>
          <w:rFonts w:ascii="Book Antiqua" w:hAnsi="Book Antiqua"/>
          <w:sz w:val="24"/>
          <w:szCs w:val="32"/>
          <w:lang w:val="es-ES"/>
        </w:rPr>
        <w:tab/>
      </w:r>
      <w:r w:rsidR="00673C93" w:rsidRPr="00234435">
        <w:rPr>
          <w:rFonts w:ascii="Book Antiqua" w:hAnsi="Book Antiqua"/>
          <w:sz w:val="24"/>
          <w:szCs w:val="32"/>
          <w:lang w:val="es-ES"/>
        </w:rPr>
        <w:tab/>
      </w:r>
      <w:r w:rsidR="00673C93" w:rsidRPr="00234435">
        <w:rPr>
          <w:rFonts w:ascii="Book Antiqua" w:hAnsi="Book Antiqua"/>
          <w:sz w:val="24"/>
          <w:szCs w:val="32"/>
          <w:lang w:val="es-ES"/>
        </w:rPr>
        <w:tab/>
        <w:t xml:space="preserve">           </w:t>
      </w:r>
      <w:r w:rsidR="000A039C" w:rsidRPr="00234435">
        <w:rPr>
          <w:rFonts w:ascii="Book Antiqua" w:hAnsi="Book Antiqua"/>
          <w:sz w:val="24"/>
          <w:szCs w:val="32"/>
          <w:lang w:val="es-ES"/>
        </w:rPr>
        <w:t>3r</w:t>
      </w:r>
      <w:r w:rsidR="00673C93" w:rsidRPr="00234435">
        <w:rPr>
          <w:rFonts w:ascii="Book Antiqua" w:hAnsi="Book Antiqua"/>
          <w:sz w:val="24"/>
          <w:szCs w:val="32"/>
          <w:lang w:val="es-ES"/>
        </w:rPr>
        <w:t>a. Sesión</w:t>
      </w:r>
    </w:p>
    <w:p w14:paraId="7EBA3A72" w14:textId="77777777" w:rsidR="00673C93" w:rsidRPr="00234435" w:rsidRDefault="00673C93" w:rsidP="00673C93">
      <w:pPr>
        <w:ind w:firstLine="561"/>
        <w:jc w:val="both"/>
        <w:rPr>
          <w:rFonts w:ascii="Book Antiqua" w:hAnsi="Book Antiqua"/>
          <w:sz w:val="24"/>
          <w:szCs w:val="32"/>
          <w:lang w:val="es-ES"/>
        </w:rPr>
      </w:pPr>
      <w:r w:rsidRPr="00234435">
        <w:rPr>
          <w:rFonts w:ascii="Book Antiqua" w:hAnsi="Book Antiqua"/>
          <w:sz w:val="24"/>
          <w:szCs w:val="32"/>
          <w:lang w:val="es-ES"/>
        </w:rPr>
        <w:t xml:space="preserve"> Legislativa</w:t>
      </w:r>
      <w:r w:rsidRPr="00234435">
        <w:rPr>
          <w:rFonts w:ascii="Book Antiqua" w:hAnsi="Book Antiqua"/>
          <w:sz w:val="24"/>
          <w:szCs w:val="32"/>
          <w:lang w:val="es-ES"/>
        </w:rPr>
        <w:tab/>
      </w:r>
      <w:r w:rsidRPr="00234435">
        <w:rPr>
          <w:rFonts w:ascii="Book Antiqua" w:hAnsi="Book Antiqua"/>
          <w:sz w:val="24"/>
          <w:szCs w:val="32"/>
          <w:lang w:val="es-ES"/>
        </w:rPr>
        <w:tab/>
      </w:r>
      <w:r w:rsidRPr="00234435">
        <w:rPr>
          <w:rFonts w:ascii="Book Antiqua" w:hAnsi="Book Antiqua"/>
          <w:sz w:val="24"/>
          <w:szCs w:val="32"/>
          <w:lang w:val="es-ES"/>
        </w:rPr>
        <w:tab/>
      </w:r>
      <w:r w:rsidRPr="00234435">
        <w:rPr>
          <w:rFonts w:ascii="Book Antiqua" w:hAnsi="Book Antiqua"/>
          <w:sz w:val="24"/>
          <w:szCs w:val="32"/>
          <w:lang w:val="es-ES"/>
        </w:rPr>
        <w:tab/>
      </w:r>
      <w:r w:rsidRPr="00234435">
        <w:rPr>
          <w:rFonts w:ascii="Book Antiqua" w:hAnsi="Book Antiqua"/>
          <w:sz w:val="24"/>
          <w:szCs w:val="32"/>
          <w:lang w:val="es-ES"/>
        </w:rPr>
        <w:tab/>
      </w:r>
      <w:r w:rsidRPr="00234435">
        <w:rPr>
          <w:rFonts w:ascii="Book Antiqua" w:hAnsi="Book Antiqua"/>
          <w:sz w:val="24"/>
          <w:szCs w:val="32"/>
          <w:lang w:val="es-ES"/>
        </w:rPr>
        <w:tab/>
      </w:r>
      <w:r w:rsidRPr="00234435">
        <w:rPr>
          <w:rFonts w:ascii="Book Antiqua" w:hAnsi="Book Antiqua"/>
          <w:sz w:val="24"/>
          <w:szCs w:val="32"/>
          <w:lang w:val="es-ES"/>
        </w:rPr>
        <w:tab/>
      </w:r>
      <w:r w:rsidRPr="00234435">
        <w:rPr>
          <w:rFonts w:ascii="Book Antiqua" w:hAnsi="Book Antiqua"/>
          <w:sz w:val="24"/>
          <w:szCs w:val="32"/>
          <w:lang w:val="es-ES"/>
        </w:rPr>
        <w:tab/>
      </w:r>
      <w:r w:rsidRPr="00234435">
        <w:rPr>
          <w:rFonts w:ascii="Book Antiqua" w:hAnsi="Book Antiqua"/>
          <w:sz w:val="24"/>
          <w:szCs w:val="32"/>
          <w:lang w:val="es-ES"/>
        </w:rPr>
        <w:tab/>
        <w:t xml:space="preserve">      Ordinaria</w:t>
      </w:r>
    </w:p>
    <w:p w14:paraId="49611E2D" w14:textId="77777777" w:rsidR="00673C93" w:rsidRPr="00234435" w:rsidRDefault="00673C93" w:rsidP="00673C93">
      <w:pPr>
        <w:ind w:firstLine="561"/>
        <w:jc w:val="both"/>
        <w:rPr>
          <w:rFonts w:ascii="Book Antiqua" w:hAnsi="Book Antiqua"/>
          <w:sz w:val="24"/>
          <w:szCs w:val="24"/>
          <w:lang w:val="es-ES"/>
        </w:rPr>
      </w:pPr>
    </w:p>
    <w:p w14:paraId="2DCF7A71" w14:textId="77777777" w:rsidR="00673C93" w:rsidRPr="005E68A8" w:rsidRDefault="00673C93" w:rsidP="00673C93">
      <w:pPr>
        <w:jc w:val="center"/>
        <w:rPr>
          <w:rFonts w:ascii="Book Antiqua" w:hAnsi="Book Antiqua"/>
          <w:b/>
          <w:bCs/>
          <w:sz w:val="36"/>
          <w:szCs w:val="36"/>
          <w:lang w:val="es-ES"/>
        </w:rPr>
      </w:pPr>
      <w:r w:rsidRPr="005E68A8">
        <w:rPr>
          <w:rFonts w:ascii="Book Antiqua" w:hAnsi="Book Antiqua"/>
          <w:b/>
          <w:bCs/>
          <w:caps/>
          <w:sz w:val="36"/>
          <w:szCs w:val="36"/>
          <w:lang w:val="es-ES"/>
        </w:rPr>
        <w:t>Cámara</w:t>
      </w:r>
      <w:r w:rsidRPr="005E68A8">
        <w:rPr>
          <w:rFonts w:ascii="Book Antiqua" w:hAnsi="Book Antiqua"/>
          <w:b/>
          <w:bCs/>
          <w:sz w:val="36"/>
          <w:szCs w:val="36"/>
          <w:lang w:val="es-ES"/>
        </w:rPr>
        <w:t xml:space="preserve"> DE REPRESENTANTES</w:t>
      </w:r>
    </w:p>
    <w:p w14:paraId="0B990F94" w14:textId="77777777" w:rsidR="00673C93" w:rsidRPr="005E68A8" w:rsidRDefault="00673C93" w:rsidP="00673C93">
      <w:pPr>
        <w:jc w:val="center"/>
        <w:rPr>
          <w:rFonts w:ascii="Book Antiqua" w:hAnsi="Book Antiqua"/>
          <w:sz w:val="24"/>
          <w:szCs w:val="24"/>
          <w:lang w:val="es-ES"/>
        </w:rPr>
      </w:pPr>
    </w:p>
    <w:p w14:paraId="09F76208" w14:textId="1389D949" w:rsidR="00673C93" w:rsidRPr="00A9257E" w:rsidRDefault="00124F63" w:rsidP="00673C93">
      <w:pPr>
        <w:jc w:val="center"/>
        <w:rPr>
          <w:rFonts w:ascii="Book Antiqua" w:hAnsi="Book Antiqua"/>
          <w:b/>
          <w:bCs/>
          <w:sz w:val="52"/>
          <w:szCs w:val="52"/>
          <w:lang w:val="es-ES"/>
        </w:rPr>
      </w:pPr>
      <w:r w:rsidRPr="00A9257E">
        <w:rPr>
          <w:rFonts w:ascii="Book Antiqua" w:hAnsi="Book Antiqua"/>
          <w:b/>
          <w:bCs/>
          <w:sz w:val="52"/>
          <w:szCs w:val="52"/>
          <w:lang w:val="es-ES"/>
        </w:rPr>
        <w:t xml:space="preserve">P. de la C. </w:t>
      </w:r>
      <w:r w:rsidR="00090E66" w:rsidRPr="00A9257E">
        <w:rPr>
          <w:rFonts w:ascii="Book Antiqua" w:hAnsi="Book Antiqua"/>
          <w:b/>
          <w:bCs/>
          <w:sz w:val="52"/>
          <w:szCs w:val="52"/>
          <w:lang w:val="es-ES"/>
        </w:rPr>
        <w:t>1240</w:t>
      </w:r>
    </w:p>
    <w:p w14:paraId="72788866" w14:textId="77777777" w:rsidR="00673C93" w:rsidRPr="005E68A8" w:rsidRDefault="00673C93" w:rsidP="00673C93">
      <w:pPr>
        <w:jc w:val="center"/>
        <w:rPr>
          <w:rFonts w:ascii="Book Antiqua" w:hAnsi="Book Antiqua" w:cs="Arial"/>
          <w:caps/>
          <w:sz w:val="24"/>
          <w:szCs w:val="24"/>
          <w:lang w:val="es-ES"/>
        </w:rPr>
      </w:pPr>
    </w:p>
    <w:p w14:paraId="15159370" w14:textId="077D71EB" w:rsidR="00673C93" w:rsidRPr="005E68A8" w:rsidRDefault="00090E66" w:rsidP="00673C93">
      <w:pPr>
        <w:jc w:val="center"/>
        <w:rPr>
          <w:rFonts w:ascii="Book Antiqua" w:hAnsi="Book Antiqua" w:cs="Arial"/>
          <w:caps/>
          <w:sz w:val="24"/>
          <w:szCs w:val="24"/>
          <w:lang w:val="es-ES"/>
        </w:rPr>
      </w:pPr>
      <w:r w:rsidRPr="005E68A8">
        <w:rPr>
          <w:rFonts w:ascii="Book Antiqua" w:hAnsi="Book Antiqua" w:cs="Arial"/>
          <w:caps/>
          <w:sz w:val="24"/>
          <w:szCs w:val="24"/>
          <w:lang w:val="es-ES"/>
        </w:rPr>
        <w:t>27</w:t>
      </w:r>
      <w:r w:rsidR="00C23B64" w:rsidRPr="005E68A8">
        <w:rPr>
          <w:rFonts w:ascii="Book Antiqua" w:hAnsi="Book Antiqua" w:cs="Arial"/>
          <w:caps/>
          <w:sz w:val="24"/>
          <w:szCs w:val="24"/>
          <w:lang w:val="es-ES"/>
        </w:rPr>
        <w:t xml:space="preserve"> de </w:t>
      </w:r>
      <w:r w:rsidR="00247A66" w:rsidRPr="005E68A8">
        <w:rPr>
          <w:rFonts w:ascii="Book Antiqua" w:hAnsi="Book Antiqua" w:cs="Arial"/>
          <w:caps/>
          <w:sz w:val="24"/>
          <w:szCs w:val="24"/>
          <w:lang w:val="es-ES"/>
        </w:rPr>
        <w:t>ABRIL</w:t>
      </w:r>
      <w:r w:rsidR="00C23B64" w:rsidRPr="005E68A8">
        <w:rPr>
          <w:rFonts w:ascii="Book Antiqua" w:hAnsi="Book Antiqua" w:cs="Arial"/>
          <w:caps/>
          <w:sz w:val="24"/>
          <w:szCs w:val="24"/>
          <w:lang w:val="es-ES"/>
        </w:rPr>
        <w:t xml:space="preserve"> de 202</w:t>
      </w:r>
      <w:r w:rsidR="000A039C" w:rsidRPr="005E68A8">
        <w:rPr>
          <w:rFonts w:ascii="Book Antiqua" w:hAnsi="Book Antiqua" w:cs="Arial"/>
          <w:caps/>
          <w:sz w:val="24"/>
          <w:szCs w:val="24"/>
          <w:lang w:val="es-ES"/>
        </w:rPr>
        <w:t>6</w:t>
      </w:r>
    </w:p>
    <w:p w14:paraId="77C5F631" w14:textId="77777777" w:rsidR="00673C93" w:rsidRPr="005E68A8" w:rsidRDefault="00673C93" w:rsidP="00673C93">
      <w:pPr>
        <w:jc w:val="center"/>
        <w:rPr>
          <w:rFonts w:ascii="Book Antiqua" w:hAnsi="Book Antiqua" w:cs="Arial"/>
          <w:caps/>
          <w:sz w:val="24"/>
          <w:szCs w:val="24"/>
          <w:lang w:val="es-ES"/>
        </w:rPr>
      </w:pPr>
    </w:p>
    <w:p w14:paraId="0082B316" w14:textId="57526CF2" w:rsidR="00673C93" w:rsidRPr="005E68A8" w:rsidRDefault="00673C93" w:rsidP="00673C93">
      <w:pPr>
        <w:jc w:val="center"/>
        <w:rPr>
          <w:rFonts w:ascii="Book Antiqua" w:hAnsi="Book Antiqua" w:cs="Arial"/>
          <w:i/>
          <w:iCs/>
          <w:sz w:val="24"/>
          <w:szCs w:val="24"/>
          <w:lang w:val="es-ES"/>
        </w:rPr>
      </w:pPr>
      <w:r w:rsidRPr="005E68A8">
        <w:rPr>
          <w:rFonts w:ascii="Book Antiqua" w:hAnsi="Book Antiqua" w:cs="Arial"/>
          <w:sz w:val="24"/>
          <w:szCs w:val="24"/>
          <w:lang w:val="es-ES"/>
        </w:rPr>
        <w:t xml:space="preserve">Presentado por la representante </w:t>
      </w:r>
      <w:r w:rsidR="00247A66" w:rsidRPr="005E68A8">
        <w:rPr>
          <w:rFonts w:ascii="Book Antiqua" w:hAnsi="Book Antiqua" w:cs="Arial"/>
          <w:i/>
          <w:iCs/>
          <w:sz w:val="24"/>
          <w:szCs w:val="24"/>
          <w:lang w:val="es-ES"/>
        </w:rPr>
        <w:t>Navarro Suárez</w:t>
      </w:r>
      <w:r w:rsidR="000A039C" w:rsidRPr="005E68A8">
        <w:rPr>
          <w:rFonts w:ascii="Book Antiqua" w:hAnsi="Book Antiqua" w:cs="Arial"/>
          <w:i/>
          <w:iCs/>
          <w:sz w:val="24"/>
          <w:szCs w:val="24"/>
          <w:lang w:val="es-ES"/>
        </w:rPr>
        <w:t xml:space="preserve"> </w:t>
      </w:r>
    </w:p>
    <w:p w14:paraId="311CFB14" w14:textId="77777777" w:rsidR="00673C93" w:rsidRPr="005E68A8" w:rsidRDefault="00673C93" w:rsidP="00673C93">
      <w:pPr>
        <w:jc w:val="center"/>
        <w:rPr>
          <w:rFonts w:ascii="Book Antiqua" w:hAnsi="Book Antiqua" w:cs="Arial"/>
          <w:sz w:val="24"/>
          <w:szCs w:val="24"/>
          <w:lang w:val="es-ES"/>
        </w:rPr>
      </w:pPr>
    </w:p>
    <w:p w14:paraId="3FD90EED" w14:textId="26C57CD2" w:rsidR="00673C93" w:rsidRPr="005E68A8" w:rsidRDefault="00673C93" w:rsidP="00673C93">
      <w:pPr>
        <w:jc w:val="center"/>
        <w:rPr>
          <w:rFonts w:ascii="Book Antiqua" w:hAnsi="Book Antiqua"/>
          <w:sz w:val="24"/>
          <w:szCs w:val="24"/>
          <w:lang w:val="es-ES"/>
        </w:rPr>
      </w:pPr>
      <w:r w:rsidRPr="005E68A8">
        <w:rPr>
          <w:rFonts w:ascii="Book Antiqua" w:hAnsi="Book Antiqua"/>
          <w:sz w:val="24"/>
          <w:szCs w:val="24"/>
          <w:lang w:val="es-ES"/>
        </w:rPr>
        <w:t xml:space="preserve">Referido a </w:t>
      </w:r>
      <w:r w:rsidR="00911F9E" w:rsidRPr="005E68A8">
        <w:rPr>
          <w:rFonts w:ascii="Book Antiqua" w:hAnsi="Book Antiqua"/>
          <w:sz w:val="24"/>
          <w:szCs w:val="24"/>
          <w:lang w:val="es-ES"/>
        </w:rPr>
        <w:t xml:space="preserve">la Comisión </w:t>
      </w:r>
      <w:r w:rsidR="00C23B64" w:rsidRPr="005E68A8">
        <w:rPr>
          <w:rFonts w:ascii="Book Antiqua" w:hAnsi="Book Antiqua"/>
          <w:sz w:val="24"/>
          <w:szCs w:val="24"/>
          <w:lang w:val="es-ES"/>
        </w:rPr>
        <w:t xml:space="preserve">de </w:t>
      </w:r>
      <w:r w:rsidR="00C41970">
        <w:rPr>
          <w:rFonts w:ascii="Book Antiqua" w:hAnsi="Book Antiqua"/>
          <w:sz w:val="24"/>
          <w:szCs w:val="24"/>
          <w:lang w:val="es-ES"/>
        </w:rPr>
        <w:t>Asuntos del Consumidor</w:t>
      </w:r>
    </w:p>
    <w:p w14:paraId="051E6538" w14:textId="77777777" w:rsidR="00673C93" w:rsidRPr="005E68A8" w:rsidRDefault="00673C93" w:rsidP="00673C93">
      <w:pPr>
        <w:jc w:val="center"/>
        <w:rPr>
          <w:rFonts w:ascii="Book Antiqua" w:hAnsi="Book Antiqua"/>
          <w:sz w:val="28"/>
          <w:szCs w:val="28"/>
          <w:lang w:val="es-ES"/>
        </w:rPr>
      </w:pPr>
    </w:p>
    <w:p w14:paraId="7A1DB94E" w14:textId="77777777" w:rsidR="00673C93" w:rsidRPr="005E68A8" w:rsidRDefault="00673C93" w:rsidP="00673C93">
      <w:pPr>
        <w:jc w:val="center"/>
        <w:rPr>
          <w:rFonts w:ascii="Book Antiqua" w:hAnsi="Book Antiqua"/>
          <w:sz w:val="28"/>
          <w:szCs w:val="28"/>
          <w:lang w:val="es-ES"/>
        </w:rPr>
      </w:pPr>
      <w:r w:rsidRPr="005E68A8">
        <w:rPr>
          <w:rFonts w:ascii="Book Antiqua" w:hAnsi="Book Antiqua"/>
          <w:sz w:val="28"/>
          <w:szCs w:val="28"/>
          <w:lang w:val="es-ES"/>
        </w:rPr>
        <w:t>LEY</w:t>
      </w:r>
    </w:p>
    <w:p w14:paraId="615AECBB" w14:textId="77777777" w:rsidR="00673C93" w:rsidRPr="00234435" w:rsidRDefault="00673C93" w:rsidP="00673C93">
      <w:pPr>
        <w:jc w:val="center"/>
        <w:rPr>
          <w:rFonts w:ascii="Book Antiqua" w:hAnsi="Book Antiqua"/>
          <w:szCs w:val="24"/>
          <w:lang w:val="es-ES"/>
        </w:rPr>
      </w:pPr>
    </w:p>
    <w:p w14:paraId="275D1A4E" w14:textId="564333D8" w:rsidR="003843AC" w:rsidRPr="00234435" w:rsidRDefault="001A0B1C" w:rsidP="005E68A8">
      <w:pPr>
        <w:pStyle w:val="Sangra2detindependiente"/>
        <w:spacing w:after="0" w:line="240" w:lineRule="auto"/>
        <w:ind w:left="720" w:hanging="720"/>
        <w:jc w:val="both"/>
        <w:rPr>
          <w:rFonts w:ascii="Book Antiqua" w:hAnsi="Book Antiqua"/>
          <w:sz w:val="24"/>
          <w:szCs w:val="24"/>
          <w:lang w:val="es-ES"/>
        </w:rPr>
      </w:pPr>
      <w:r w:rsidRPr="00234435">
        <w:rPr>
          <w:rFonts w:ascii="Book Antiqua" w:hAnsi="Book Antiqua"/>
          <w:sz w:val="24"/>
          <w:szCs w:val="24"/>
          <w:lang w:val="es-ES"/>
        </w:rPr>
        <w:t>Para enmendar los Artículos 65, 66 y 69 de la Ley 129-2020, según enmendada, conocida como “Ley de Condominios de Puerto Rico”, a los fines de establecer que toda controversia al amparo de esta Ley estará sujeta a un proceso de arbitraje obligatorio; limitar la jurisdicción del Departamento de Asuntos del Consumidor (DACO) a la revisión de la validez del proceso y el cumplimiento de derecho de los laudos emitidos; y para otros fines relacionados.</w:t>
      </w:r>
    </w:p>
    <w:p w14:paraId="71A3DB13" w14:textId="77777777" w:rsidR="001A0B1C" w:rsidRPr="00234435" w:rsidRDefault="001A0B1C" w:rsidP="00BB2D32">
      <w:pPr>
        <w:pStyle w:val="Sangra2detindependiente"/>
        <w:spacing w:after="0" w:line="240" w:lineRule="auto"/>
        <w:ind w:left="540" w:hanging="540"/>
        <w:jc w:val="both"/>
        <w:rPr>
          <w:rFonts w:ascii="Book Antiqua" w:hAnsi="Book Antiqua"/>
          <w:sz w:val="24"/>
          <w:szCs w:val="24"/>
          <w:lang w:val="es-ES"/>
        </w:rPr>
      </w:pPr>
    </w:p>
    <w:p w14:paraId="39C6F2CF" w14:textId="77777777" w:rsidR="00F85F88" w:rsidRPr="00234435" w:rsidRDefault="003843AC" w:rsidP="00F85F88">
      <w:pPr>
        <w:jc w:val="center"/>
        <w:rPr>
          <w:rFonts w:ascii="Book Antiqua" w:hAnsi="Book Antiqua"/>
          <w:sz w:val="24"/>
          <w:szCs w:val="24"/>
          <w:lang w:val="es-ES"/>
        </w:rPr>
      </w:pPr>
      <w:r w:rsidRPr="00234435">
        <w:rPr>
          <w:rFonts w:ascii="Book Antiqua" w:hAnsi="Book Antiqua"/>
          <w:sz w:val="24"/>
          <w:szCs w:val="24"/>
          <w:lang w:val="es-ES"/>
        </w:rPr>
        <w:t>EXPOSICIÓN DE MOTIVOS</w:t>
      </w:r>
    </w:p>
    <w:p w14:paraId="21E74D19" w14:textId="77777777" w:rsidR="000B5FE3" w:rsidRPr="00234435" w:rsidRDefault="003676C0" w:rsidP="000B5FE3">
      <w:pPr>
        <w:jc w:val="both"/>
        <w:rPr>
          <w:rFonts w:ascii="Book Antiqua" w:hAnsi="Book Antiqua"/>
          <w:sz w:val="24"/>
          <w:szCs w:val="24"/>
          <w:lang w:val="es-ES"/>
        </w:rPr>
      </w:pPr>
      <w:r w:rsidRPr="00234435">
        <w:rPr>
          <w:rFonts w:ascii="Book Antiqua" w:hAnsi="Book Antiqua"/>
          <w:sz w:val="24"/>
          <w:szCs w:val="24"/>
          <w:lang w:val="es-ES"/>
        </w:rPr>
        <w:tab/>
      </w:r>
    </w:p>
    <w:p w14:paraId="441E0897" w14:textId="6D9BA494" w:rsidR="00051FAB" w:rsidRDefault="00F60102" w:rsidP="00051FAB">
      <w:pPr>
        <w:ind w:firstLine="720"/>
        <w:jc w:val="both"/>
        <w:rPr>
          <w:rFonts w:ascii="Book Antiqua" w:hAnsi="Book Antiqua"/>
          <w:sz w:val="24"/>
          <w:szCs w:val="24"/>
          <w:lang w:val="es-ES"/>
        </w:rPr>
      </w:pPr>
      <w:r w:rsidRPr="00234435">
        <w:rPr>
          <w:rFonts w:ascii="Book Antiqua" w:hAnsi="Book Antiqua"/>
          <w:sz w:val="24"/>
          <w:szCs w:val="24"/>
          <w:lang w:val="es-ES"/>
        </w:rPr>
        <w:t xml:space="preserve">La </w:t>
      </w:r>
      <w:r w:rsidR="00051FAB" w:rsidRPr="00234435">
        <w:rPr>
          <w:rFonts w:ascii="Book Antiqua" w:hAnsi="Book Antiqua"/>
          <w:sz w:val="24"/>
          <w:szCs w:val="24"/>
          <w:lang w:val="es-ES"/>
        </w:rPr>
        <w:t>Ley 129-2020 fue aprobada con el propósito de agilizar la convivencia en los condominios y atemperar el régimen de propiedad horizontal a la realidad moderna de Puerto Rico. No obstante, el alto volumen de querellas ante el Departamento de Asuntos del Consumidor (DACO) ha generado una carga administrativa que puede dilatar la resolución efectiva de controversias.</w:t>
      </w:r>
    </w:p>
    <w:p w14:paraId="030C31B8" w14:textId="77777777" w:rsidR="00356717" w:rsidRDefault="00356717" w:rsidP="00051FAB">
      <w:pPr>
        <w:ind w:firstLine="720"/>
        <w:jc w:val="both"/>
        <w:rPr>
          <w:rFonts w:ascii="Book Antiqua" w:hAnsi="Book Antiqua"/>
          <w:sz w:val="24"/>
          <w:szCs w:val="24"/>
          <w:lang w:val="es-ES"/>
        </w:rPr>
      </w:pPr>
    </w:p>
    <w:p w14:paraId="46464614" w14:textId="77777777" w:rsidR="00356717" w:rsidRPr="00356717" w:rsidRDefault="00356717" w:rsidP="00356717">
      <w:pPr>
        <w:ind w:firstLine="720"/>
        <w:jc w:val="both"/>
        <w:rPr>
          <w:rFonts w:ascii="Book Antiqua" w:hAnsi="Book Antiqua"/>
          <w:sz w:val="24"/>
          <w:szCs w:val="24"/>
          <w:lang w:val="es-ES"/>
        </w:rPr>
      </w:pPr>
      <w:r w:rsidRPr="00356717">
        <w:rPr>
          <w:rFonts w:ascii="Book Antiqua" w:hAnsi="Book Antiqua"/>
          <w:sz w:val="24"/>
          <w:szCs w:val="24"/>
          <w:lang w:val="es-ES"/>
        </w:rPr>
        <w:t>Recientemente, la propia administración del Departamento de Asuntos del Consumidor ha catalogado como 'inmanejables' las rencillas y disputas en los condominios de Puerto Rico. Esta saturación no es de extrañar, considerando que bajo la jurisdicción de la agencia se encuentran entre 3,000 y 3,400 condominios donde residen aproximadamente 800,000 ciudadanos, una masa crítica que desborda la capacidad procesal de cualquier foro administrativo tradicional.</w:t>
      </w:r>
    </w:p>
    <w:p w14:paraId="10FB4EE6" w14:textId="77777777" w:rsidR="00356717" w:rsidRPr="00356717" w:rsidRDefault="00356717" w:rsidP="00356717">
      <w:pPr>
        <w:ind w:firstLine="720"/>
        <w:jc w:val="both"/>
        <w:rPr>
          <w:rFonts w:ascii="Book Antiqua" w:hAnsi="Book Antiqua"/>
          <w:sz w:val="24"/>
          <w:szCs w:val="24"/>
          <w:lang w:val="es-ES"/>
        </w:rPr>
      </w:pPr>
    </w:p>
    <w:p w14:paraId="140E9B09" w14:textId="77777777" w:rsidR="00356717" w:rsidRPr="00356717" w:rsidRDefault="00356717" w:rsidP="00356717">
      <w:pPr>
        <w:ind w:firstLine="720"/>
        <w:jc w:val="both"/>
        <w:rPr>
          <w:rFonts w:ascii="Book Antiqua" w:hAnsi="Book Antiqua"/>
          <w:sz w:val="24"/>
          <w:szCs w:val="24"/>
          <w:lang w:val="es-ES"/>
        </w:rPr>
      </w:pPr>
      <w:r w:rsidRPr="00356717">
        <w:rPr>
          <w:rFonts w:ascii="Book Antiqua" w:hAnsi="Book Antiqua"/>
          <w:sz w:val="24"/>
          <w:szCs w:val="24"/>
          <w:lang w:val="es-ES"/>
        </w:rPr>
        <w:t xml:space="preserve">A pesar de que durante el año 2023 se lograron emitir sobre 9,326 resoluciones, la complejidad de los casos de propiedad horizontal —que a menudo incluyen </w:t>
      </w:r>
      <w:r w:rsidRPr="00356717">
        <w:rPr>
          <w:rFonts w:ascii="Book Antiqua" w:hAnsi="Book Antiqua"/>
          <w:sz w:val="24"/>
          <w:szCs w:val="24"/>
          <w:lang w:val="es-ES"/>
        </w:rPr>
        <w:lastRenderedPageBreak/>
        <w:t>reclamaciones de daños y perjuicios y controversias técnicas de mantenimiento— ha forzado al DACO a implementar extensiones de términos que dilatan la justicia para los titulares. La realidad operativa dicta que, sin un mecanismo de desvío efectivo como el arbitraje obligatorio, el foro administrativo seguirá siendo un cuello de botella que impide la convivencia armónica.</w:t>
      </w:r>
    </w:p>
    <w:p w14:paraId="0F5E54B5" w14:textId="77777777" w:rsidR="00356717" w:rsidRPr="00356717" w:rsidRDefault="00356717" w:rsidP="00356717">
      <w:pPr>
        <w:ind w:firstLine="720"/>
        <w:jc w:val="both"/>
        <w:rPr>
          <w:rFonts w:ascii="Book Antiqua" w:hAnsi="Book Antiqua"/>
          <w:sz w:val="24"/>
          <w:szCs w:val="24"/>
          <w:lang w:val="es-ES"/>
        </w:rPr>
      </w:pPr>
    </w:p>
    <w:p w14:paraId="0BBD7928" w14:textId="30E44C37" w:rsidR="00356717" w:rsidRPr="00234435" w:rsidRDefault="00356717" w:rsidP="00356717">
      <w:pPr>
        <w:ind w:firstLine="720"/>
        <w:jc w:val="both"/>
        <w:rPr>
          <w:rFonts w:ascii="Book Antiqua" w:hAnsi="Book Antiqua"/>
          <w:sz w:val="24"/>
          <w:szCs w:val="24"/>
          <w:lang w:val="es-ES"/>
        </w:rPr>
      </w:pPr>
      <w:r w:rsidRPr="00356717">
        <w:rPr>
          <w:rFonts w:ascii="Book Antiqua" w:hAnsi="Book Antiqua"/>
          <w:sz w:val="24"/>
          <w:szCs w:val="24"/>
          <w:lang w:val="es-ES"/>
        </w:rPr>
        <w:t>Por último, cónsono con la jurisprudencia reciente del Tribunal Supremo de Puerto Rico, que enfatiza la necesidad de una revisión judicial rigurosa sobre las conclusiones de derecho de las agencias, esta medida busca que el DACO evolucione de ser un foro de adjudicación primaria de hechos —función que ahora delegamos en árbitros especializados— a ser un guardián de la legalidad y el debido proceso. De esta forma, protegemos los derechos de los condómines sin saturar adicionalmente el sistema judicial, ofreciendo una vía rápida, experta y definitiva para la resolución de sus conflictos."</w:t>
      </w:r>
    </w:p>
    <w:p w14:paraId="4F3C72A7" w14:textId="77777777" w:rsidR="00051FAB" w:rsidRPr="00234435" w:rsidRDefault="00051FAB" w:rsidP="00051FAB">
      <w:pPr>
        <w:ind w:firstLine="720"/>
        <w:jc w:val="both"/>
        <w:rPr>
          <w:rFonts w:ascii="Book Antiqua" w:hAnsi="Book Antiqua"/>
          <w:sz w:val="24"/>
          <w:szCs w:val="24"/>
          <w:lang w:val="es-ES"/>
        </w:rPr>
      </w:pPr>
    </w:p>
    <w:p w14:paraId="72326012" w14:textId="5D075CCA" w:rsidR="00506AD5" w:rsidRPr="00234435" w:rsidRDefault="00051FAB" w:rsidP="00051FAB">
      <w:pPr>
        <w:ind w:firstLine="720"/>
        <w:jc w:val="both"/>
        <w:rPr>
          <w:rFonts w:ascii="Book Antiqua" w:hAnsi="Book Antiqua"/>
          <w:sz w:val="24"/>
          <w:szCs w:val="24"/>
          <w:lang w:val="es-ES"/>
        </w:rPr>
      </w:pPr>
      <w:r w:rsidRPr="00234435">
        <w:rPr>
          <w:rFonts w:ascii="Book Antiqua" w:hAnsi="Book Antiqua"/>
          <w:sz w:val="24"/>
          <w:szCs w:val="24"/>
          <w:lang w:val="es-ES"/>
        </w:rPr>
        <w:t>Es política pública del Gobierno de Puerto Rico fomentar métodos alternos de resolución de disputas. El arbitraje ofrece un foro especializado, rápido y eficiente para dirimir conflictos entre titulares, juntas de directores y agentes administradores. Mediante esta enmienda, se establece que el arbitraje será el mecanismo primario de adjudicación, mientras que el DACO asumirá una función supervisora de estricto derecho, asegurando que el proceso se haya llevado a cabo y que las determinaciones finales no contravengan el ordenamiento jurídico vigente.</w:t>
      </w:r>
    </w:p>
    <w:p w14:paraId="496F10DF" w14:textId="319363A8" w:rsidR="00EB49EF" w:rsidRPr="00234435" w:rsidRDefault="003676C0" w:rsidP="00EB49EF">
      <w:pPr>
        <w:jc w:val="both"/>
        <w:rPr>
          <w:rFonts w:ascii="Book Antiqua" w:hAnsi="Book Antiqua"/>
          <w:sz w:val="24"/>
          <w:szCs w:val="24"/>
          <w:lang w:val="es-ES"/>
        </w:rPr>
      </w:pPr>
      <w:r w:rsidRPr="00234435">
        <w:rPr>
          <w:rFonts w:ascii="Book Antiqua" w:hAnsi="Book Antiqua"/>
          <w:sz w:val="24"/>
          <w:szCs w:val="24"/>
          <w:lang w:val="es-ES"/>
        </w:rPr>
        <w:tab/>
      </w:r>
    </w:p>
    <w:p w14:paraId="508769C2" w14:textId="5D32BECD" w:rsidR="003843AC" w:rsidRPr="00234435" w:rsidRDefault="005A27CB" w:rsidP="00BB2D32">
      <w:pPr>
        <w:suppressAutoHyphens/>
        <w:spacing w:line="480" w:lineRule="auto"/>
        <w:jc w:val="both"/>
        <w:rPr>
          <w:rFonts w:ascii="Book Antiqua" w:hAnsi="Book Antiqua"/>
          <w:i/>
          <w:sz w:val="24"/>
          <w:szCs w:val="24"/>
          <w:lang w:val="es-ES"/>
        </w:rPr>
      </w:pPr>
      <w:r w:rsidRPr="00234435">
        <w:rPr>
          <w:rFonts w:ascii="Book Antiqua" w:hAnsi="Book Antiqua"/>
          <w:i/>
          <w:sz w:val="24"/>
          <w:szCs w:val="24"/>
          <w:lang w:val="es-ES"/>
        </w:rPr>
        <w:t>DECR</w:t>
      </w:r>
      <w:r w:rsidR="005E68A8">
        <w:rPr>
          <w:rFonts w:ascii="Book Antiqua" w:hAnsi="Book Antiqua"/>
          <w:i/>
          <w:sz w:val="24"/>
          <w:szCs w:val="24"/>
          <w:lang w:val="es-ES"/>
        </w:rPr>
        <w:t>É</w:t>
      </w:r>
      <w:r w:rsidRPr="00234435">
        <w:rPr>
          <w:rFonts w:ascii="Book Antiqua" w:hAnsi="Book Antiqua"/>
          <w:i/>
          <w:sz w:val="24"/>
          <w:szCs w:val="24"/>
          <w:lang w:val="es-ES"/>
        </w:rPr>
        <w:t>T</w:t>
      </w:r>
      <w:r w:rsidR="003843AC" w:rsidRPr="00234435">
        <w:rPr>
          <w:rFonts w:ascii="Book Antiqua" w:hAnsi="Book Antiqua"/>
          <w:i/>
          <w:sz w:val="24"/>
          <w:szCs w:val="24"/>
          <w:lang w:val="es-ES"/>
        </w:rPr>
        <w:t>ESE POR LA</w:t>
      </w:r>
      <w:r w:rsidR="00A63B84" w:rsidRPr="00234435">
        <w:rPr>
          <w:rFonts w:ascii="Book Antiqua" w:hAnsi="Book Antiqua"/>
          <w:i/>
          <w:sz w:val="24"/>
          <w:szCs w:val="24"/>
          <w:lang w:val="es-ES"/>
        </w:rPr>
        <w:t xml:space="preserve"> </w:t>
      </w:r>
      <w:r w:rsidR="00700BEC" w:rsidRPr="00234435">
        <w:rPr>
          <w:rFonts w:ascii="Book Antiqua" w:hAnsi="Book Antiqua"/>
          <w:i/>
          <w:sz w:val="24"/>
          <w:szCs w:val="24"/>
          <w:lang w:val="es-ES"/>
        </w:rPr>
        <w:t>ASAMBLEA LEGISLATIVA DE PUERTO RICO</w:t>
      </w:r>
      <w:r w:rsidR="003843AC" w:rsidRPr="00234435">
        <w:rPr>
          <w:rFonts w:ascii="Book Antiqua" w:hAnsi="Book Antiqua"/>
          <w:i/>
          <w:sz w:val="24"/>
          <w:szCs w:val="24"/>
          <w:lang w:val="es-ES"/>
        </w:rPr>
        <w:t>:</w:t>
      </w:r>
    </w:p>
    <w:p w14:paraId="75F11150" w14:textId="77777777" w:rsidR="003843AC" w:rsidRPr="00234435" w:rsidRDefault="003843AC" w:rsidP="00BB2D32">
      <w:pPr>
        <w:pStyle w:val="Sangradetextonormal"/>
        <w:spacing w:after="0" w:line="480" w:lineRule="auto"/>
        <w:ind w:left="0" w:firstLine="720"/>
        <w:jc w:val="both"/>
        <w:rPr>
          <w:rFonts w:ascii="Book Antiqua" w:hAnsi="Book Antiqua"/>
          <w:sz w:val="24"/>
          <w:szCs w:val="24"/>
          <w:lang w:val="es-ES"/>
        </w:rPr>
        <w:sectPr w:rsidR="003843AC" w:rsidRPr="00234435" w:rsidSect="00BB2D32">
          <w:headerReference w:type="even" r:id="rId7"/>
          <w:headerReference w:type="default" r:id="rId8"/>
          <w:type w:val="continuous"/>
          <w:pgSz w:w="12240" w:h="15840" w:code="1"/>
          <w:pgMar w:top="1440" w:right="1440" w:bottom="1440" w:left="1440" w:header="720" w:footer="720" w:gutter="0"/>
          <w:cols w:space="720"/>
          <w:titlePg/>
        </w:sectPr>
      </w:pPr>
    </w:p>
    <w:p w14:paraId="7EB402FE" w14:textId="77777777" w:rsidR="00990B26" w:rsidRPr="00234435" w:rsidRDefault="00B84510" w:rsidP="00B84510">
      <w:pPr>
        <w:pStyle w:val="Sangra2detindependiente"/>
        <w:ind w:firstLine="360"/>
        <w:jc w:val="both"/>
        <w:rPr>
          <w:rFonts w:ascii="Book Antiqua" w:hAnsi="Book Antiqua"/>
          <w:sz w:val="24"/>
          <w:szCs w:val="24"/>
          <w:lang w:val="es-ES"/>
        </w:rPr>
      </w:pPr>
      <w:r w:rsidRPr="00234435">
        <w:rPr>
          <w:rFonts w:ascii="Book Antiqua" w:hAnsi="Book Antiqua"/>
          <w:sz w:val="24"/>
          <w:szCs w:val="24"/>
          <w:lang w:val="es-ES"/>
        </w:rPr>
        <w:t>Sección</w:t>
      </w:r>
      <w:r w:rsidR="009C06FA" w:rsidRPr="00234435">
        <w:rPr>
          <w:rFonts w:ascii="Book Antiqua" w:hAnsi="Book Antiqua"/>
          <w:sz w:val="24"/>
          <w:szCs w:val="24"/>
          <w:lang w:val="es-ES"/>
        </w:rPr>
        <w:t xml:space="preserve"> 1.- </w:t>
      </w:r>
      <w:r w:rsidR="00990B26" w:rsidRPr="00234435">
        <w:rPr>
          <w:rFonts w:ascii="Book Antiqua" w:hAnsi="Book Antiqua"/>
          <w:sz w:val="24"/>
          <w:szCs w:val="24"/>
          <w:lang w:val="es-ES"/>
        </w:rPr>
        <w:t>Se enmienda el Artículo 65 de la Ley 129-2020, según enmendada, para que lea como sigue:</w:t>
      </w:r>
    </w:p>
    <w:p w14:paraId="2A0B791C" w14:textId="77777777" w:rsidR="0027539D" w:rsidRPr="00234435" w:rsidRDefault="00B84510" w:rsidP="00A50BCF">
      <w:pPr>
        <w:pStyle w:val="Sangra2detindependiente"/>
        <w:ind w:firstLine="360"/>
        <w:jc w:val="both"/>
        <w:rPr>
          <w:rFonts w:ascii="Book Antiqua" w:hAnsi="Book Antiqua"/>
          <w:sz w:val="24"/>
          <w:szCs w:val="24"/>
          <w:lang w:val="es-ES"/>
        </w:rPr>
      </w:pPr>
      <w:r w:rsidRPr="00234435">
        <w:rPr>
          <w:rFonts w:ascii="Book Antiqua" w:hAnsi="Book Antiqua"/>
          <w:i/>
          <w:iCs/>
          <w:sz w:val="24"/>
          <w:szCs w:val="24"/>
          <w:lang w:val="es-ES"/>
        </w:rPr>
        <w:t>"</w:t>
      </w:r>
      <w:r w:rsidR="00A50BCF" w:rsidRPr="00234435">
        <w:rPr>
          <w:rFonts w:ascii="Book Antiqua" w:hAnsi="Book Antiqua"/>
          <w:sz w:val="24"/>
          <w:szCs w:val="24"/>
          <w:lang w:val="es-ES"/>
        </w:rPr>
        <w:t xml:space="preserve">Artículo 65. — Impugnaciones de Acciones u Omisiones de la Junta de </w:t>
      </w:r>
      <w:proofErr w:type="gramStart"/>
      <w:r w:rsidR="00A50BCF" w:rsidRPr="00234435">
        <w:rPr>
          <w:rFonts w:ascii="Book Antiqua" w:hAnsi="Book Antiqua"/>
          <w:sz w:val="24"/>
          <w:szCs w:val="24"/>
          <w:lang w:val="es-ES"/>
        </w:rPr>
        <w:t>Directores</w:t>
      </w:r>
      <w:proofErr w:type="gramEnd"/>
      <w:r w:rsidR="00A50BCF" w:rsidRPr="00234435">
        <w:rPr>
          <w:rFonts w:ascii="Book Antiqua" w:hAnsi="Book Antiqua"/>
          <w:sz w:val="24"/>
          <w:szCs w:val="24"/>
          <w:lang w:val="es-ES"/>
        </w:rPr>
        <w:t>, Administrador Interino y Acuerdos y Determinaciones del Consejo</w:t>
      </w:r>
      <w:r w:rsidR="0027539D" w:rsidRPr="00234435">
        <w:rPr>
          <w:rFonts w:ascii="Book Antiqua" w:hAnsi="Book Antiqua"/>
          <w:sz w:val="24"/>
          <w:szCs w:val="24"/>
          <w:lang w:val="es-ES"/>
        </w:rPr>
        <w:t>.</w:t>
      </w:r>
    </w:p>
    <w:p w14:paraId="4BE4CB71" w14:textId="077964DD" w:rsidR="00B84510" w:rsidRPr="00234435" w:rsidRDefault="00A50BCF" w:rsidP="006B600A">
      <w:pPr>
        <w:pStyle w:val="Sangra2detindependiente"/>
        <w:ind w:firstLine="360"/>
        <w:jc w:val="both"/>
        <w:rPr>
          <w:rFonts w:ascii="Book Antiqua" w:hAnsi="Book Antiqua"/>
          <w:i/>
          <w:iCs/>
          <w:sz w:val="24"/>
          <w:szCs w:val="24"/>
          <w:lang w:val="es-ES"/>
        </w:rPr>
      </w:pPr>
      <w:r w:rsidRPr="00234435">
        <w:rPr>
          <w:rFonts w:ascii="Book Antiqua" w:hAnsi="Book Antiqua"/>
          <w:sz w:val="24"/>
          <w:szCs w:val="24"/>
          <w:lang w:val="es-ES"/>
        </w:rPr>
        <w:t xml:space="preserve"> Las acciones u omisiones de la Junta de Directores, del Administrador Interino, del Agente Administrador así como los acuerdos del Consejo de Titulares podrán ser impugnados por los titulares en los siguientes supuestos: a) cuando sean contrarios a esta Ley, la escritura matriz y reglamento del condominio; b) cuando resulten gravemente perjudiciales a los intereses de la comunidad o a un titular; c) cuando </w:t>
      </w:r>
      <w:r w:rsidRPr="00234435">
        <w:rPr>
          <w:rFonts w:ascii="Book Antiqua" w:hAnsi="Book Antiqua"/>
          <w:sz w:val="24"/>
          <w:szCs w:val="24"/>
          <w:lang w:val="es-ES"/>
        </w:rPr>
        <w:lastRenderedPageBreak/>
        <w:t xml:space="preserve">resulten gravemente perjudiciales para algún titular que no tenga obligación jurídica para soportarlo y no haya sido previsible al momento de la compra. Los titulares que sean dueños de apartamentos en condominios que sean dedicados exclusivamente a uso comercial, tendrán que presentar la impugnación ante el Tribunal de Primera Instancia, el cual tendrá jurisdicción primaria y exclusiva. En el caso de los titulares sean dueños de apartamentos en condominios con al menos un apartamento de uso residencial, </w:t>
      </w:r>
      <w:r w:rsidR="007867E1" w:rsidRPr="00234435">
        <w:rPr>
          <w:rFonts w:ascii="Book Antiqua" w:hAnsi="Book Antiqua"/>
          <w:b/>
          <w:bCs/>
          <w:sz w:val="24"/>
          <w:szCs w:val="24"/>
          <w:lang w:val="es-ES"/>
        </w:rPr>
        <w:t>[</w:t>
      </w:r>
      <w:r w:rsidRPr="00234435">
        <w:rPr>
          <w:rFonts w:ascii="Book Antiqua" w:hAnsi="Book Antiqua"/>
          <w:b/>
          <w:bCs/>
          <w:sz w:val="24"/>
          <w:szCs w:val="24"/>
          <w:lang w:val="es-ES"/>
        </w:rPr>
        <w:t>la jurisdicción será primaria y exclusiva del Departamento de Asuntos del Consumidor, así como cualquier reclamación presentada en contra del agente administrador</w:t>
      </w:r>
      <w:r w:rsidR="007867E1" w:rsidRPr="00234435">
        <w:rPr>
          <w:rFonts w:ascii="Book Antiqua" w:hAnsi="Book Antiqua"/>
          <w:sz w:val="24"/>
          <w:szCs w:val="24"/>
          <w:lang w:val="es-ES"/>
        </w:rPr>
        <w:t xml:space="preserve">] </w:t>
      </w:r>
      <w:r w:rsidR="007867E1" w:rsidRPr="00234435">
        <w:rPr>
          <w:rFonts w:ascii="Book Antiqua" w:hAnsi="Book Antiqua"/>
          <w:i/>
          <w:iCs/>
          <w:sz w:val="24"/>
          <w:szCs w:val="24"/>
          <w:lang w:val="es-ES"/>
        </w:rPr>
        <w:t xml:space="preserve">toda controversia o reclamación </w:t>
      </w:r>
      <w:r w:rsidR="00271F02" w:rsidRPr="00234435">
        <w:rPr>
          <w:rFonts w:ascii="Book Antiqua" w:hAnsi="Book Antiqua"/>
          <w:i/>
          <w:iCs/>
          <w:sz w:val="24"/>
          <w:szCs w:val="24"/>
          <w:lang w:val="es-ES"/>
        </w:rPr>
        <w:t>estará sujeta obligatoriamente a un proceso de arbitraje</w:t>
      </w:r>
      <w:r w:rsidR="006B600A" w:rsidRPr="00234435">
        <w:rPr>
          <w:rFonts w:ascii="Book Antiqua" w:hAnsi="Book Antiqua"/>
          <w:i/>
          <w:iCs/>
          <w:sz w:val="24"/>
          <w:szCs w:val="24"/>
          <w:lang w:val="es-ES"/>
        </w:rPr>
        <w:t>.</w:t>
      </w:r>
      <w:r w:rsidR="006B600A" w:rsidRPr="00234435">
        <w:rPr>
          <w:rFonts w:ascii="Book Antiqua" w:hAnsi="Book Antiqua"/>
          <w:sz w:val="24"/>
          <w:szCs w:val="24"/>
          <w:lang w:val="es-ES"/>
        </w:rPr>
        <w:t xml:space="preserve"> </w:t>
      </w:r>
      <w:r w:rsidR="007867E1" w:rsidRPr="00234435">
        <w:rPr>
          <w:rFonts w:ascii="Book Antiqua" w:hAnsi="Book Antiqua"/>
          <w:i/>
          <w:iCs/>
          <w:sz w:val="24"/>
          <w:szCs w:val="24"/>
          <w:lang w:val="es-ES"/>
        </w:rPr>
        <w:t xml:space="preserve">El proceso de arbitraje se regirá por los reglamentos que a tales efectos adopte el </w:t>
      </w:r>
      <w:proofErr w:type="gramStart"/>
      <w:r w:rsidR="007867E1" w:rsidRPr="00234435">
        <w:rPr>
          <w:rFonts w:ascii="Book Antiqua" w:hAnsi="Book Antiqua"/>
          <w:i/>
          <w:iCs/>
          <w:sz w:val="24"/>
          <w:szCs w:val="24"/>
          <w:lang w:val="es-ES"/>
        </w:rPr>
        <w:t>Secretario</w:t>
      </w:r>
      <w:proofErr w:type="gramEnd"/>
      <w:r w:rsidR="007867E1" w:rsidRPr="00234435">
        <w:rPr>
          <w:rFonts w:ascii="Book Antiqua" w:hAnsi="Book Antiqua"/>
          <w:i/>
          <w:iCs/>
          <w:sz w:val="24"/>
          <w:szCs w:val="24"/>
          <w:lang w:val="es-ES"/>
        </w:rPr>
        <w:t xml:space="preserve"> del Departamento de Asuntos del Consumidor. Los costos del arbitraje serán sufragados por las partes según se determine en el laudo, basándose en la temeridad o el resultado de la controversia</w:t>
      </w:r>
      <w:r w:rsidRPr="00234435">
        <w:rPr>
          <w:rFonts w:ascii="Book Antiqua" w:hAnsi="Book Antiqua"/>
          <w:i/>
          <w:iCs/>
          <w:sz w:val="24"/>
          <w:szCs w:val="24"/>
          <w:lang w:val="es-ES"/>
        </w:rPr>
        <w:t>.</w:t>
      </w:r>
    </w:p>
    <w:p w14:paraId="398F95FB" w14:textId="4D585939" w:rsidR="00336809" w:rsidRPr="00234435" w:rsidRDefault="00336809" w:rsidP="006B600A">
      <w:pPr>
        <w:pStyle w:val="Sangra2detindependiente"/>
        <w:ind w:firstLine="360"/>
        <w:jc w:val="both"/>
        <w:rPr>
          <w:rFonts w:ascii="Book Antiqua" w:hAnsi="Book Antiqua"/>
          <w:sz w:val="24"/>
          <w:szCs w:val="24"/>
          <w:lang w:val="es-ES"/>
        </w:rPr>
      </w:pPr>
      <w:r w:rsidRPr="00234435">
        <w:rPr>
          <w:rFonts w:ascii="Book Antiqua" w:hAnsi="Book Antiqua"/>
          <w:sz w:val="24"/>
          <w:szCs w:val="24"/>
          <w:lang w:val="es-ES"/>
        </w:rPr>
        <w:t>…”</w:t>
      </w:r>
    </w:p>
    <w:p w14:paraId="4E8242E1" w14:textId="77777777" w:rsidR="00E02E31" w:rsidRPr="00234435" w:rsidRDefault="00E02E31" w:rsidP="009C06FA">
      <w:pPr>
        <w:pStyle w:val="Sangra2detindependiente"/>
        <w:ind w:firstLine="720"/>
        <w:jc w:val="both"/>
        <w:rPr>
          <w:rFonts w:ascii="Book Antiqua" w:hAnsi="Book Antiqua"/>
          <w:sz w:val="24"/>
          <w:szCs w:val="24"/>
          <w:lang w:val="es-ES"/>
        </w:rPr>
      </w:pPr>
      <w:r w:rsidRPr="00234435">
        <w:rPr>
          <w:rFonts w:ascii="Book Antiqua" w:hAnsi="Book Antiqua"/>
          <w:sz w:val="24"/>
          <w:szCs w:val="24"/>
          <w:lang w:val="es-ES"/>
        </w:rPr>
        <w:t>Sección 2.- Se enmienda el Artículo 66 de la Ley 129-2020, según enmendada, para que lea como sigue:</w:t>
      </w:r>
    </w:p>
    <w:p w14:paraId="595D727F" w14:textId="001A3182" w:rsidR="00EB7AD7" w:rsidRPr="00234435" w:rsidRDefault="00EB7AD7" w:rsidP="00EB7AD7">
      <w:pPr>
        <w:pStyle w:val="Sangra2detindependiente"/>
        <w:ind w:firstLine="720"/>
        <w:jc w:val="both"/>
        <w:rPr>
          <w:rFonts w:ascii="Book Antiqua" w:hAnsi="Book Antiqua"/>
          <w:sz w:val="24"/>
          <w:szCs w:val="24"/>
          <w:lang w:val="es-ES"/>
        </w:rPr>
      </w:pPr>
      <w:r w:rsidRPr="00234435">
        <w:rPr>
          <w:rFonts w:ascii="Book Antiqua" w:hAnsi="Book Antiqua"/>
          <w:sz w:val="24"/>
          <w:szCs w:val="24"/>
          <w:lang w:val="es-ES"/>
        </w:rPr>
        <w:t xml:space="preserve">“Artículo 66. — Presentación de Acciones de Impugnación </w:t>
      </w:r>
    </w:p>
    <w:p w14:paraId="415A297E" w14:textId="3BF0F3AF" w:rsidR="00E961C9" w:rsidRPr="00E961C9" w:rsidRDefault="00EB7AD7" w:rsidP="00E961C9">
      <w:pPr>
        <w:pStyle w:val="Sangra2detindependiente"/>
        <w:ind w:firstLine="720"/>
        <w:jc w:val="both"/>
        <w:rPr>
          <w:rFonts w:ascii="Book Antiqua" w:hAnsi="Book Antiqua"/>
          <w:i/>
          <w:iCs/>
          <w:sz w:val="24"/>
          <w:szCs w:val="24"/>
          <w:lang w:val="es-ES"/>
        </w:rPr>
      </w:pPr>
      <w:r w:rsidRPr="00234435">
        <w:rPr>
          <w:rFonts w:ascii="Book Antiqua" w:hAnsi="Book Antiqua"/>
          <w:sz w:val="24"/>
          <w:szCs w:val="24"/>
          <w:lang w:val="es-ES"/>
        </w:rPr>
        <w:t xml:space="preserve">El Departamento de Asuntos del Consumidor tendrá una División Especial de </w:t>
      </w:r>
      <w:r w:rsidR="00A650AF" w:rsidRPr="00234435">
        <w:rPr>
          <w:rFonts w:ascii="Book Antiqua" w:hAnsi="Book Antiqua"/>
          <w:b/>
          <w:bCs/>
          <w:sz w:val="24"/>
          <w:szCs w:val="24"/>
          <w:lang w:val="es-ES"/>
        </w:rPr>
        <w:t>[</w:t>
      </w:r>
      <w:r w:rsidRPr="00234435">
        <w:rPr>
          <w:rFonts w:ascii="Book Antiqua" w:hAnsi="Book Antiqua"/>
          <w:b/>
          <w:bCs/>
          <w:sz w:val="24"/>
          <w:szCs w:val="24"/>
          <w:lang w:val="es-ES"/>
        </w:rPr>
        <w:t>Adjudicación de Querellas</w:t>
      </w:r>
      <w:r w:rsidR="00A650AF" w:rsidRPr="00234435">
        <w:rPr>
          <w:rFonts w:ascii="Book Antiqua" w:hAnsi="Book Antiqua"/>
          <w:b/>
          <w:bCs/>
          <w:sz w:val="24"/>
          <w:szCs w:val="24"/>
          <w:lang w:val="es-ES"/>
        </w:rPr>
        <w:t>]</w:t>
      </w:r>
      <w:r w:rsidRPr="00234435">
        <w:rPr>
          <w:rFonts w:ascii="Book Antiqua" w:hAnsi="Book Antiqua"/>
          <w:b/>
          <w:bCs/>
          <w:sz w:val="24"/>
          <w:szCs w:val="24"/>
          <w:lang w:val="es-ES"/>
        </w:rPr>
        <w:t xml:space="preserve"> </w:t>
      </w:r>
      <w:r w:rsidR="00A650AF" w:rsidRPr="00234435">
        <w:rPr>
          <w:rFonts w:ascii="Book Antiqua" w:hAnsi="Book Antiqua"/>
          <w:i/>
          <w:iCs/>
          <w:sz w:val="24"/>
          <w:szCs w:val="24"/>
          <w:lang w:val="es-ES"/>
        </w:rPr>
        <w:t>Supervisión de Arbitrajes</w:t>
      </w:r>
      <w:r w:rsidR="00A650AF" w:rsidRPr="00234435">
        <w:rPr>
          <w:rFonts w:ascii="Book Antiqua" w:hAnsi="Book Antiqua"/>
          <w:b/>
          <w:bCs/>
          <w:sz w:val="24"/>
          <w:szCs w:val="24"/>
          <w:lang w:val="es-ES"/>
        </w:rPr>
        <w:t xml:space="preserve"> </w:t>
      </w:r>
      <w:r w:rsidRPr="00234435">
        <w:rPr>
          <w:rFonts w:ascii="Book Antiqua" w:hAnsi="Book Antiqua"/>
          <w:sz w:val="24"/>
          <w:szCs w:val="24"/>
          <w:lang w:val="es-ES"/>
        </w:rPr>
        <w:t xml:space="preserve">de Condominios, para atender todo lo relacionado a todo condominio en el que exista por lo menos un apartamento dedicado a vivienda. </w:t>
      </w:r>
      <w:r w:rsidR="00E961C9" w:rsidRPr="00E961C9">
        <w:rPr>
          <w:rFonts w:ascii="Book Antiqua" w:hAnsi="Book Antiqua"/>
          <w:i/>
          <w:iCs/>
          <w:sz w:val="24"/>
          <w:szCs w:val="24"/>
          <w:lang w:val="es-ES"/>
        </w:rPr>
        <w:t xml:space="preserve">La jurisdicción de dicha División y del </w:t>
      </w:r>
      <w:proofErr w:type="gramStart"/>
      <w:r w:rsidR="00E961C9" w:rsidRPr="00E961C9">
        <w:rPr>
          <w:rFonts w:ascii="Book Antiqua" w:hAnsi="Book Antiqua"/>
          <w:i/>
          <w:iCs/>
          <w:sz w:val="24"/>
          <w:szCs w:val="24"/>
          <w:lang w:val="es-ES"/>
        </w:rPr>
        <w:t>Secretario</w:t>
      </w:r>
      <w:proofErr w:type="gramEnd"/>
      <w:r w:rsidR="00E961C9" w:rsidRPr="00E961C9">
        <w:rPr>
          <w:rFonts w:ascii="Book Antiqua" w:hAnsi="Book Antiqua"/>
          <w:i/>
          <w:iCs/>
          <w:sz w:val="24"/>
          <w:szCs w:val="24"/>
          <w:lang w:val="es-ES"/>
        </w:rPr>
        <w:t xml:space="preserve"> se limitará </w:t>
      </w:r>
      <w:r w:rsidR="00E961C9" w:rsidRPr="00E961C9">
        <w:rPr>
          <w:rFonts w:ascii="Book Antiqua" w:hAnsi="Book Antiqua"/>
          <w:i/>
          <w:iCs/>
          <w:sz w:val="24"/>
          <w:szCs w:val="24"/>
          <w:lang w:val="es-ES"/>
        </w:rPr>
        <w:lastRenderedPageBreak/>
        <w:t>exclusivamente a recibir los laudos de arbitraje para:</w:t>
      </w:r>
    </w:p>
    <w:p w14:paraId="2C01A7BE" w14:textId="77777777" w:rsidR="00E961C9" w:rsidRPr="00E961C9" w:rsidRDefault="00E961C9" w:rsidP="00E961C9">
      <w:pPr>
        <w:pStyle w:val="Sangra2detindependiente"/>
        <w:ind w:firstLine="720"/>
        <w:jc w:val="both"/>
        <w:rPr>
          <w:rFonts w:ascii="Book Antiqua" w:hAnsi="Book Antiqua"/>
          <w:i/>
          <w:iCs/>
          <w:sz w:val="24"/>
          <w:szCs w:val="24"/>
          <w:lang w:val="es-ES"/>
        </w:rPr>
      </w:pPr>
      <w:r w:rsidRPr="00E961C9">
        <w:rPr>
          <w:rFonts w:ascii="Book Antiqua" w:hAnsi="Book Antiqua"/>
          <w:i/>
          <w:iCs/>
          <w:sz w:val="24"/>
          <w:szCs w:val="24"/>
          <w:lang w:val="es-ES"/>
        </w:rPr>
        <w:t xml:space="preserve">a) Validar que el proceso de arbitraje se haya llevado a cabo conforme a las normas establecidas. </w:t>
      </w:r>
    </w:p>
    <w:p w14:paraId="536254A4" w14:textId="410A48AC" w:rsidR="00E961C9" w:rsidRPr="00E961C9" w:rsidRDefault="00E961C9" w:rsidP="00E961C9">
      <w:pPr>
        <w:pStyle w:val="Sangra2detindependiente"/>
        <w:ind w:firstLine="720"/>
        <w:jc w:val="both"/>
        <w:rPr>
          <w:rFonts w:ascii="Book Antiqua" w:hAnsi="Book Antiqua"/>
          <w:i/>
          <w:iCs/>
          <w:sz w:val="24"/>
          <w:szCs w:val="24"/>
          <w:lang w:val="es-ES"/>
        </w:rPr>
      </w:pPr>
      <w:r w:rsidRPr="00E961C9">
        <w:rPr>
          <w:rFonts w:ascii="Book Antiqua" w:hAnsi="Book Antiqua"/>
          <w:i/>
          <w:iCs/>
          <w:sz w:val="24"/>
          <w:szCs w:val="24"/>
          <w:lang w:val="es-ES"/>
        </w:rPr>
        <w:t>b) Examinar que las determinaciones del árbitro o panel arbitral estén conforme a derecho.</w:t>
      </w:r>
    </w:p>
    <w:p w14:paraId="4E5472DA" w14:textId="7E56002D" w:rsidR="00E961C9" w:rsidRPr="00E961C9" w:rsidRDefault="00E961C9" w:rsidP="00E961C9">
      <w:pPr>
        <w:pStyle w:val="Sangra2detindependiente"/>
        <w:ind w:firstLine="720"/>
        <w:jc w:val="both"/>
        <w:rPr>
          <w:rFonts w:ascii="Book Antiqua" w:hAnsi="Book Antiqua"/>
          <w:i/>
          <w:iCs/>
          <w:sz w:val="24"/>
          <w:szCs w:val="24"/>
          <w:lang w:val="es-ES"/>
        </w:rPr>
      </w:pPr>
      <w:r w:rsidRPr="00E961C9">
        <w:rPr>
          <w:rFonts w:ascii="Book Antiqua" w:hAnsi="Book Antiqua"/>
          <w:i/>
          <w:iCs/>
          <w:sz w:val="24"/>
          <w:szCs w:val="24"/>
          <w:lang w:val="es-ES"/>
        </w:rPr>
        <w:t xml:space="preserve">El </w:t>
      </w:r>
      <w:proofErr w:type="gramStart"/>
      <w:r w:rsidRPr="00E961C9">
        <w:rPr>
          <w:rFonts w:ascii="Book Antiqua" w:hAnsi="Book Antiqua"/>
          <w:i/>
          <w:iCs/>
          <w:sz w:val="24"/>
          <w:szCs w:val="24"/>
          <w:lang w:val="es-ES"/>
        </w:rPr>
        <w:t>Secretario</w:t>
      </w:r>
      <w:proofErr w:type="gramEnd"/>
      <w:r w:rsidRPr="00E961C9">
        <w:rPr>
          <w:rFonts w:ascii="Book Antiqua" w:hAnsi="Book Antiqua"/>
          <w:i/>
          <w:iCs/>
          <w:sz w:val="24"/>
          <w:szCs w:val="24"/>
          <w:lang w:val="es-ES"/>
        </w:rPr>
        <w:t xml:space="preserve"> no entrará a considerar los hechos de la controversia, salvo en casos de fraude o error manifiesto de derecho que afecte el interés público</w:t>
      </w:r>
    </w:p>
    <w:p w14:paraId="2D834752" w14:textId="77777777" w:rsidR="00FF765F" w:rsidRDefault="00EB7AD7" w:rsidP="00EB7AD7">
      <w:pPr>
        <w:pStyle w:val="Sangra2detindependiente"/>
        <w:ind w:firstLine="720"/>
        <w:jc w:val="both"/>
        <w:rPr>
          <w:rFonts w:ascii="Book Antiqua" w:hAnsi="Book Antiqua"/>
          <w:sz w:val="24"/>
          <w:szCs w:val="24"/>
          <w:lang w:val="es-ES"/>
        </w:rPr>
      </w:pPr>
      <w:r w:rsidRPr="00234435">
        <w:rPr>
          <w:rFonts w:ascii="Book Antiqua" w:hAnsi="Book Antiqua"/>
          <w:sz w:val="24"/>
          <w:szCs w:val="24"/>
          <w:lang w:val="es-ES"/>
        </w:rPr>
        <w:t xml:space="preserve">El </w:t>
      </w:r>
      <w:proofErr w:type="gramStart"/>
      <w:r w:rsidRPr="00234435">
        <w:rPr>
          <w:rFonts w:ascii="Book Antiqua" w:hAnsi="Book Antiqua"/>
          <w:sz w:val="24"/>
          <w:szCs w:val="24"/>
          <w:lang w:val="es-ES"/>
        </w:rPr>
        <w:t>Secretario</w:t>
      </w:r>
      <w:proofErr w:type="gramEnd"/>
      <w:r w:rsidRPr="00234435">
        <w:rPr>
          <w:rFonts w:ascii="Book Antiqua" w:hAnsi="Book Antiqua"/>
          <w:sz w:val="24"/>
          <w:szCs w:val="24"/>
          <w:lang w:val="es-ES"/>
        </w:rPr>
        <w:t xml:space="preserve"> tendrá la capacidad de nombrar el personal necesario para la pronta atención de las querellas presentadas por los titulares de apartamentos al amparo de esta Ley contra el Consejo de Titulares o el Agente Administrador, o por la Junta de </w:t>
      </w:r>
      <w:proofErr w:type="gramStart"/>
      <w:r w:rsidRPr="00234435">
        <w:rPr>
          <w:rFonts w:ascii="Book Antiqua" w:hAnsi="Book Antiqua"/>
          <w:sz w:val="24"/>
          <w:szCs w:val="24"/>
          <w:lang w:val="es-ES"/>
        </w:rPr>
        <w:t>Directores</w:t>
      </w:r>
      <w:proofErr w:type="gramEnd"/>
      <w:r w:rsidRPr="00234435">
        <w:rPr>
          <w:rFonts w:ascii="Book Antiqua" w:hAnsi="Book Antiqua"/>
          <w:sz w:val="24"/>
          <w:szCs w:val="24"/>
          <w:lang w:val="es-ES"/>
        </w:rPr>
        <w:t xml:space="preserve"> al amparo de aquellas </w:t>
      </w:r>
      <w:r w:rsidR="00234435" w:rsidRPr="00234435">
        <w:rPr>
          <w:rFonts w:ascii="Book Antiqua" w:hAnsi="Book Antiqua"/>
          <w:sz w:val="24"/>
          <w:szCs w:val="24"/>
          <w:lang w:val="es-ES"/>
        </w:rPr>
        <w:t xml:space="preserve">leyes especiales aplicables. Se faculta además al </w:t>
      </w:r>
      <w:proofErr w:type="gramStart"/>
      <w:r w:rsidR="00234435" w:rsidRPr="00234435">
        <w:rPr>
          <w:rFonts w:ascii="Book Antiqua" w:hAnsi="Book Antiqua"/>
          <w:sz w:val="24"/>
          <w:szCs w:val="24"/>
          <w:lang w:val="es-ES"/>
        </w:rPr>
        <w:t>Secretario</w:t>
      </w:r>
      <w:proofErr w:type="gramEnd"/>
      <w:r w:rsidR="00234435" w:rsidRPr="00234435">
        <w:rPr>
          <w:rFonts w:ascii="Book Antiqua" w:hAnsi="Book Antiqua"/>
          <w:sz w:val="24"/>
          <w:szCs w:val="24"/>
          <w:lang w:val="es-ES"/>
        </w:rPr>
        <w:t xml:space="preserve"> para adoptar y/o modificar los reglamentos necesarios para la adjudicación de las querellas presentadas en el Departamento y para el fiel cumplimiento de esta Ley. </w:t>
      </w:r>
    </w:p>
    <w:p w14:paraId="2FC5C8E1" w14:textId="41BA9728" w:rsidR="00E02E31" w:rsidRDefault="00234435" w:rsidP="00EB7AD7">
      <w:pPr>
        <w:pStyle w:val="Sangra2detindependiente"/>
        <w:ind w:firstLine="720"/>
        <w:jc w:val="both"/>
        <w:rPr>
          <w:rFonts w:ascii="Book Antiqua" w:hAnsi="Book Antiqua"/>
          <w:sz w:val="24"/>
          <w:szCs w:val="24"/>
          <w:lang w:val="es-ES"/>
        </w:rPr>
      </w:pPr>
      <w:r w:rsidRPr="00234435">
        <w:rPr>
          <w:rFonts w:ascii="Book Antiqua" w:hAnsi="Book Antiqua"/>
          <w:sz w:val="24"/>
          <w:szCs w:val="24"/>
          <w:lang w:val="es-ES"/>
        </w:rPr>
        <w:t xml:space="preserve">Sin perjuicio de lo anterior, o de las acciones judiciales que puedan presentarse, toda querella relacionada con la cubierta o los términos y condiciones del contrato de </w:t>
      </w:r>
      <w:proofErr w:type="gramStart"/>
      <w:r w:rsidRPr="00234435">
        <w:rPr>
          <w:rFonts w:ascii="Book Antiqua" w:hAnsi="Book Antiqua"/>
          <w:sz w:val="24"/>
          <w:szCs w:val="24"/>
          <w:lang w:val="es-ES"/>
        </w:rPr>
        <w:t>seguros,</w:t>
      </w:r>
      <w:proofErr w:type="gramEnd"/>
      <w:r w:rsidRPr="00234435">
        <w:rPr>
          <w:rFonts w:ascii="Book Antiqua" w:hAnsi="Book Antiqua"/>
          <w:sz w:val="24"/>
          <w:szCs w:val="24"/>
          <w:lang w:val="es-ES"/>
        </w:rPr>
        <w:t xml:space="preserve"> será referida, a la Oficina del Comisionado de Seguros de Puerto Rico para su consideración. Se faculta al Comisionado, de ser necesario, a adoptar y/o modificar los reglamentos necesarios para la adjudicación de las querellas que surjan bajo el Régimen de Propiedad Horizontal.</w:t>
      </w:r>
      <w:r w:rsidR="00EA50A8">
        <w:rPr>
          <w:rFonts w:ascii="Book Antiqua" w:hAnsi="Book Antiqua"/>
          <w:sz w:val="24"/>
          <w:szCs w:val="24"/>
          <w:lang w:val="es-ES"/>
        </w:rPr>
        <w:t>”</w:t>
      </w:r>
    </w:p>
    <w:p w14:paraId="086F2A2E" w14:textId="6C0E3ACF" w:rsidR="00FF765F" w:rsidRDefault="00FF765F" w:rsidP="00EB7AD7">
      <w:pPr>
        <w:pStyle w:val="Sangra2detindependiente"/>
        <w:ind w:firstLine="720"/>
        <w:jc w:val="both"/>
        <w:rPr>
          <w:rFonts w:ascii="Book Antiqua" w:hAnsi="Book Antiqua"/>
          <w:sz w:val="24"/>
          <w:szCs w:val="24"/>
          <w:lang w:val="es-ES"/>
        </w:rPr>
      </w:pPr>
      <w:r w:rsidRPr="00FF765F">
        <w:rPr>
          <w:rFonts w:ascii="Book Antiqua" w:hAnsi="Book Antiqua"/>
          <w:sz w:val="24"/>
          <w:szCs w:val="24"/>
          <w:lang w:val="es-ES"/>
        </w:rPr>
        <w:t xml:space="preserve">Sección 3.- Se enmienda el Artículo 69 de la Ley 129-2020, según enmendada, </w:t>
      </w:r>
      <w:r w:rsidRPr="00FF765F">
        <w:rPr>
          <w:rFonts w:ascii="Book Antiqua" w:hAnsi="Book Antiqua"/>
          <w:sz w:val="24"/>
          <w:szCs w:val="24"/>
          <w:lang w:val="es-ES"/>
        </w:rPr>
        <w:lastRenderedPageBreak/>
        <w:t>para que lea como sigue:</w:t>
      </w:r>
    </w:p>
    <w:p w14:paraId="75EB7456" w14:textId="0CDC4684" w:rsidR="00654C8B" w:rsidRPr="00654C8B" w:rsidRDefault="00654C8B" w:rsidP="00654C8B">
      <w:pPr>
        <w:pStyle w:val="Sangra2detindependiente"/>
        <w:ind w:firstLine="720"/>
        <w:jc w:val="both"/>
        <w:rPr>
          <w:rFonts w:ascii="Book Antiqua" w:hAnsi="Book Antiqua"/>
          <w:sz w:val="24"/>
          <w:szCs w:val="24"/>
          <w:lang w:val="es-ES"/>
        </w:rPr>
      </w:pPr>
      <w:r>
        <w:rPr>
          <w:rFonts w:ascii="Book Antiqua" w:hAnsi="Book Antiqua"/>
          <w:sz w:val="24"/>
          <w:szCs w:val="24"/>
          <w:lang w:val="es-ES"/>
        </w:rPr>
        <w:t>“</w:t>
      </w:r>
      <w:r w:rsidRPr="00654C8B">
        <w:rPr>
          <w:rFonts w:ascii="Book Antiqua" w:hAnsi="Book Antiqua"/>
          <w:sz w:val="24"/>
          <w:szCs w:val="24"/>
          <w:lang w:val="es-ES"/>
        </w:rPr>
        <w:t>Artículo 69. — Adjudicación de Controversias; Multas Administrativas; Revisión Judicial</w:t>
      </w:r>
    </w:p>
    <w:p w14:paraId="21F9A8D2" w14:textId="39E67805" w:rsidR="00654C8B" w:rsidRPr="00234435" w:rsidRDefault="00654C8B" w:rsidP="00654C8B">
      <w:pPr>
        <w:pStyle w:val="Sangra2detindependiente"/>
        <w:ind w:firstLine="720"/>
        <w:jc w:val="both"/>
        <w:rPr>
          <w:rFonts w:ascii="Book Antiqua" w:hAnsi="Book Antiqua"/>
          <w:sz w:val="24"/>
          <w:szCs w:val="24"/>
          <w:lang w:val="es-ES"/>
        </w:rPr>
      </w:pPr>
      <w:r w:rsidRPr="00654C8B">
        <w:rPr>
          <w:rFonts w:ascii="Book Antiqua" w:hAnsi="Book Antiqua"/>
          <w:sz w:val="24"/>
          <w:szCs w:val="24"/>
          <w:lang w:val="es-ES"/>
        </w:rPr>
        <w:t xml:space="preserve">El </w:t>
      </w:r>
      <w:proofErr w:type="gramStart"/>
      <w:r w:rsidRPr="00654C8B">
        <w:rPr>
          <w:rFonts w:ascii="Book Antiqua" w:hAnsi="Book Antiqua"/>
          <w:sz w:val="24"/>
          <w:szCs w:val="24"/>
          <w:lang w:val="es-ES"/>
        </w:rPr>
        <w:t>Secretario</w:t>
      </w:r>
      <w:proofErr w:type="gramEnd"/>
      <w:r w:rsidRPr="00654C8B">
        <w:rPr>
          <w:rFonts w:ascii="Book Antiqua" w:hAnsi="Book Antiqua"/>
          <w:sz w:val="24"/>
          <w:szCs w:val="24"/>
          <w:lang w:val="es-ES"/>
        </w:rPr>
        <w:t xml:space="preserve"> del Departamento de Asuntos del Consumidor podrá utilizar todos los poderes</w:t>
      </w:r>
      <w:r>
        <w:rPr>
          <w:rFonts w:ascii="Book Antiqua" w:hAnsi="Book Antiqua"/>
          <w:sz w:val="24"/>
          <w:szCs w:val="24"/>
          <w:lang w:val="es-ES"/>
        </w:rPr>
        <w:t xml:space="preserve"> </w:t>
      </w:r>
      <w:r w:rsidRPr="00654C8B">
        <w:rPr>
          <w:rFonts w:ascii="Book Antiqua" w:hAnsi="Book Antiqua"/>
          <w:sz w:val="24"/>
          <w:szCs w:val="24"/>
          <w:lang w:val="es-ES"/>
        </w:rPr>
        <w:t>que le confiere la Ley Núm. 5 de 23 de abril de 1973, según enmendada, conocida como “Ley</w:t>
      </w:r>
      <w:r>
        <w:rPr>
          <w:rFonts w:ascii="Book Antiqua" w:hAnsi="Book Antiqua"/>
          <w:sz w:val="24"/>
          <w:szCs w:val="24"/>
          <w:lang w:val="es-ES"/>
        </w:rPr>
        <w:t xml:space="preserve"> </w:t>
      </w:r>
      <w:r w:rsidRPr="00654C8B">
        <w:rPr>
          <w:rFonts w:ascii="Book Antiqua" w:hAnsi="Book Antiqua"/>
          <w:sz w:val="24"/>
          <w:szCs w:val="24"/>
          <w:lang w:val="es-ES"/>
        </w:rPr>
        <w:t>Orgánica del Departamento de Asuntos del Consumidor”, tanto al adjudicar las controversias que</w:t>
      </w:r>
      <w:r>
        <w:rPr>
          <w:rFonts w:ascii="Book Antiqua" w:hAnsi="Book Antiqua"/>
          <w:sz w:val="24"/>
          <w:szCs w:val="24"/>
          <w:lang w:val="es-ES"/>
        </w:rPr>
        <w:t xml:space="preserve"> </w:t>
      </w:r>
      <w:r w:rsidRPr="00654C8B">
        <w:rPr>
          <w:rFonts w:ascii="Book Antiqua" w:hAnsi="Book Antiqua"/>
          <w:sz w:val="24"/>
          <w:szCs w:val="24"/>
          <w:lang w:val="es-ES"/>
        </w:rPr>
        <w:t>surjan bajo esta Ley, como para evitar que cualquier persona viole los reglamentos u órdenes</w:t>
      </w:r>
      <w:r>
        <w:rPr>
          <w:rFonts w:ascii="Book Antiqua" w:hAnsi="Book Antiqua"/>
          <w:sz w:val="24"/>
          <w:szCs w:val="24"/>
          <w:lang w:val="es-ES"/>
        </w:rPr>
        <w:t xml:space="preserve"> </w:t>
      </w:r>
      <w:r w:rsidRPr="00654C8B">
        <w:rPr>
          <w:rFonts w:ascii="Book Antiqua" w:hAnsi="Book Antiqua"/>
          <w:sz w:val="24"/>
          <w:szCs w:val="24"/>
          <w:lang w:val="es-ES"/>
        </w:rPr>
        <w:t>emitidas bajo la misma, incluyendo la imposición de multas administrativas hasta la cantidad</w:t>
      </w:r>
      <w:r>
        <w:rPr>
          <w:rFonts w:ascii="Book Antiqua" w:hAnsi="Book Antiqua"/>
          <w:sz w:val="24"/>
          <w:szCs w:val="24"/>
          <w:lang w:val="es-ES"/>
        </w:rPr>
        <w:t xml:space="preserve"> </w:t>
      </w:r>
      <w:r w:rsidRPr="00654C8B">
        <w:rPr>
          <w:rFonts w:ascii="Book Antiqua" w:hAnsi="Book Antiqua"/>
          <w:sz w:val="24"/>
          <w:szCs w:val="24"/>
          <w:lang w:val="es-ES"/>
        </w:rPr>
        <w:t xml:space="preserve">máxima establecida en dicha ley. </w:t>
      </w:r>
      <w:r w:rsidR="004A4E16" w:rsidRPr="004A4E16">
        <w:rPr>
          <w:rFonts w:ascii="Book Antiqua" w:hAnsi="Book Antiqua"/>
          <w:i/>
          <w:iCs/>
          <w:sz w:val="24"/>
          <w:szCs w:val="24"/>
          <w:lang w:val="es-ES"/>
        </w:rPr>
        <w:t xml:space="preserve">Al revisar un laudo de arbitraje, el </w:t>
      </w:r>
      <w:proofErr w:type="gramStart"/>
      <w:r w:rsidR="004A4E16" w:rsidRPr="004A4E16">
        <w:rPr>
          <w:rFonts w:ascii="Book Antiqua" w:hAnsi="Book Antiqua"/>
          <w:i/>
          <w:iCs/>
          <w:sz w:val="24"/>
          <w:szCs w:val="24"/>
          <w:lang w:val="es-ES"/>
        </w:rPr>
        <w:t>Secretario</w:t>
      </w:r>
      <w:proofErr w:type="gramEnd"/>
      <w:r w:rsidR="004A4E16" w:rsidRPr="004A4E16">
        <w:rPr>
          <w:rFonts w:ascii="Book Antiqua" w:hAnsi="Book Antiqua"/>
          <w:i/>
          <w:iCs/>
          <w:sz w:val="24"/>
          <w:szCs w:val="24"/>
          <w:lang w:val="es-ES"/>
        </w:rPr>
        <w:t xml:space="preserve"> emitirá una Resolución confirmando, modificando o revocando el laudo basándose estrictamente en el cumplimiento con la Ley y los Reglamentos.</w:t>
      </w:r>
      <w:r w:rsidR="004A4E16" w:rsidRPr="004A4E16">
        <w:rPr>
          <w:rFonts w:ascii="Book Antiqua" w:hAnsi="Book Antiqua"/>
          <w:sz w:val="24"/>
          <w:szCs w:val="24"/>
          <w:lang w:val="es-ES"/>
        </w:rPr>
        <w:t xml:space="preserve"> </w:t>
      </w:r>
      <w:r w:rsidRPr="00654C8B">
        <w:rPr>
          <w:rFonts w:ascii="Book Antiqua" w:hAnsi="Book Antiqua"/>
          <w:sz w:val="24"/>
          <w:szCs w:val="24"/>
          <w:lang w:val="es-ES"/>
        </w:rPr>
        <w:t xml:space="preserve">Todo reglamento, orden o resolución que emita el </w:t>
      </w:r>
      <w:proofErr w:type="gramStart"/>
      <w:r w:rsidRPr="00654C8B">
        <w:rPr>
          <w:rFonts w:ascii="Book Antiqua" w:hAnsi="Book Antiqua"/>
          <w:sz w:val="24"/>
          <w:szCs w:val="24"/>
          <w:lang w:val="es-ES"/>
        </w:rPr>
        <w:t>Secretario</w:t>
      </w:r>
      <w:proofErr w:type="gramEnd"/>
      <w:r w:rsidRPr="00654C8B">
        <w:rPr>
          <w:rFonts w:ascii="Book Antiqua" w:hAnsi="Book Antiqua"/>
          <w:sz w:val="24"/>
          <w:szCs w:val="24"/>
          <w:lang w:val="es-ES"/>
        </w:rPr>
        <w:t xml:space="preserve"> al</w:t>
      </w:r>
      <w:r>
        <w:rPr>
          <w:rFonts w:ascii="Book Antiqua" w:hAnsi="Book Antiqua"/>
          <w:sz w:val="24"/>
          <w:szCs w:val="24"/>
          <w:lang w:val="es-ES"/>
        </w:rPr>
        <w:t xml:space="preserve"> </w:t>
      </w:r>
      <w:r w:rsidRPr="00654C8B">
        <w:rPr>
          <w:rFonts w:ascii="Book Antiqua" w:hAnsi="Book Antiqua"/>
          <w:sz w:val="24"/>
          <w:szCs w:val="24"/>
          <w:lang w:val="es-ES"/>
        </w:rPr>
        <w:t>amparo de esta Ley podrá ser reconsiderado y revisado judicialmente de conformidad con lo</w:t>
      </w:r>
      <w:r>
        <w:rPr>
          <w:rFonts w:ascii="Book Antiqua" w:hAnsi="Book Antiqua"/>
          <w:sz w:val="24"/>
          <w:szCs w:val="24"/>
          <w:lang w:val="es-ES"/>
        </w:rPr>
        <w:t xml:space="preserve"> </w:t>
      </w:r>
      <w:r w:rsidRPr="00654C8B">
        <w:rPr>
          <w:rFonts w:ascii="Book Antiqua" w:hAnsi="Book Antiqua"/>
          <w:sz w:val="24"/>
          <w:szCs w:val="24"/>
          <w:lang w:val="es-ES"/>
        </w:rPr>
        <w:t>dispuesto en la Ley 38-2017, según enmendada, conocida como “Ley de Procedimiento</w:t>
      </w:r>
      <w:r>
        <w:rPr>
          <w:rFonts w:ascii="Book Antiqua" w:hAnsi="Book Antiqua"/>
          <w:sz w:val="24"/>
          <w:szCs w:val="24"/>
          <w:lang w:val="es-ES"/>
        </w:rPr>
        <w:t xml:space="preserve"> </w:t>
      </w:r>
      <w:r w:rsidRPr="00654C8B">
        <w:rPr>
          <w:rFonts w:ascii="Book Antiqua" w:hAnsi="Book Antiqua"/>
          <w:sz w:val="24"/>
          <w:szCs w:val="24"/>
          <w:lang w:val="es-ES"/>
        </w:rPr>
        <w:t>Administrativo Uniforme del Gobierno de Puerto Rico”.</w:t>
      </w:r>
    </w:p>
    <w:p w14:paraId="6ACD93B4" w14:textId="0425CA72" w:rsidR="00F67F1D" w:rsidRDefault="00F67F1D" w:rsidP="009C06FA">
      <w:pPr>
        <w:pStyle w:val="Sangra2detindependiente"/>
        <w:ind w:firstLine="720"/>
        <w:jc w:val="both"/>
        <w:rPr>
          <w:rFonts w:ascii="Book Antiqua" w:hAnsi="Book Antiqua"/>
          <w:sz w:val="24"/>
          <w:szCs w:val="24"/>
          <w:lang w:val="es-ES"/>
        </w:rPr>
      </w:pPr>
      <w:r>
        <w:rPr>
          <w:rFonts w:ascii="Book Antiqua" w:hAnsi="Book Antiqua"/>
          <w:sz w:val="24"/>
          <w:szCs w:val="24"/>
          <w:lang w:val="es-ES"/>
        </w:rPr>
        <w:t>Sección 4. – Reglamentación</w:t>
      </w:r>
    </w:p>
    <w:p w14:paraId="7AAA9688" w14:textId="746A5422" w:rsidR="00F67F1D" w:rsidRDefault="00F67F1D" w:rsidP="009C06FA">
      <w:pPr>
        <w:pStyle w:val="Sangra2detindependiente"/>
        <w:ind w:firstLine="720"/>
        <w:jc w:val="both"/>
        <w:rPr>
          <w:rFonts w:ascii="Book Antiqua" w:hAnsi="Book Antiqua"/>
          <w:sz w:val="24"/>
          <w:szCs w:val="24"/>
          <w:lang w:val="es-ES"/>
        </w:rPr>
      </w:pPr>
      <w:r>
        <w:rPr>
          <w:rFonts w:ascii="Book Antiqua" w:hAnsi="Book Antiqua"/>
          <w:sz w:val="24"/>
          <w:szCs w:val="24"/>
          <w:lang w:val="es-ES"/>
        </w:rPr>
        <w:t>El Departamento de Asuntos del Consumidor tendrá</w:t>
      </w:r>
      <w:r w:rsidRPr="00F67F1D">
        <w:rPr>
          <w:rFonts w:ascii="Book Antiqua" w:hAnsi="Book Antiqua"/>
          <w:sz w:val="24"/>
          <w:szCs w:val="24"/>
          <w:lang w:val="es-ES"/>
        </w:rPr>
        <w:t xml:space="preserve"> un período de </w:t>
      </w:r>
      <w:r>
        <w:rPr>
          <w:rFonts w:ascii="Book Antiqua" w:hAnsi="Book Antiqua"/>
          <w:sz w:val="24"/>
          <w:szCs w:val="24"/>
          <w:lang w:val="es-ES"/>
        </w:rPr>
        <w:t>sesenta</w:t>
      </w:r>
      <w:r w:rsidRPr="00F67F1D">
        <w:rPr>
          <w:rFonts w:ascii="Book Antiqua" w:hAnsi="Book Antiqua"/>
          <w:sz w:val="24"/>
          <w:szCs w:val="24"/>
          <w:lang w:val="es-ES"/>
        </w:rPr>
        <w:t xml:space="preserve"> (</w:t>
      </w:r>
      <w:r>
        <w:rPr>
          <w:rFonts w:ascii="Book Antiqua" w:hAnsi="Book Antiqua"/>
          <w:sz w:val="24"/>
          <w:szCs w:val="24"/>
          <w:lang w:val="es-ES"/>
        </w:rPr>
        <w:t>6</w:t>
      </w:r>
      <w:r w:rsidRPr="00F67F1D">
        <w:rPr>
          <w:rFonts w:ascii="Book Antiqua" w:hAnsi="Book Antiqua"/>
          <w:sz w:val="24"/>
          <w:szCs w:val="24"/>
          <w:lang w:val="es-ES"/>
        </w:rPr>
        <w:t>0) días a partir de la vigencia de esta Ley</w:t>
      </w:r>
      <w:r>
        <w:rPr>
          <w:rFonts w:ascii="Book Antiqua" w:hAnsi="Book Antiqua"/>
          <w:sz w:val="24"/>
          <w:szCs w:val="24"/>
          <w:lang w:val="es-ES"/>
        </w:rPr>
        <w:t xml:space="preserve"> para adoptar</w:t>
      </w:r>
      <w:r w:rsidRPr="00F67F1D">
        <w:rPr>
          <w:rFonts w:ascii="Book Antiqua" w:hAnsi="Book Antiqua"/>
          <w:sz w:val="24"/>
          <w:szCs w:val="24"/>
          <w:lang w:val="es-ES"/>
        </w:rPr>
        <w:t xml:space="preserve"> un reglamento que rija las disposiciones aquí esbozadas</w:t>
      </w:r>
      <w:r>
        <w:rPr>
          <w:rFonts w:ascii="Book Antiqua" w:hAnsi="Book Antiqua"/>
          <w:sz w:val="24"/>
          <w:szCs w:val="24"/>
          <w:lang w:val="es-ES"/>
        </w:rPr>
        <w:t xml:space="preserve">. </w:t>
      </w:r>
    </w:p>
    <w:p w14:paraId="176075E9" w14:textId="43329076" w:rsidR="002B7F3E" w:rsidRPr="00234435" w:rsidRDefault="0028416C" w:rsidP="009C06FA">
      <w:pPr>
        <w:pStyle w:val="Sangra2detindependiente"/>
        <w:ind w:firstLine="720"/>
        <w:jc w:val="both"/>
        <w:rPr>
          <w:rFonts w:ascii="Book Antiqua" w:hAnsi="Book Antiqua"/>
          <w:sz w:val="24"/>
          <w:szCs w:val="24"/>
          <w:lang w:val="es-ES"/>
        </w:rPr>
      </w:pPr>
      <w:r w:rsidRPr="00234435">
        <w:rPr>
          <w:rFonts w:ascii="Book Antiqua" w:hAnsi="Book Antiqua"/>
          <w:sz w:val="24"/>
          <w:szCs w:val="24"/>
          <w:lang w:val="es-ES"/>
        </w:rPr>
        <w:t>Sección</w:t>
      </w:r>
      <w:r w:rsidR="009C06FA" w:rsidRPr="00234435">
        <w:rPr>
          <w:rFonts w:ascii="Book Antiqua" w:hAnsi="Book Antiqua"/>
          <w:sz w:val="24"/>
          <w:szCs w:val="24"/>
          <w:lang w:val="es-ES"/>
        </w:rPr>
        <w:t xml:space="preserve"> </w:t>
      </w:r>
      <w:r w:rsidR="00AA4247">
        <w:rPr>
          <w:rFonts w:ascii="Book Antiqua" w:hAnsi="Book Antiqua"/>
          <w:sz w:val="24"/>
          <w:szCs w:val="24"/>
          <w:lang w:val="es-ES"/>
        </w:rPr>
        <w:t>5</w:t>
      </w:r>
      <w:r w:rsidR="009C06FA" w:rsidRPr="00234435">
        <w:rPr>
          <w:rFonts w:ascii="Book Antiqua" w:hAnsi="Book Antiqua"/>
          <w:sz w:val="24"/>
          <w:szCs w:val="24"/>
          <w:lang w:val="es-ES"/>
        </w:rPr>
        <w:t xml:space="preserve">.- Cláusula de Separabilidad. </w:t>
      </w:r>
    </w:p>
    <w:p w14:paraId="46013821" w14:textId="45277FD9" w:rsidR="009C06FA" w:rsidRPr="00234435" w:rsidRDefault="009C06FA" w:rsidP="009C06FA">
      <w:pPr>
        <w:pStyle w:val="Sangra2detindependiente"/>
        <w:ind w:firstLine="720"/>
        <w:jc w:val="both"/>
        <w:rPr>
          <w:rFonts w:ascii="Book Antiqua" w:hAnsi="Book Antiqua"/>
          <w:sz w:val="24"/>
          <w:szCs w:val="24"/>
          <w:lang w:val="es-ES"/>
        </w:rPr>
      </w:pPr>
      <w:r w:rsidRPr="00234435">
        <w:rPr>
          <w:rFonts w:ascii="Book Antiqua" w:hAnsi="Book Antiqua"/>
          <w:sz w:val="24"/>
          <w:szCs w:val="24"/>
          <w:lang w:val="es-ES"/>
        </w:rPr>
        <w:lastRenderedPageBreak/>
        <w:t>Si alguna parte de esta Ley fuera declarada inconstitucional, no invalidará las demás disposiciones.</w:t>
      </w:r>
    </w:p>
    <w:p w14:paraId="261AB125" w14:textId="181FA11B" w:rsidR="00277132" w:rsidRPr="00234435" w:rsidRDefault="0028416C" w:rsidP="009C06FA">
      <w:pPr>
        <w:pStyle w:val="Sangra2detindependiente"/>
        <w:ind w:firstLine="720"/>
        <w:jc w:val="both"/>
        <w:rPr>
          <w:rFonts w:ascii="Book Antiqua" w:hAnsi="Book Antiqua"/>
          <w:sz w:val="24"/>
          <w:szCs w:val="24"/>
          <w:lang w:val="es-ES"/>
        </w:rPr>
      </w:pPr>
      <w:r w:rsidRPr="00234435">
        <w:rPr>
          <w:rFonts w:ascii="Book Antiqua" w:hAnsi="Book Antiqua"/>
          <w:sz w:val="24"/>
          <w:szCs w:val="24"/>
          <w:lang w:val="es-ES"/>
        </w:rPr>
        <w:t>Sección</w:t>
      </w:r>
      <w:r w:rsidR="009C06FA" w:rsidRPr="00234435">
        <w:rPr>
          <w:rFonts w:ascii="Book Antiqua" w:hAnsi="Book Antiqua"/>
          <w:sz w:val="24"/>
          <w:szCs w:val="24"/>
          <w:lang w:val="es-ES"/>
        </w:rPr>
        <w:t xml:space="preserve"> </w:t>
      </w:r>
      <w:r w:rsidR="00AA4247">
        <w:rPr>
          <w:rFonts w:ascii="Book Antiqua" w:hAnsi="Book Antiqua"/>
          <w:sz w:val="24"/>
          <w:szCs w:val="24"/>
          <w:lang w:val="es-ES"/>
        </w:rPr>
        <w:t>6</w:t>
      </w:r>
      <w:r w:rsidR="009C06FA" w:rsidRPr="00234435">
        <w:rPr>
          <w:rFonts w:ascii="Book Antiqua" w:hAnsi="Book Antiqua"/>
          <w:sz w:val="24"/>
          <w:szCs w:val="24"/>
          <w:lang w:val="es-ES"/>
        </w:rPr>
        <w:t xml:space="preserve">.- Vigencia. </w:t>
      </w:r>
    </w:p>
    <w:p w14:paraId="3499D218" w14:textId="6515E2CD" w:rsidR="00FA67AD" w:rsidRPr="00234435" w:rsidRDefault="002B7F3E" w:rsidP="002B7F3E">
      <w:pPr>
        <w:pStyle w:val="Sangra2detindependiente"/>
        <w:ind w:firstLine="360"/>
        <w:jc w:val="both"/>
        <w:rPr>
          <w:rFonts w:ascii="Book Antiqua" w:hAnsi="Book Antiqua"/>
          <w:sz w:val="24"/>
          <w:szCs w:val="24"/>
          <w:lang w:val="es-ES"/>
        </w:rPr>
      </w:pPr>
      <w:r w:rsidRPr="00234435">
        <w:rPr>
          <w:rFonts w:ascii="Book Antiqua" w:hAnsi="Book Antiqua"/>
          <w:sz w:val="24"/>
          <w:szCs w:val="24"/>
          <w:lang w:val="es-ES"/>
        </w:rPr>
        <w:t>Esta Ley entrará en vigor inmediatamente después de su aprobación.</w:t>
      </w:r>
    </w:p>
    <w:sectPr w:rsidR="00FA67AD" w:rsidRPr="00234435" w:rsidSect="00BB2D32">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9954B" w14:textId="77777777" w:rsidR="000D4CF2" w:rsidRDefault="000D4CF2">
      <w:r>
        <w:separator/>
      </w:r>
    </w:p>
  </w:endnote>
  <w:endnote w:type="continuationSeparator" w:id="0">
    <w:p w14:paraId="7BC4F305" w14:textId="77777777" w:rsidR="000D4CF2" w:rsidRDefault="000D4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B556F" w14:textId="77777777" w:rsidR="000D4CF2" w:rsidRDefault="000D4CF2">
      <w:r>
        <w:separator/>
      </w:r>
    </w:p>
  </w:footnote>
  <w:footnote w:type="continuationSeparator" w:id="0">
    <w:p w14:paraId="4041D552" w14:textId="77777777" w:rsidR="000D4CF2" w:rsidRDefault="000D4C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1A3F5" w14:textId="77777777" w:rsidR="003843AC" w:rsidRDefault="003843A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9BE344" w14:textId="77777777" w:rsidR="003843AC" w:rsidRDefault="003843A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25173" w14:textId="77777777" w:rsidR="003843AC" w:rsidRDefault="003843A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11F9E">
      <w:rPr>
        <w:rStyle w:val="Nmerodepgina"/>
        <w:noProof/>
      </w:rPr>
      <w:t>2</w:t>
    </w:r>
    <w:r>
      <w:rPr>
        <w:rStyle w:val="Nmerodepgina"/>
      </w:rPr>
      <w:fldChar w:fldCharType="end"/>
    </w:r>
  </w:p>
  <w:p w14:paraId="057B8D09" w14:textId="77777777" w:rsidR="003843AC" w:rsidRDefault="003843A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A3FBB" w14:textId="77777777" w:rsidR="003843AC" w:rsidRDefault="003843A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A4BC4DF" w14:textId="77777777" w:rsidR="003843AC" w:rsidRDefault="003843A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A3D46" w14:textId="77777777" w:rsidR="003843AC" w:rsidRDefault="003843A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11F9E">
      <w:rPr>
        <w:rStyle w:val="Nmerodepgina"/>
        <w:noProof/>
      </w:rPr>
      <w:t>7</w:t>
    </w:r>
    <w:r>
      <w:rPr>
        <w:rStyle w:val="Nmerodepgina"/>
      </w:rPr>
      <w:fldChar w:fldCharType="end"/>
    </w:r>
  </w:p>
  <w:p w14:paraId="275D7F26" w14:textId="6059A328" w:rsidR="003843AC" w:rsidRDefault="00673C93">
    <w:pPr>
      <w:widowControl/>
    </w:pPr>
    <w:r>
      <w:rPr>
        <w:noProof/>
      </w:rPr>
      <mc:AlternateContent>
        <mc:Choice Requires="wps">
          <w:drawing>
            <wp:anchor distT="0" distB="0" distL="114300" distR="114300" simplePos="0" relativeHeight="251657728" behindDoc="0" locked="0" layoutInCell="0" allowOverlap="1" wp14:anchorId="6A9CF1E7" wp14:editId="35E2FEE7">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F92B7F" w14:textId="77777777" w:rsidR="003843AC" w:rsidRDefault="003843AC">
                          <w:pPr>
                            <w:widowControl/>
                            <w:rPr>
                              <w:sz w:val="24"/>
                            </w:rPr>
                          </w:pPr>
                        </w:p>
                        <w:p w14:paraId="6F067549" w14:textId="77777777" w:rsidR="003843AC" w:rsidRDefault="003843AC">
                          <w:pPr>
                            <w:widowControl/>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9CF1E7"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21F92B7F" w14:textId="77777777" w:rsidR="003843AC" w:rsidRDefault="003843AC">
                    <w:pPr>
                      <w:widowControl/>
                      <w:rPr>
                        <w:sz w:val="24"/>
                      </w:rPr>
                    </w:pPr>
                  </w:p>
                  <w:p w14:paraId="6F067549" w14:textId="77777777" w:rsidR="003843AC" w:rsidRDefault="003843AC">
                    <w:pPr>
                      <w:widowControl/>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51F3"/>
    <w:multiLevelType w:val="hybridMultilevel"/>
    <w:tmpl w:val="8D3A5774"/>
    <w:lvl w:ilvl="0" w:tplc="7E1A20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32142E2"/>
    <w:multiLevelType w:val="hybridMultilevel"/>
    <w:tmpl w:val="5840150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7DD17F8E"/>
    <w:multiLevelType w:val="hybridMultilevel"/>
    <w:tmpl w:val="D758D678"/>
    <w:lvl w:ilvl="0" w:tplc="4EB27F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8154463">
    <w:abstractNumId w:val="1"/>
  </w:num>
  <w:num w:numId="2" w16cid:durableId="454448339">
    <w:abstractNumId w:val="2"/>
  </w:num>
  <w:num w:numId="3" w16cid:durableId="1839616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3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8AB"/>
    <w:rsid w:val="00006AC4"/>
    <w:rsid w:val="00012440"/>
    <w:rsid w:val="00013508"/>
    <w:rsid w:val="000274F4"/>
    <w:rsid w:val="00046683"/>
    <w:rsid w:val="00051FAB"/>
    <w:rsid w:val="00063004"/>
    <w:rsid w:val="00065852"/>
    <w:rsid w:val="00084AD4"/>
    <w:rsid w:val="00085207"/>
    <w:rsid w:val="00090E66"/>
    <w:rsid w:val="000929E4"/>
    <w:rsid w:val="00095A8F"/>
    <w:rsid w:val="000A039C"/>
    <w:rsid w:val="000A4092"/>
    <w:rsid w:val="000A50E7"/>
    <w:rsid w:val="000A589A"/>
    <w:rsid w:val="000A5F5D"/>
    <w:rsid w:val="000A7242"/>
    <w:rsid w:val="000B1061"/>
    <w:rsid w:val="000B28D3"/>
    <w:rsid w:val="000B5FE3"/>
    <w:rsid w:val="000B78C4"/>
    <w:rsid w:val="000C1AC1"/>
    <w:rsid w:val="000D2AF4"/>
    <w:rsid w:val="000D4CF2"/>
    <w:rsid w:val="000F5E37"/>
    <w:rsid w:val="00106732"/>
    <w:rsid w:val="00124F63"/>
    <w:rsid w:val="001436A4"/>
    <w:rsid w:val="00146E6D"/>
    <w:rsid w:val="00155D63"/>
    <w:rsid w:val="00174D3E"/>
    <w:rsid w:val="00184377"/>
    <w:rsid w:val="00187D7B"/>
    <w:rsid w:val="00196EB0"/>
    <w:rsid w:val="001A0B1C"/>
    <w:rsid w:val="001A0F94"/>
    <w:rsid w:val="001A1640"/>
    <w:rsid w:val="001A5A1C"/>
    <w:rsid w:val="001B2B24"/>
    <w:rsid w:val="001C259C"/>
    <w:rsid w:val="001C3F21"/>
    <w:rsid w:val="001D56A3"/>
    <w:rsid w:val="001D6816"/>
    <w:rsid w:val="001E3D56"/>
    <w:rsid w:val="001E4227"/>
    <w:rsid w:val="001F2AD3"/>
    <w:rsid w:val="001F64FE"/>
    <w:rsid w:val="002319DE"/>
    <w:rsid w:val="00234435"/>
    <w:rsid w:val="002375C2"/>
    <w:rsid w:val="00247A66"/>
    <w:rsid w:val="00271748"/>
    <w:rsid w:val="00271F02"/>
    <w:rsid w:val="0027539D"/>
    <w:rsid w:val="00277132"/>
    <w:rsid w:val="00281443"/>
    <w:rsid w:val="0028416C"/>
    <w:rsid w:val="002844B3"/>
    <w:rsid w:val="0028642B"/>
    <w:rsid w:val="002B7F3E"/>
    <w:rsid w:val="002D75CA"/>
    <w:rsid w:val="002F21ED"/>
    <w:rsid w:val="00312DC6"/>
    <w:rsid w:val="003143E0"/>
    <w:rsid w:val="00336809"/>
    <w:rsid w:val="00356717"/>
    <w:rsid w:val="00356EDF"/>
    <w:rsid w:val="0036636E"/>
    <w:rsid w:val="003676C0"/>
    <w:rsid w:val="003843AC"/>
    <w:rsid w:val="00387011"/>
    <w:rsid w:val="003A3CFA"/>
    <w:rsid w:val="003D299D"/>
    <w:rsid w:val="003D3ED0"/>
    <w:rsid w:val="003E44AE"/>
    <w:rsid w:val="003E614D"/>
    <w:rsid w:val="003E63B3"/>
    <w:rsid w:val="003F4FF9"/>
    <w:rsid w:val="003F530A"/>
    <w:rsid w:val="00423E55"/>
    <w:rsid w:val="00450884"/>
    <w:rsid w:val="004532F2"/>
    <w:rsid w:val="00461212"/>
    <w:rsid w:val="00471D9F"/>
    <w:rsid w:val="00483627"/>
    <w:rsid w:val="0049211E"/>
    <w:rsid w:val="00492F3D"/>
    <w:rsid w:val="004A4E16"/>
    <w:rsid w:val="004A7A6D"/>
    <w:rsid w:val="004B1CD0"/>
    <w:rsid w:val="004B3913"/>
    <w:rsid w:val="004C169A"/>
    <w:rsid w:val="004C6B37"/>
    <w:rsid w:val="004D0902"/>
    <w:rsid w:val="004D1BD8"/>
    <w:rsid w:val="004D67E5"/>
    <w:rsid w:val="004F2541"/>
    <w:rsid w:val="004F7B17"/>
    <w:rsid w:val="00506AD5"/>
    <w:rsid w:val="00511B28"/>
    <w:rsid w:val="00536BBF"/>
    <w:rsid w:val="00542FD6"/>
    <w:rsid w:val="005454D5"/>
    <w:rsid w:val="005537D6"/>
    <w:rsid w:val="00564B76"/>
    <w:rsid w:val="00572133"/>
    <w:rsid w:val="005732CF"/>
    <w:rsid w:val="00575820"/>
    <w:rsid w:val="005A27CB"/>
    <w:rsid w:val="005C361E"/>
    <w:rsid w:val="005C7614"/>
    <w:rsid w:val="005D34A1"/>
    <w:rsid w:val="005E68A8"/>
    <w:rsid w:val="006110C4"/>
    <w:rsid w:val="006128E7"/>
    <w:rsid w:val="006244EA"/>
    <w:rsid w:val="00627B2A"/>
    <w:rsid w:val="006319DB"/>
    <w:rsid w:val="00654C8B"/>
    <w:rsid w:val="006556B9"/>
    <w:rsid w:val="00673C93"/>
    <w:rsid w:val="0067433B"/>
    <w:rsid w:val="00696BCE"/>
    <w:rsid w:val="006A0E70"/>
    <w:rsid w:val="006A1550"/>
    <w:rsid w:val="006A2DAF"/>
    <w:rsid w:val="006A3972"/>
    <w:rsid w:val="006B0589"/>
    <w:rsid w:val="006B600A"/>
    <w:rsid w:val="006E4CAD"/>
    <w:rsid w:val="006F3779"/>
    <w:rsid w:val="00700BEC"/>
    <w:rsid w:val="00705703"/>
    <w:rsid w:val="00715F04"/>
    <w:rsid w:val="007235BE"/>
    <w:rsid w:val="00724158"/>
    <w:rsid w:val="00744C80"/>
    <w:rsid w:val="00757A62"/>
    <w:rsid w:val="007725D4"/>
    <w:rsid w:val="007867E1"/>
    <w:rsid w:val="007A274E"/>
    <w:rsid w:val="007A560B"/>
    <w:rsid w:val="007B1FF7"/>
    <w:rsid w:val="007B5096"/>
    <w:rsid w:val="007C2522"/>
    <w:rsid w:val="007C4D7F"/>
    <w:rsid w:val="007D02B9"/>
    <w:rsid w:val="007D2926"/>
    <w:rsid w:val="007D2B55"/>
    <w:rsid w:val="007E2BF6"/>
    <w:rsid w:val="007E4C5B"/>
    <w:rsid w:val="00805FF9"/>
    <w:rsid w:val="0081463E"/>
    <w:rsid w:val="00840E0D"/>
    <w:rsid w:val="00840FA1"/>
    <w:rsid w:val="00852F2C"/>
    <w:rsid w:val="008578FC"/>
    <w:rsid w:val="00862BEB"/>
    <w:rsid w:val="008665D2"/>
    <w:rsid w:val="00867899"/>
    <w:rsid w:val="00867EA9"/>
    <w:rsid w:val="0087057B"/>
    <w:rsid w:val="00890027"/>
    <w:rsid w:val="00896C0D"/>
    <w:rsid w:val="00896CEF"/>
    <w:rsid w:val="00897DA9"/>
    <w:rsid w:val="008A57C2"/>
    <w:rsid w:val="008A61FD"/>
    <w:rsid w:val="008C4F6D"/>
    <w:rsid w:val="008D0A88"/>
    <w:rsid w:val="008D5726"/>
    <w:rsid w:val="008E502C"/>
    <w:rsid w:val="00900A97"/>
    <w:rsid w:val="0091197A"/>
    <w:rsid w:val="00911F9E"/>
    <w:rsid w:val="00916EC7"/>
    <w:rsid w:val="009209B0"/>
    <w:rsid w:val="00922655"/>
    <w:rsid w:val="009237B2"/>
    <w:rsid w:val="009272EC"/>
    <w:rsid w:val="00936644"/>
    <w:rsid w:val="00936F29"/>
    <w:rsid w:val="00961048"/>
    <w:rsid w:val="00990B26"/>
    <w:rsid w:val="009B289F"/>
    <w:rsid w:val="009C06FA"/>
    <w:rsid w:val="009D1E80"/>
    <w:rsid w:val="009E6095"/>
    <w:rsid w:val="009F3AA9"/>
    <w:rsid w:val="009F5743"/>
    <w:rsid w:val="00A03736"/>
    <w:rsid w:val="00A049F6"/>
    <w:rsid w:val="00A04F17"/>
    <w:rsid w:val="00A05456"/>
    <w:rsid w:val="00A069B7"/>
    <w:rsid w:val="00A3165B"/>
    <w:rsid w:val="00A3184D"/>
    <w:rsid w:val="00A44350"/>
    <w:rsid w:val="00A50199"/>
    <w:rsid w:val="00A50BCF"/>
    <w:rsid w:val="00A63B84"/>
    <w:rsid w:val="00A650AF"/>
    <w:rsid w:val="00A9257E"/>
    <w:rsid w:val="00A94EE4"/>
    <w:rsid w:val="00A96750"/>
    <w:rsid w:val="00A97761"/>
    <w:rsid w:val="00AA2591"/>
    <w:rsid w:val="00AA4247"/>
    <w:rsid w:val="00AE43A4"/>
    <w:rsid w:val="00AF273A"/>
    <w:rsid w:val="00B04451"/>
    <w:rsid w:val="00B12CDA"/>
    <w:rsid w:val="00B145A5"/>
    <w:rsid w:val="00B24AB1"/>
    <w:rsid w:val="00B3446E"/>
    <w:rsid w:val="00B43649"/>
    <w:rsid w:val="00B50F72"/>
    <w:rsid w:val="00B719AE"/>
    <w:rsid w:val="00B77FF1"/>
    <w:rsid w:val="00B80109"/>
    <w:rsid w:val="00B84510"/>
    <w:rsid w:val="00B90C3F"/>
    <w:rsid w:val="00B94A16"/>
    <w:rsid w:val="00BB0AE7"/>
    <w:rsid w:val="00BB28F3"/>
    <w:rsid w:val="00BB2D32"/>
    <w:rsid w:val="00BC0F2E"/>
    <w:rsid w:val="00BD6AF5"/>
    <w:rsid w:val="00BF015F"/>
    <w:rsid w:val="00BF05C9"/>
    <w:rsid w:val="00BF542E"/>
    <w:rsid w:val="00C164CA"/>
    <w:rsid w:val="00C23B64"/>
    <w:rsid w:val="00C27AD3"/>
    <w:rsid w:val="00C3255C"/>
    <w:rsid w:val="00C3527C"/>
    <w:rsid w:val="00C36EF7"/>
    <w:rsid w:val="00C41970"/>
    <w:rsid w:val="00C42A3B"/>
    <w:rsid w:val="00C63D31"/>
    <w:rsid w:val="00C678AB"/>
    <w:rsid w:val="00C82454"/>
    <w:rsid w:val="00CA4682"/>
    <w:rsid w:val="00CA7955"/>
    <w:rsid w:val="00CB1DC8"/>
    <w:rsid w:val="00CB616A"/>
    <w:rsid w:val="00CC7366"/>
    <w:rsid w:val="00CD3C85"/>
    <w:rsid w:val="00CF0593"/>
    <w:rsid w:val="00CF0C7C"/>
    <w:rsid w:val="00CF5EF5"/>
    <w:rsid w:val="00CF61EA"/>
    <w:rsid w:val="00D00DD0"/>
    <w:rsid w:val="00D01701"/>
    <w:rsid w:val="00D05F30"/>
    <w:rsid w:val="00D54698"/>
    <w:rsid w:val="00D5488F"/>
    <w:rsid w:val="00D556C2"/>
    <w:rsid w:val="00D669D9"/>
    <w:rsid w:val="00D7242F"/>
    <w:rsid w:val="00DA0D90"/>
    <w:rsid w:val="00DA3873"/>
    <w:rsid w:val="00DB4E75"/>
    <w:rsid w:val="00DC26D0"/>
    <w:rsid w:val="00DC3265"/>
    <w:rsid w:val="00DC4219"/>
    <w:rsid w:val="00DE7F05"/>
    <w:rsid w:val="00DF57B6"/>
    <w:rsid w:val="00E02E31"/>
    <w:rsid w:val="00E23D61"/>
    <w:rsid w:val="00E25D2B"/>
    <w:rsid w:val="00E37A6C"/>
    <w:rsid w:val="00E564E6"/>
    <w:rsid w:val="00E57784"/>
    <w:rsid w:val="00E57FE0"/>
    <w:rsid w:val="00E60811"/>
    <w:rsid w:val="00E713DA"/>
    <w:rsid w:val="00E766AE"/>
    <w:rsid w:val="00E961C9"/>
    <w:rsid w:val="00EA50A8"/>
    <w:rsid w:val="00EA7C1B"/>
    <w:rsid w:val="00EB49EF"/>
    <w:rsid w:val="00EB5AF8"/>
    <w:rsid w:val="00EB7AD7"/>
    <w:rsid w:val="00EC1E85"/>
    <w:rsid w:val="00ED6934"/>
    <w:rsid w:val="00EF5E38"/>
    <w:rsid w:val="00F00DB1"/>
    <w:rsid w:val="00F2793F"/>
    <w:rsid w:val="00F403AF"/>
    <w:rsid w:val="00F479D4"/>
    <w:rsid w:val="00F535AA"/>
    <w:rsid w:val="00F60102"/>
    <w:rsid w:val="00F62E29"/>
    <w:rsid w:val="00F658AF"/>
    <w:rsid w:val="00F67F1D"/>
    <w:rsid w:val="00F85F88"/>
    <w:rsid w:val="00F85FFD"/>
    <w:rsid w:val="00FA1DC8"/>
    <w:rsid w:val="00FA67AD"/>
    <w:rsid w:val="00FC41FB"/>
    <w:rsid w:val="00FD0B90"/>
    <w:rsid w:val="00FD28F5"/>
    <w:rsid w:val="00FD591E"/>
    <w:rsid w:val="00FD5AFB"/>
    <w:rsid w:val="00FF5282"/>
    <w:rsid w:val="00FF7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51C705"/>
  <w15:chartTrackingRefBased/>
  <w15:docId w15:val="{A1B44E14-35D4-4329-AD4D-D3F086D9D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78FC"/>
    <w:pPr>
      <w:widowControl w:val="0"/>
    </w:pPr>
  </w:style>
  <w:style w:type="paragraph" w:styleId="Ttulo1">
    <w:name w:val="heading 1"/>
    <w:basedOn w:val="Normal"/>
    <w:next w:val="Normal"/>
    <w:link w:val="Ttulo1Car"/>
    <w:uiPriority w:val="9"/>
    <w:qFormat/>
    <w:rsid w:val="00E57784"/>
    <w:pPr>
      <w:spacing w:line="180" w:lineRule="auto"/>
      <w:jc w:val="center"/>
      <w:outlineLvl w:val="0"/>
    </w:pPr>
    <w:rPr>
      <w:b/>
      <w:i/>
      <w:sz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0305FD"/>
    <w:rPr>
      <w:rFonts w:ascii="Cambria" w:eastAsia="Times New Roman" w:hAnsi="Cambria" w:cs="Times New Roman"/>
      <w:b/>
      <w:bCs/>
      <w:kern w:val="32"/>
      <w:sz w:val="32"/>
      <w:szCs w:val="32"/>
    </w:rPr>
  </w:style>
  <w:style w:type="paragraph" w:customStyle="1" w:styleId="level1">
    <w:name w:val="_leve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el2">
    <w:name w:val="_leve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el3">
    <w:name w:val="_leve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el4">
    <w:name w:val="_leve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el5">
    <w:name w:val="_leve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el6">
    <w:name w:val="_leve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el7">
    <w:name w:val="_leve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el8">
    <w:name w:val="_leve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el9">
    <w:name w:val="_leve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sl1">
    <w:name w:val="_levs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sl2">
    <w:name w:val="_levs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sl3">
    <w:name w:val="_levs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sl4">
    <w:name w:val="_levs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sl5">
    <w:name w:val="_levs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sl6">
    <w:name w:val="_levs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sl7">
    <w:name w:val="_levs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sl8">
    <w:name w:val="_levs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sl9">
    <w:name w:val="_levs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nl1">
    <w:name w:val="_levn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nl2">
    <w:name w:val="_levn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nl3">
    <w:name w:val="_levn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nl4">
    <w:name w:val="_levn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nl5">
    <w:name w:val="_levn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nl6">
    <w:name w:val="_levn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nl7">
    <w:name w:val="_levn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nl8">
    <w:name w:val="_levn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nl9">
    <w:name w:val="_levn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character" w:customStyle="1" w:styleId="DefaultPara">
    <w:name w:val="Default Para"/>
    <w:rsid w:val="00E57784"/>
  </w:style>
  <w:style w:type="character" w:customStyle="1" w:styleId="FootnoteRef">
    <w:name w:val="Footnote Ref"/>
    <w:rsid w:val="00E57784"/>
  </w:style>
  <w:style w:type="paragraph" w:styleId="Encabezado">
    <w:name w:val="header"/>
    <w:basedOn w:val="Normal"/>
    <w:link w:val="EncabezadoCar"/>
    <w:uiPriority w:val="99"/>
    <w:rsid w:val="00E57784"/>
    <w:pPr>
      <w:tabs>
        <w:tab w:val="left" w:pos="0"/>
        <w:tab w:val="center" w:pos="4320"/>
        <w:tab w:val="right" w:pos="8640"/>
        <w:tab w:val="left" w:pos="9360"/>
      </w:tabs>
      <w:jc w:val="both"/>
    </w:pPr>
    <w:rPr>
      <w:sz w:val="24"/>
    </w:rPr>
  </w:style>
  <w:style w:type="character" w:customStyle="1" w:styleId="EncabezadoCar">
    <w:name w:val="Encabezado Car"/>
    <w:basedOn w:val="Fuentedeprrafopredeter"/>
    <w:link w:val="Encabezado"/>
    <w:uiPriority w:val="99"/>
    <w:semiHidden/>
    <w:rsid w:val="000305FD"/>
  </w:style>
  <w:style w:type="character" w:styleId="Nmerodepgina">
    <w:name w:val="page number"/>
    <w:uiPriority w:val="99"/>
    <w:rsid w:val="00E57784"/>
    <w:rPr>
      <w:rFonts w:cs="Times New Roman"/>
    </w:rPr>
  </w:style>
  <w:style w:type="paragraph" w:customStyle="1" w:styleId="BodyTextI2">
    <w:name w:val="Body Text I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jc w:val="both"/>
    </w:pPr>
    <w:rPr>
      <w:sz w:val="28"/>
    </w:rPr>
  </w:style>
  <w:style w:type="paragraph" w:styleId="Ttulo">
    <w:name w:val="Title"/>
    <w:basedOn w:val="Normal"/>
    <w:link w:val="TtuloCar"/>
    <w:uiPriority w:val="10"/>
    <w:qFormat/>
    <w:rsid w:val="00E57784"/>
    <w:pPr>
      <w:jc w:val="center"/>
    </w:pPr>
    <w:rPr>
      <w:noProof/>
      <w:sz w:val="32"/>
    </w:rPr>
  </w:style>
  <w:style w:type="character" w:customStyle="1" w:styleId="TtuloCar">
    <w:name w:val="Título Car"/>
    <w:link w:val="Ttulo"/>
    <w:uiPriority w:val="10"/>
    <w:rsid w:val="000305FD"/>
    <w:rPr>
      <w:rFonts w:ascii="Cambria" w:eastAsia="Times New Roman" w:hAnsi="Cambria" w:cs="Times New Roman"/>
      <w:b/>
      <w:bCs/>
      <w:kern w:val="28"/>
      <w:sz w:val="32"/>
      <w:szCs w:val="32"/>
    </w:rPr>
  </w:style>
  <w:style w:type="paragraph" w:styleId="Piedepgina">
    <w:name w:val="footer"/>
    <w:basedOn w:val="Normal"/>
    <w:link w:val="PiedepginaCar"/>
    <w:uiPriority w:val="99"/>
    <w:rsid w:val="00E57784"/>
    <w:pPr>
      <w:tabs>
        <w:tab w:val="center" w:pos="4320"/>
        <w:tab w:val="right" w:pos="8640"/>
        <w:tab w:val="right" w:pos="9360"/>
      </w:tabs>
      <w:jc w:val="both"/>
    </w:pPr>
    <w:rPr>
      <w:sz w:val="24"/>
    </w:rPr>
  </w:style>
  <w:style w:type="character" w:customStyle="1" w:styleId="PiedepginaCar">
    <w:name w:val="Pie de página Car"/>
    <w:basedOn w:val="Fuentedeprrafopredeter"/>
    <w:link w:val="Piedepgina"/>
    <w:uiPriority w:val="99"/>
    <w:semiHidden/>
    <w:rsid w:val="000305FD"/>
  </w:style>
  <w:style w:type="paragraph" w:customStyle="1" w:styleId="BodyTextI1">
    <w:name w:val="Body Text I1"/>
    <w:rsid w:val="00E57784"/>
    <w:pPr>
      <w:widowControl w:val="0"/>
      <w:tabs>
        <w:tab w:val="left" w:pos="-1008"/>
        <w:tab w:val="left" w:pos="-288"/>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right" w:pos="9360"/>
      </w:tabs>
      <w:spacing w:line="480" w:lineRule="auto"/>
      <w:ind w:firstLine="1152"/>
      <w:jc w:val="both"/>
    </w:pPr>
    <w:rPr>
      <w:sz w:val="24"/>
    </w:rPr>
  </w:style>
  <w:style w:type="paragraph" w:customStyle="1" w:styleId="BodyTextIn">
    <w:name w:val="Body Text In"/>
    <w:rsid w:val="00E57784"/>
    <w:pPr>
      <w:widowControl w:val="0"/>
      <w:tabs>
        <w:tab w:val="left" w:pos="-1008"/>
        <w:tab w:val="left" w:pos="-288"/>
        <w:tab w:val="left" w:pos="720"/>
        <w:tab w:val="left" w:pos="990"/>
        <w:tab w:val="left" w:pos="2592"/>
        <w:tab w:val="left" w:pos="3312"/>
        <w:tab w:val="left" w:pos="4032"/>
        <w:tab w:val="left" w:pos="4752"/>
        <w:tab w:val="left" w:pos="5472"/>
        <w:tab w:val="left" w:pos="6192"/>
        <w:tab w:val="left" w:pos="7632"/>
        <w:tab w:val="left" w:pos="8352"/>
        <w:tab w:val="left" w:pos="9072"/>
        <w:tab w:val="right" w:pos="9360"/>
      </w:tabs>
      <w:spacing w:line="480" w:lineRule="auto"/>
      <w:ind w:left="-90" w:firstLine="810"/>
      <w:jc w:val="both"/>
    </w:pPr>
    <w:rPr>
      <w:sz w:val="24"/>
    </w:rPr>
  </w:style>
  <w:style w:type="paragraph" w:styleId="Textoindependiente">
    <w:name w:val="Body Text"/>
    <w:basedOn w:val="Normal"/>
    <w:link w:val="TextoindependienteCar"/>
    <w:uiPriority w:val="99"/>
    <w:rsid w:val="00E5778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jc w:val="both"/>
    </w:pPr>
    <w:rPr>
      <w:sz w:val="24"/>
    </w:rPr>
  </w:style>
  <w:style w:type="character" w:customStyle="1" w:styleId="TextoindependienteCar">
    <w:name w:val="Texto independiente Car"/>
    <w:basedOn w:val="Fuentedeprrafopredeter"/>
    <w:link w:val="Textoindependiente"/>
    <w:uiPriority w:val="99"/>
    <w:semiHidden/>
    <w:rsid w:val="000305FD"/>
  </w:style>
  <w:style w:type="character" w:styleId="Nmerodelnea">
    <w:name w:val="line number"/>
    <w:uiPriority w:val="99"/>
    <w:rsid w:val="00A03736"/>
    <w:rPr>
      <w:rFonts w:cs="Times New Roman"/>
    </w:rPr>
  </w:style>
  <w:style w:type="paragraph" w:styleId="Sangradetextonormal">
    <w:name w:val="Body Text Indent"/>
    <w:basedOn w:val="Normal"/>
    <w:link w:val="SangradetextonormalCar"/>
    <w:uiPriority w:val="99"/>
    <w:rsid w:val="0036636E"/>
    <w:pPr>
      <w:spacing w:after="120"/>
      <w:ind w:left="360"/>
    </w:pPr>
  </w:style>
  <w:style w:type="character" w:customStyle="1" w:styleId="SangradetextonormalCar">
    <w:name w:val="Sangría de texto normal Car"/>
    <w:basedOn w:val="Fuentedeprrafopredeter"/>
    <w:link w:val="Sangradetextonormal"/>
    <w:uiPriority w:val="99"/>
    <w:semiHidden/>
    <w:rsid w:val="000305FD"/>
  </w:style>
  <w:style w:type="paragraph" w:styleId="Sangra2detindependiente">
    <w:name w:val="Body Text Indent 2"/>
    <w:basedOn w:val="Normal"/>
    <w:link w:val="Sangra2detindependienteCar"/>
    <w:uiPriority w:val="99"/>
    <w:rsid w:val="0036636E"/>
    <w:pPr>
      <w:spacing w:after="120" w:line="480" w:lineRule="auto"/>
      <w:ind w:left="360"/>
    </w:pPr>
  </w:style>
  <w:style w:type="character" w:customStyle="1" w:styleId="Sangra2detindependienteCar">
    <w:name w:val="Sangría 2 de t. independiente Car"/>
    <w:basedOn w:val="Fuentedeprrafopredeter"/>
    <w:link w:val="Sangra2detindependiente"/>
    <w:uiPriority w:val="99"/>
    <w:semiHidden/>
    <w:rsid w:val="000305FD"/>
  </w:style>
  <w:style w:type="paragraph" w:styleId="Sangra3detindependiente">
    <w:name w:val="Body Text Indent 3"/>
    <w:basedOn w:val="Normal"/>
    <w:link w:val="Sangra3detindependienteCar"/>
    <w:uiPriority w:val="99"/>
    <w:rsid w:val="0036636E"/>
    <w:pPr>
      <w:spacing w:after="120"/>
      <w:ind w:left="360"/>
    </w:pPr>
    <w:rPr>
      <w:sz w:val="16"/>
      <w:szCs w:val="16"/>
    </w:rPr>
  </w:style>
  <w:style w:type="character" w:customStyle="1" w:styleId="Sangra3detindependienteCar">
    <w:name w:val="Sangría 3 de t. independiente Car"/>
    <w:link w:val="Sangra3detindependiente"/>
    <w:uiPriority w:val="99"/>
    <w:semiHidden/>
    <w:rsid w:val="000305FD"/>
    <w:rPr>
      <w:sz w:val="16"/>
      <w:szCs w:val="16"/>
    </w:rPr>
  </w:style>
  <w:style w:type="paragraph" w:styleId="Mapadeldocumento">
    <w:name w:val="Document Map"/>
    <w:basedOn w:val="Normal"/>
    <w:link w:val="MapadeldocumentoCar"/>
    <w:uiPriority w:val="99"/>
    <w:semiHidden/>
    <w:rsid w:val="001F2AD3"/>
    <w:pPr>
      <w:shd w:val="clear" w:color="auto" w:fill="000080"/>
    </w:pPr>
    <w:rPr>
      <w:rFonts w:ascii="Tahoma" w:hAnsi="Tahoma" w:cs="Tahoma"/>
    </w:rPr>
  </w:style>
  <w:style w:type="character" w:customStyle="1" w:styleId="MapadeldocumentoCar">
    <w:name w:val="Mapa del documento Car"/>
    <w:link w:val="Mapadeldocumento"/>
    <w:uiPriority w:val="99"/>
    <w:semiHidden/>
    <w:rsid w:val="000305FD"/>
    <w:rPr>
      <w:sz w:val="0"/>
      <w:szCs w:val="0"/>
    </w:rPr>
  </w:style>
  <w:style w:type="character" w:customStyle="1" w:styleId="apple-converted-space">
    <w:name w:val="apple-converted-space"/>
    <w:rsid w:val="00063004"/>
  </w:style>
  <w:style w:type="character" w:styleId="Fuerte">
    <w:name w:val="Strong"/>
    <w:uiPriority w:val="22"/>
    <w:qFormat/>
    <w:rsid w:val="00063004"/>
    <w:rPr>
      <w:b/>
      <w:bCs/>
    </w:rPr>
  </w:style>
  <w:style w:type="paragraph" w:styleId="Textodeglobo">
    <w:name w:val="Balloon Text"/>
    <w:basedOn w:val="Normal"/>
    <w:link w:val="TextodegloboCar"/>
    <w:rsid w:val="00FF5282"/>
    <w:rPr>
      <w:rFonts w:ascii="Segoe UI" w:hAnsi="Segoe UI" w:cs="Segoe UI"/>
      <w:sz w:val="18"/>
      <w:szCs w:val="18"/>
    </w:rPr>
  </w:style>
  <w:style w:type="character" w:customStyle="1" w:styleId="TextodegloboCar">
    <w:name w:val="Texto de globo Car"/>
    <w:link w:val="Textodeglobo"/>
    <w:rsid w:val="00FF52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410899">
      <w:bodyDiv w:val="1"/>
      <w:marLeft w:val="0"/>
      <w:marRight w:val="0"/>
      <w:marTop w:val="0"/>
      <w:marBottom w:val="0"/>
      <w:divBdr>
        <w:top w:val="none" w:sz="0" w:space="0" w:color="auto"/>
        <w:left w:val="none" w:sz="0" w:space="0" w:color="auto"/>
        <w:bottom w:val="none" w:sz="0" w:space="0" w:color="auto"/>
        <w:right w:val="none" w:sz="0" w:space="0" w:color="auto"/>
      </w:divBdr>
    </w:div>
    <w:div w:id="20249384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1268</Words>
  <Characters>7230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VOrtiz</dc:creator>
  <cp:keywords/>
  <dc:description/>
  <cp:lastModifiedBy>Rocío Alayón Morell</cp:lastModifiedBy>
  <cp:revision>5</cp:revision>
  <cp:lastPrinted>2019-04-25T14:23:00Z</cp:lastPrinted>
  <dcterms:created xsi:type="dcterms:W3CDTF">2026-04-27T20:05:00Z</dcterms:created>
  <dcterms:modified xsi:type="dcterms:W3CDTF">2026-04-28T15:35:00Z</dcterms:modified>
</cp:coreProperties>
</file>