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0C09" w14:textId="49EE7769" w:rsidR="00FF6BD2" w:rsidRPr="004F6F8E" w:rsidRDefault="00854B10" w:rsidP="00F13533">
      <w:pPr>
        <w:jc w:val="center"/>
        <w:rPr>
          <w:rFonts w:ascii="Book Antiqua" w:hAnsi="Book Antiqua"/>
          <w:sz w:val="28"/>
          <w:lang w:val="es-ES_tradnl"/>
        </w:rPr>
      </w:pPr>
      <w:r>
        <w:rPr>
          <w:rFonts w:ascii="Book Antiqua" w:hAnsi="Book Antiqua"/>
          <w:sz w:val="28"/>
          <w:lang w:val="es-ES_tradnl"/>
        </w:rPr>
        <w:t>GOBIERN</w:t>
      </w:r>
      <w:r w:rsidR="00F13533" w:rsidRPr="004F6F8E">
        <w:rPr>
          <w:rFonts w:ascii="Book Antiqua" w:hAnsi="Book Antiqua"/>
          <w:sz w:val="28"/>
          <w:lang w:val="es-ES_tradnl"/>
        </w:rPr>
        <w:t>O DE PUERTO RICO</w:t>
      </w:r>
    </w:p>
    <w:p w14:paraId="74FEB7F1" w14:textId="77777777" w:rsidR="00F13533" w:rsidRPr="004F6F8E" w:rsidRDefault="00F13533" w:rsidP="00F13533">
      <w:pPr>
        <w:jc w:val="center"/>
        <w:rPr>
          <w:rFonts w:ascii="Book Antiqua" w:hAnsi="Book Antiqua"/>
          <w:sz w:val="28"/>
          <w:lang w:val="es-ES_tradnl"/>
        </w:rPr>
      </w:pPr>
    </w:p>
    <w:p w14:paraId="5EEAB0B2" w14:textId="77777777" w:rsidR="00812D24" w:rsidRPr="002C6DEA" w:rsidRDefault="00F13533" w:rsidP="00812D24">
      <w:pPr>
        <w:jc w:val="both"/>
        <w:rPr>
          <w:rFonts w:ascii="Book Antiqua" w:hAnsi="Book Antiqua"/>
          <w:lang w:val="es-PR"/>
        </w:rPr>
      </w:pPr>
      <w:r w:rsidRPr="002C6DEA">
        <w:rPr>
          <w:rFonts w:ascii="Book Antiqua" w:hAnsi="Book Antiqua"/>
          <w:lang w:val="es-PR"/>
        </w:rPr>
        <w:t xml:space="preserve"> </w:t>
      </w:r>
      <w:r w:rsidR="00812D24" w:rsidRPr="002C6DEA">
        <w:rPr>
          <w:rFonts w:ascii="Book Antiqua" w:hAnsi="Book Antiqua"/>
          <w:lang w:val="es-PR"/>
        </w:rPr>
        <w:t>20ma. Asamblea</w:t>
      </w:r>
      <w:r w:rsidR="00812D24" w:rsidRPr="002C6DEA">
        <w:rPr>
          <w:rFonts w:ascii="Book Antiqua" w:hAnsi="Book Antiqua"/>
          <w:lang w:val="es-PR"/>
        </w:rPr>
        <w:tab/>
        <w:t xml:space="preserve">                                                                                               3ra. Sesión</w:t>
      </w:r>
    </w:p>
    <w:p w14:paraId="6C8981E4" w14:textId="77777777" w:rsidR="00812D24" w:rsidRPr="002C6DEA" w:rsidRDefault="00812D24" w:rsidP="00812D24">
      <w:pPr>
        <w:jc w:val="both"/>
        <w:rPr>
          <w:rFonts w:ascii="Book Antiqua" w:hAnsi="Book Antiqua"/>
          <w:lang w:val="es-PR"/>
        </w:rPr>
      </w:pPr>
      <w:r w:rsidRPr="002C6DEA">
        <w:rPr>
          <w:rFonts w:ascii="Book Antiqua" w:hAnsi="Book Antiqua"/>
          <w:lang w:val="es-PR"/>
        </w:rPr>
        <w:t xml:space="preserve">           Legislativa</w:t>
      </w:r>
      <w:r w:rsidRPr="002C6DEA">
        <w:rPr>
          <w:rFonts w:ascii="Book Antiqua" w:hAnsi="Book Antiqua"/>
          <w:lang w:val="es-PR"/>
        </w:rPr>
        <w:tab/>
      </w:r>
      <w:r w:rsidRPr="002C6DEA">
        <w:rPr>
          <w:rFonts w:ascii="Book Antiqua" w:hAnsi="Book Antiqua"/>
          <w:lang w:val="es-PR"/>
        </w:rPr>
        <w:tab/>
        <w:t xml:space="preserve">                                                                                          Ordinaria</w:t>
      </w:r>
    </w:p>
    <w:p w14:paraId="4881859A" w14:textId="77777777" w:rsidR="00F13533" w:rsidRPr="002C6DEA" w:rsidRDefault="00F13533" w:rsidP="00F13533">
      <w:pPr>
        <w:rPr>
          <w:rFonts w:ascii="Book Antiqua" w:hAnsi="Book Antiqua"/>
          <w:lang w:val="es-PR"/>
        </w:rPr>
      </w:pPr>
    </w:p>
    <w:p w14:paraId="2BEF326C" w14:textId="77777777" w:rsidR="00F13533" w:rsidRPr="004F6F8E" w:rsidRDefault="00F13533" w:rsidP="00812D24">
      <w:pPr>
        <w:jc w:val="center"/>
        <w:rPr>
          <w:rFonts w:ascii="Book Antiqua" w:hAnsi="Book Antiqua"/>
          <w:b/>
          <w:sz w:val="36"/>
          <w:lang w:val="es-ES_tradnl"/>
        </w:rPr>
      </w:pPr>
      <w:r w:rsidRPr="004F6F8E">
        <w:rPr>
          <w:rFonts w:ascii="Book Antiqua" w:hAnsi="Book Antiqua"/>
          <w:b/>
          <w:sz w:val="36"/>
          <w:lang w:val="es-ES_tradnl"/>
        </w:rPr>
        <w:t>CÁMARA DE REPRESENTANTES</w:t>
      </w:r>
    </w:p>
    <w:p w14:paraId="225EE480" w14:textId="77777777" w:rsidR="00812D24" w:rsidRPr="00812D24" w:rsidRDefault="00812D24" w:rsidP="00812D24">
      <w:pPr>
        <w:jc w:val="center"/>
        <w:rPr>
          <w:rFonts w:ascii="Book Antiqua" w:hAnsi="Book Antiqua"/>
          <w:b/>
          <w:szCs w:val="24"/>
          <w:lang w:val="es-ES_tradnl"/>
        </w:rPr>
      </w:pPr>
    </w:p>
    <w:p w14:paraId="279BFDBC" w14:textId="76367622" w:rsidR="00F13533" w:rsidRPr="004F6F8E" w:rsidRDefault="00F13533" w:rsidP="00812D24">
      <w:pPr>
        <w:jc w:val="center"/>
        <w:rPr>
          <w:rFonts w:ascii="Book Antiqua" w:hAnsi="Book Antiqua"/>
          <w:b/>
          <w:sz w:val="52"/>
          <w:lang w:val="es-ES_tradnl"/>
        </w:rPr>
      </w:pPr>
      <w:r w:rsidRPr="004F6F8E">
        <w:rPr>
          <w:rFonts w:ascii="Book Antiqua" w:hAnsi="Book Antiqua"/>
          <w:b/>
          <w:sz w:val="52"/>
          <w:lang w:val="es-ES_tradnl"/>
        </w:rPr>
        <w:t xml:space="preserve">P. de la C. </w:t>
      </w:r>
      <w:r w:rsidR="00B041BD">
        <w:rPr>
          <w:rFonts w:ascii="Book Antiqua" w:hAnsi="Book Antiqua"/>
          <w:b/>
          <w:sz w:val="52"/>
          <w:lang w:val="es-ES_tradnl"/>
        </w:rPr>
        <w:t>1241</w:t>
      </w:r>
    </w:p>
    <w:p w14:paraId="7E741ED5" w14:textId="77777777" w:rsidR="00812D24" w:rsidRDefault="00812D24" w:rsidP="00812D24">
      <w:pPr>
        <w:jc w:val="center"/>
        <w:rPr>
          <w:rFonts w:ascii="Book Antiqua" w:hAnsi="Book Antiqua"/>
          <w:lang w:val="es-ES_tradnl"/>
        </w:rPr>
      </w:pPr>
    </w:p>
    <w:p w14:paraId="2661CC12" w14:textId="05E6B32B" w:rsidR="00F13533" w:rsidRDefault="00811E92" w:rsidP="00812D24">
      <w:pPr>
        <w:jc w:val="center"/>
        <w:rPr>
          <w:rFonts w:ascii="Book Antiqua" w:hAnsi="Book Antiqua"/>
          <w:lang w:val="es-ES_tradnl"/>
        </w:rPr>
      </w:pPr>
      <w:r>
        <w:rPr>
          <w:rFonts w:ascii="Book Antiqua" w:hAnsi="Book Antiqua"/>
          <w:lang w:val="es-ES_tradnl"/>
        </w:rPr>
        <w:t>2</w:t>
      </w:r>
      <w:r w:rsidR="00B66A9A">
        <w:rPr>
          <w:rFonts w:ascii="Book Antiqua" w:hAnsi="Book Antiqua"/>
          <w:lang w:val="es-ES_tradnl"/>
        </w:rPr>
        <w:t>9</w:t>
      </w:r>
      <w:r w:rsidR="00F13533" w:rsidRPr="004F6F8E">
        <w:rPr>
          <w:rFonts w:ascii="Book Antiqua" w:hAnsi="Book Antiqua"/>
          <w:lang w:val="es-ES_tradnl"/>
        </w:rPr>
        <w:t xml:space="preserve"> DE </w:t>
      </w:r>
      <w:r w:rsidR="00F6102F">
        <w:rPr>
          <w:rFonts w:ascii="Book Antiqua" w:hAnsi="Book Antiqua"/>
          <w:lang w:val="es-ES_tradnl"/>
        </w:rPr>
        <w:t>ABRIL</w:t>
      </w:r>
      <w:r w:rsidR="00F13533" w:rsidRPr="004F6F8E">
        <w:rPr>
          <w:rFonts w:ascii="Book Antiqua" w:hAnsi="Book Antiqua"/>
          <w:lang w:val="es-ES_tradnl"/>
        </w:rPr>
        <w:t xml:space="preserve"> DE 202</w:t>
      </w:r>
      <w:r w:rsidR="00395D1B">
        <w:rPr>
          <w:rFonts w:ascii="Book Antiqua" w:hAnsi="Book Antiqua"/>
          <w:lang w:val="es-ES_tradnl"/>
        </w:rPr>
        <w:t>6</w:t>
      </w:r>
    </w:p>
    <w:p w14:paraId="49D7E06D" w14:textId="77777777" w:rsidR="00DD2AA2" w:rsidRPr="00812D24" w:rsidRDefault="00DD2AA2" w:rsidP="00812D24">
      <w:pPr>
        <w:jc w:val="center"/>
        <w:rPr>
          <w:rFonts w:ascii="Book Antiqua" w:hAnsi="Book Antiqua"/>
          <w:sz w:val="20"/>
          <w:szCs w:val="16"/>
          <w:lang w:val="es-ES_tradnl"/>
        </w:rPr>
      </w:pPr>
    </w:p>
    <w:p w14:paraId="62B19988" w14:textId="77777777" w:rsidR="00812D24" w:rsidRPr="00812D24" w:rsidRDefault="00F13533" w:rsidP="00812D24">
      <w:pPr>
        <w:jc w:val="center"/>
        <w:rPr>
          <w:rFonts w:ascii="Book Antiqua" w:hAnsi="Book Antiqua"/>
          <w:i/>
          <w:iCs/>
          <w:szCs w:val="24"/>
          <w:lang w:val="es-ES_tradnl"/>
        </w:rPr>
      </w:pPr>
      <w:r w:rsidRPr="00812D24">
        <w:rPr>
          <w:rFonts w:ascii="Book Antiqua" w:hAnsi="Book Antiqua"/>
          <w:szCs w:val="24"/>
          <w:lang w:val="es-ES_tradnl"/>
        </w:rPr>
        <w:t xml:space="preserve">Presentado por </w:t>
      </w:r>
      <w:r w:rsidR="00812D24" w:rsidRPr="00812D24">
        <w:rPr>
          <w:rFonts w:ascii="Book Antiqua" w:hAnsi="Book Antiqua"/>
          <w:szCs w:val="24"/>
          <w:lang w:val="es-ES_tradnl"/>
        </w:rPr>
        <w:t>el</w:t>
      </w:r>
      <w:r w:rsidRPr="00812D24">
        <w:rPr>
          <w:rFonts w:ascii="Book Antiqua" w:hAnsi="Book Antiqua"/>
          <w:szCs w:val="24"/>
          <w:lang w:val="es-ES_tradnl"/>
        </w:rPr>
        <w:t xml:space="preserve"> representante </w:t>
      </w:r>
      <w:r w:rsidR="00DE7377" w:rsidRPr="00812D24">
        <w:rPr>
          <w:rFonts w:ascii="Book Antiqua" w:hAnsi="Book Antiqua"/>
          <w:i/>
          <w:iCs/>
          <w:szCs w:val="24"/>
          <w:lang w:val="es-ES_tradnl"/>
        </w:rPr>
        <w:t>M</w:t>
      </w:r>
      <w:r w:rsidR="00034585" w:rsidRPr="00812D24">
        <w:rPr>
          <w:rFonts w:ascii="Book Antiqua" w:hAnsi="Book Antiqua"/>
          <w:i/>
          <w:iCs/>
          <w:szCs w:val="24"/>
          <w:lang w:val="es-ES_tradnl"/>
        </w:rPr>
        <w:t>árquez Lebrón</w:t>
      </w:r>
      <w:r w:rsidR="00812D24" w:rsidRPr="00812D24">
        <w:rPr>
          <w:rFonts w:ascii="Book Antiqua" w:hAnsi="Book Antiqua"/>
          <w:i/>
          <w:iCs/>
          <w:szCs w:val="24"/>
          <w:lang w:val="es-ES_tradnl"/>
        </w:rPr>
        <w:t>;</w:t>
      </w:r>
      <w:r w:rsidR="00034585" w:rsidRPr="00812D24">
        <w:rPr>
          <w:rFonts w:ascii="Book Antiqua" w:hAnsi="Book Antiqua"/>
          <w:i/>
          <w:iCs/>
          <w:szCs w:val="24"/>
          <w:lang w:val="es-ES_tradnl"/>
        </w:rPr>
        <w:t xml:space="preserve"> </w:t>
      </w:r>
    </w:p>
    <w:p w14:paraId="20AC00EE" w14:textId="550C747E" w:rsidR="00812D24" w:rsidRDefault="00812D24" w:rsidP="00812D24">
      <w:pPr>
        <w:jc w:val="center"/>
        <w:rPr>
          <w:rFonts w:ascii="Book Antiqua" w:hAnsi="Book Antiqua"/>
          <w:i/>
          <w:iCs/>
          <w:szCs w:val="24"/>
          <w:lang w:val="es-ES_tradnl"/>
        </w:rPr>
      </w:pPr>
      <w:r w:rsidRPr="00812D24">
        <w:rPr>
          <w:rFonts w:ascii="Book Antiqua" w:hAnsi="Book Antiqua"/>
          <w:i/>
          <w:iCs/>
          <w:szCs w:val="24"/>
          <w:lang w:val="es-ES_tradnl"/>
        </w:rPr>
        <w:t xml:space="preserve">y las representantes </w:t>
      </w:r>
      <w:r w:rsidR="00034585" w:rsidRPr="00812D24">
        <w:rPr>
          <w:rFonts w:ascii="Book Antiqua" w:hAnsi="Book Antiqua"/>
          <w:i/>
          <w:iCs/>
          <w:szCs w:val="24"/>
          <w:lang w:val="es-ES_tradnl"/>
        </w:rPr>
        <w:t>Gutiérrez Col</w:t>
      </w:r>
      <w:r w:rsidR="006C214B" w:rsidRPr="00812D24">
        <w:rPr>
          <w:rFonts w:ascii="Book Antiqua" w:hAnsi="Book Antiqua"/>
          <w:i/>
          <w:iCs/>
          <w:szCs w:val="24"/>
          <w:lang w:val="es-ES_tradnl"/>
        </w:rPr>
        <w:t>ó</w:t>
      </w:r>
      <w:r w:rsidR="00034585" w:rsidRPr="00812D24">
        <w:rPr>
          <w:rFonts w:ascii="Book Antiqua" w:hAnsi="Book Antiqua"/>
          <w:i/>
          <w:iCs/>
          <w:szCs w:val="24"/>
          <w:lang w:val="es-ES_tradnl"/>
        </w:rPr>
        <w:t>n y Lebrón Robles</w:t>
      </w:r>
    </w:p>
    <w:p w14:paraId="19234925" w14:textId="77777777" w:rsidR="00812D24" w:rsidRDefault="00812D24" w:rsidP="00812D24">
      <w:pPr>
        <w:jc w:val="center"/>
        <w:rPr>
          <w:rFonts w:ascii="Book Antiqua" w:hAnsi="Book Antiqua"/>
          <w:i/>
          <w:iCs/>
          <w:szCs w:val="24"/>
          <w:lang w:val="es-ES_tradnl"/>
        </w:rPr>
      </w:pPr>
    </w:p>
    <w:p w14:paraId="754D77E1" w14:textId="47BF8377" w:rsidR="00F30DE9" w:rsidRPr="00812D24" w:rsidRDefault="00F30DE9" w:rsidP="00812D24">
      <w:pPr>
        <w:jc w:val="center"/>
        <w:rPr>
          <w:rFonts w:ascii="Book Antiqua" w:hAnsi="Book Antiqua"/>
          <w:i/>
          <w:iCs/>
          <w:szCs w:val="24"/>
          <w:lang w:val="es-ES_tradnl"/>
        </w:rPr>
      </w:pPr>
      <w:r w:rsidRPr="00812D24">
        <w:rPr>
          <w:rFonts w:ascii="Book Antiqua" w:hAnsi="Book Antiqua"/>
          <w:i/>
          <w:iCs/>
          <w:szCs w:val="24"/>
          <w:lang w:val="es-ES_tradnl"/>
        </w:rPr>
        <w:t>(Por petición del Comité del Bicentenario de Betances)</w:t>
      </w:r>
    </w:p>
    <w:p w14:paraId="4EF836B3" w14:textId="77777777" w:rsidR="00812D24" w:rsidRDefault="00812D24" w:rsidP="00812D24">
      <w:pPr>
        <w:jc w:val="center"/>
        <w:rPr>
          <w:rFonts w:ascii="Book Antiqua" w:hAnsi="Book Antiqua"/>
          <w:szCs w:val="24"/>
          <w:lang w:val="es-ES_tradnl"/>
        </w:rPr>
      </w:pPr>
    </w:p>
    <w:p w14:paraId="47A99186" w14:textId="4A140BBE" w:rsidR="00F13533" w:rsidRPr="00812D24" w:rsidRDefault="00F13533" w:rsidP="00812D24">
      <w:pPr>
        <w:jc w:val="center"/>
        <w:rPr>
          <w:rFonts w:ascii="Book Antiqua" w:hAnsi="Book Antiqua"/>
          <w:szCs w:val="24"/>
          <w:lang w:val="es-ES_tradnl"/>
        </w:rPr>
      </w:pPr>
      <w:r w:rsidRPr="00812D24">
        <w:rPr>
          <w:rFonts w:ascii="Book Antiqua" w:hAnsi="Book Antiqua"/>
          <w:szCs w:val="24"/>
          <w:lang w:val="es-ES_tradnl"/>
        </w:rPr>
        <w:t xml:space="preserve">Referido a </w:t>
      </w:r>
      <w:r w:rsidR="00812D24">
        <w:rPr>
          <w:rFonts w:ascii="Book Antiqua" w:hAnsi="Book Antiqua"/>
          <w:szCs w:val="24"/>
          <w:lang w:val="es-ES_tradnl"/>
        </w:rPr>
        <w:t xml:space="preserve">la Comisión de </w:t>
      </w:r>
      <w:r w:rsidR="002C6DEA">
        <w:rPr>
          <w:rFonts w:ascii="Book Antiqua" w:hAnsi="Book Antiqua"/>
          <w:szCs w:val="24"/>
          <w:lang w:val="es-ES_tradnl"/>
        </w:rPr>
        <w:t>Gobierno</w:t>
      </w:r>
    </w:p>
    <w:p w14:paraId="4F40A063" w14:textId="77777777" w:rsidR="00F13533" w:rsidRPr="00812D24" w:rsidRDefault="00F13533" w:rsidP="00F13533">
      <w:pPr>
        <w:jc w:val="both"/>
        <w:rPr>
          <w:rFonts w:ascii="Book Antiqua" w:hAnsi="Book Antiqua"/>
          <w:szCs w:val="24"/>
          <w:lang w:val="es-ES_tradnl"/>
        </w:rPr>
      </w:pPr>
    </w:p>
    <w:p w14:paraId="7D55E694" w14:textId="77777777" w:rsidR="00F13533" w:rsidRPr="00812D24" w:rsidRDefault="00F13533" w:rsidP="00F13533">
      <w:pPr>
        <w:jc w:val="center"/>
        <w:rPr>
          <w:rFonts w:ascii="Book Antiqua" w:hAnsi="Book Antiqua"/>
          <w:b/>
          <w:sz w:val="28"/>
          <w:szCs w:val="28"/>
          <w:lang w:val="es-ES_tradnl"/>
        </w:rPr>
      </w:pPr>
      <w:r w:rsidRPr="00812D24">
        <w:rPr>
          <w:rFonts w:ascii="Book Antiqua" w:hAnsi="Book Antiqua"/>
          <w:b/>
          <w:sz w:val="28"/>
          <w:szCs w:val="28"/>
          <w:lang w:val="es-ES_tradnl"/>
        </w:rPr>
        <w:t>LEY</w:t>
      </w:r>
    </w:p>
    <w:p w14:paraId="637BBC31" w14:textId="77777777" w:rsidR="00F13533" w:rsidRPr="004F6F8E" w:rsidRDefault="00F13533" w:rsidP="00F13533">
      <w:pPr>
        <w:jc w:val="both"/>
        <w:rPr>
          <w:rFonts w:ascii="Book Antiqua" w:hAnsi="Book Antiqua"/>
          <w:lang w:val="es-ES_tradnl"/>
        </w:rPr>
      </w:pPr>
    </w:p>
    <w:p w14:paraId="1CEF8A88" w14:textId="5042D2EA" w:rsidR="00F13533" w:rsidRDefault="00782D50" w:rsidP="00812D24">
      <w:pPr>
        <w:ind w:left="720" w:hanging="720"/>
        <w:jc w:val="both"/>
        <w:rPr>
          <w:rFonts w:ascii="Book Antiqua" w:hAnsi="Book Antiqua"/>
          <w:lang w:val="es-ES_tradnl"/>
        </w:rPr>
      </w:pPr>
      <w:r w:rsidRPr="00782D50">
        <w:rPr>
          <w:rFonts w:ascii="Book Antiqua" w:hAnsi="Book Antiqua"/>
          <w:lang w:val="es-ES_tradnl"/>
        </w:rPr>
        <w:t xml:space="preserve">Para </w:t>
      </w:r>
      <w:r w:rsidR="00050033" w:rsidRPr="00050033">
        <w:rPr>
          <w:rFonts w:ascii="Book Antiqua" w:hAnsi="Book Antiqua"/>
          <w:lang w:val="es-ES_tradnl"/>
        </w:rPr>
        <w:t xml:space="preserve">decretar el mes de abril de cada año el </w:t>
      </w:r>
      <w:r w:rsidR="000B5CD7">
        <w:rPr>
          <w:rFonts w:ascii="Book Antiqua" w:hAnsi="Book Antiqua"/>
          <w:lang w:val="es-ES_tradnl"/>
        </w:rPr>
        <w:t>“</w:t>
      </w:r>
      <w:r w:rsidR="00050033" w:rsidRPr="00050033">
        <w:rPr>
          <w:rFonts w:ascii="Book Antiqua" w:hAnsi="Book Antiqua"/>
          <w:lang w:val="es-ES_tradnl"/>
        </w:rPr>
        <w:t xml:space="preserve">Mes </w:t>
      </w:r>
      <w:proofErr w:type="spellStart"/>
      <w:r w:rsidR="00050033" w:rsidRPr="00050033">
        <w:rPr>
          <w:rFonts w:ascii="Book Antiqua" w:hAnsi="Book Antiqua"/>
          <w:lang w:val="es-ES_tradnl"/>
        </w:rPr>
        <w:t>Betancino</w:t>
      </w:r>
      <w:proofErr w:type="spellEnd"/>
      <w:r w:rsidR="000B5CD7">
        <w:rPr>
          <w:rFonts w:ascii="Book Antiqua" w:hAnsi="Book Antiqua"/>
          <w:lang w:val="es-ES_tradnl"/>
        </w:rPr>
        <w:t>”</w:t>
      </w:r>
      <w:r w:rsidR="00050033" w:rsidRPr="00050033">
        <w:rPr>
          <w:rFonts w:ascii="Book Antiqua" w:hAnsi="Book Antiqua"/>
          <w:lang w:val="es-ES_tradnl"/>
        </w:rPr>
        <w:t xml:space="preserve">, con el fin de educar sobre la vida y la obra del prócer </w:t>
      </w:r>
      <w:proofErr w:type="spellStart"/>
      <w:r w:rsidR="00050033" w:rsidRPr="00050033">
        <w:rPr>
          <w:rFonts w:ascii="Book Antiqua" w:hAnsi="Book Antiqua"/>
          <w:lang w:val="es-ES_tradnl"/>
        </w:rPr>
        <w:t>caborrojeño</w:t>
      </w:r>
      <w:proofErr w:type="spellEnd"/>
      <w:r w:rsidR="00050033" w:rsidRPr="00050033">
        <w:rPr>
          <w:rFonts w:ascii="Book Antiqua" w:hAnsi="Book Antiqua"/>
          <w:lang w:val="es-ES_tradnl"/>
        </w:rPr>
        <w:t xml:space="preserve"> Ramón Emeterio Betances y </w:t>
      </w:r>
      <w:proofErr w:type="spellStart"/>
      <w:r w:rsidR="00050033" w:rsidRPr="00050033">
        <w:rPr>
          <w:rFonts w:ascii="Book Antiqua" w:hAnsi="Book Antiqua"/>
          <w:lang w:val="es-ES_tradnl"/>
        </w:rPr>
        <w:t>Alacán</w:t>
      </w:r>
      <w:proofErr w:type="spellEnd"/>
      <w:r w:rsidR="00050033" w:rsidRPr="00050033">
        <w:rPr>
          <w:rFonts w:ascii="Book Antiqua" w:hAnsi="Book Antiqua"/>
          <w:lang w:val="es-ES_tradnl"/>
        </w:rPr>
        <w:t>, y reconocer sus múltiples y valiosas contribuciones a la sociedad puertorriqueña, antillana y latinoamericana; y a la ciencia y la salud pública en nuestra Patria.</w:t>
      </w:r>
    </w:p>
    <w:p w14:paraId="0CDB4DCC" w14:textId="77777777" w:rsidR="00812D24" w:rsidRPr="004F6F8E" w:rsidRDefault="00812D24" w:rsidP="00812D24">
      <w:pPr>
        <w:ind w:left="720" w:hanging="720"/>
        <w:jc w:val="both"/>
        <w:rPr>
          <w:rFonts w:ascii="Book Antiqua" w:hAnsi="Book Antiqua"/>
          <w:lang w:val="es-ES"/>
        </w:rPr>
      </w:pPr>
    </w:p>
    <w:p w14:paraId="2CA23802" w14:textId="016515A5" w:rsidR="00F13533" w:rsidRDefault="00F13533" w:rsidP="00812D24">
      <w:pPr>
        <w:ind w:firstLine="360"/>
        <w:jc w:val="center"/>
        <w:rPr>
          <w:rFonts w:ascii="Book Antiqua" w:hAnsi="Book Antiqua"/>
          <w:lang w:val="es-ES_tradnl"/>
        </w:rPr>
      </w:pPr>
      <w:r w:rsidRPr="004F6F8E">
        <w:rPr>
          <w:rFonts w:ascii="Book Antiqua" w:hAnsi="Book Antiqua"/>
          <w:lang w:val="es-ES_tradnl"/>
        </w:rPr>
        <w:t>EXPOSICIÓN DE MOTIVOS</w:t>
      </w:r>
    </w:p>
    <w:p w14:paraId="5C12F047" w14:textId="77777777" w:rsidR="00812D24" w:rsidRDefault="00812D24" w:rsidP="00812D24">
      <w:pPr>
        <w:ind w:firstLine="360"/>
        <w:jc w:val="center"/>
        <w:rPr>
          <w:rFonts w:ascii="Book Antiqua" w:hAnsi="Book Antiqua"/>
          <w:lang w:val="es-ES_tradnl"/>
        </w:rPr>
      </w:pPr>
    </w:p>
    <w:p w14:paraId="7B910DCB" w14:textId="77777777" w:rsidR="00F6102F" w:rsidRDefault="00F6102F" w:rsidP="00812D24">
      <w:pPr>
        <w:ind w:firstLine="360"/>
        <w:jc w:val="both"/>
        <w:rPr>
          <w:rFonts w:ascii="Book Antiqua" w:hAnsi="Book Antiqua"/>
          <w:lang w:val="es-PR"/>
        </w:rPr>
      </w:pPr>
      <w:r w:rsidRPr="00F6102F">
        <w:rPr>
          <w:rFonts w:ascii="Book Antiqua" w:hAnsi="Book Antiqua"/>
          <w:lang w:val="es-PR"/>
        </w:rPr>
        <w:t xml:space="preserve">El 8 de abril de 2027 se cumplirán 200 años del nacimiento en Cabo Rojo, Puerto Rico, de una de las figuras más destacadas en la historia patria:  Ramón Emeterio Betances y </w:t>
      </w:r>
      <w:proofErr w:type="spellStart"/>
      <w:r w:rsidRPr="00F6102F">
        <w:rPr>
          <w:rFonts w:ascii="Book Antiqua" w:hAnsi="Book Antiqua"/>
          <w:lang w:val="es-PR"/>
        </w:rPr>
        <w:t>Alacán</w:t>
      </w:r>
      <w:proofErr w:type="spellEnd"/>
      <w:r w:rsidRPr="00F6102F">
        <w:rPr>
          <w:rFonts w:ascii="Book Antiqua" w:hAnsi="Book Antiqua"/>
          <w:lang w:val="es-PR"/>
        </w:rPr>
        <w:t>.  Fue abolicionista, revolucionario, poeta, periodista, novelista, diplomático, investigador científico, empresario, médico cirujano y salubrista.</w:t>
      </w:r>
    </w:p>
    <w:p w14:paraId="4A23B9A8" w14:textId="77777777" w:rsidR="00812D24" w:rsidRPr="00F6102F" w:rsidRDefault="00812D24" w:rsidP="00812D24">
      <w:pPr>
        <w:ind w:firstLine="360"/>
        <w:jc w:val="both"/>
        <w:rPr>
          <w:rFonts w:ascii="Book Antiqua" w:hAnsi="Book Antiqua"/>
          <w:lang w:val="es-PR"/>
        </w:rPr>
      </w:pPr>
    </w:p>
    <w:p w14:paraId="36A67A72" w14:textId="77777777" w:rsidR="00F6102F" w:rsidRDefault="00F6102F" w:rsidP="00812D24">
      <w:pPr>
        <w:ind w:firstLine="360"/>
        <w:jc w:val="both"/>
        <w:rPr>
          <w:rFonts w:ascii="Book Antiqua" w:hAnsi="Book Antiqua"/>
          <w:lang w:val="es-PR"/>
        </w:rPr>
      </w:pPr>
      <w:r w:rsidRPr="00F6102F">
        <w:rPr>
          <w:rFonts w:ascii="Book Antiqua" w:hAnsi="Book Antiqua"/>
          <w:lang w:val="es-PR"/>
        </w:rPr>
        <w:t xml:space="preserve">Ramón Emeterio Betances y </w:t>
      </w:r>
      <w:proofErr w:type="spellStart"/>
      <w:r w:rsidRPr="00F6102F">
        <w:rPr>
          <w:rFonts w:ascii="Book Antiqua" w:hAnsi="Book Antiqua"/>
          <w:lang w:val="es-PR"/>
        </w:rPr>
        <w:t>Alacán</w:t>
      </w:r>
      <w:proofErr w:type="spellEnd"/>
      <w:r w:rsidRPr="00F6102F">
        <w:rPr>
          <w:rFonts w:ascii="Book Antiqua" w:hAnsi="Book Antiqua"/>
          <w:lang w:val="es-PR"/>
        </w:rPr>
        <w:t xml:space="preserve"> dedicó su vida entera a la lucha por los derechos humanos y políticos de los pueblos antillanos.  Aunque su activismo político por la independencia de Puerto Rico es quizás el aspecto más conocido, no menos importante fue su apoyo a la independencia de Cuba, a la soberanía de Haití y la República Dominicana, y a la integración de estos países y de Jamaica en la Confederación Antillana, unión que garantizaría el desarrollo económico de la región.</w:t>
      </w:r>
    </w:p>
    <w:p w14:paraId="52E20B0B" w14:textId="77777777" w:rsidR="00812D24" w:rsidRPr="00F6102F" w:rsidRDefault="00812D24" w:rsidP="00812D24">
      <w:pPr>
        <w:ind w:firstLine="360"/>
        <w:jc w:val="both"/>
        <w:rPr>
          <w:rFonts w:ascii="Book Antiqua" w:hAnsi="Book Antiqua"/>
          <w:lang w:val="es-PR"/>
        </w:rPr>
      </w:pPr>
    </w:p>
    <w:p w14:paraId="39CB73BB" w14:textId="24B3AB46" w:rsidR="00F6102F" w:rsidRDefault="00F6102F" w:rsidP="00812D24">
      <w:pPr>
        <w:ind w:firstLine="360"/>
        <w:jc w:val="both"/>
        <w:rPr>
          <w:rFonts w:ascii="Book Antiqua" w:hAnsi="Book Antiqua"/>
          <w:lang w:val="es-PR"/>
        </w:rPr>
      </w:pPr>
      <w:r w:rsidRPr="00F6102F">
        <w:rPr>
          <w:rFonts w:ascii="Book Antiqua" w:hAnsi="Book Antiqua"/>
          <w:lang w:val="es-PR"/>
        </w:rPr>
        <w:t xml:space="preserve">Fue Betances el mayor defensor de la abolición de la esclavitud negra en Puerto Rico, en la que invirtió parte de su riqueza y su libertad personal.  Por ella, fue desterrado en </w:t>
      </w:r>
      <w:r w:rsidRPr="00F6102F">
        <w:rPr>
          <w:rFonts w:ascii="Book Antiqua" w:hAnsi="Book Antiqua"/>
          <w:lang w:val="es-PR"/>
        </w:rPr>
        <w:lastRenderedPageBreak/>
        <w:t>1858; en 1864, esta vez señalado también por conspirar contra la restauración del régimen español en la República Dominicana; y en 1867, en medio de los planes para el Grito de Lares.  Sus exilios lo llevaron a un largo peregrinar por San</w:t>
      </w:r>
      <w:r>
        <w:rPr>
          <w:rFonts w:ascii="Book Antiqua" w:hAnsi="Book Antiqua"/>
          <w:lang w:val="es-PR"/>
        </w:rPr>
        <w:t xml:space="preserve"> T</w:t>
      </w:r>
      <w:r w:rsidRPr="00F6102F">
        <w:rPr>
          <w:rFonts w:ascii="Book Antiqua" w:hAnsi="Book Antiqua"/>
          <w:lang w:val="es-PR"/>
        </w:rPr>
        <w:t>omas, Venezuela, Nueva York, Haití y la República Dominicana, hasta que se asentó definitivamente en París en 1875, donde murió el 16 de septiembre de 1898.</w:t>
      </w:r>
    </w:p>
    <w:p w14:paraId="44D59C05" w14:textId="77777777" w:rsidR="00812D24" w:rsidRPr="00F6102F" w:rsidRDefault="00812D24" w:rsidP="00812D24">
      <w:pPr>
        <w:ind w:firstLine="360"/>
        <w:jc w:val="both"/>
        <w:rPr>
          <w:rFonts w:ascii="Book Antiqua" w:hAnsi="Book Antiqua"/>
          <w:lang w:val="es-PR"/>
        </w:rPr>
      </w:pPr>
    </w:p>
    <w:p w14:paraId="53342083" w14:textId="77777777" w:rsidR="00F6102F" w:rsidRDefault="00F6102F" w:rsidP="00812D24">
      <w:pPr>
        <w:ind w:firstLine="360"/>
        <w:jc w:val="both"/>
        <w:rPr>
          <w:rFonts w:ascii="Book Antiqua" w:hAnsi="Book Antiqua"/>
          <w:lang w:val="es-PR"/>
        </w:rPr>
      </w:pPr>
      <w:r w:rsidRPr="00F6102F">
        <w:rPr>
          <w:rFonts w:ascii="Book Antiqua" w:hAnsi="Book Antiqua"/>
          <w:lang w:val="es-PR"/>
        </w:rPr>
        <w:t>Francia no fue tierra extraña para Betances.  En 1837, tras la muerte de su madre María del Carmen, su padre Felipe lo envió a Grisolles, al sur del país.  Allí y en Tolosa (Toulouse) Betances completó sus estudios primarios y secundarios.  Hacia 1847, se trasladó a París y estudió Medicina en La Sorbona.  Se graduó con nota sobresaliente en 1855, con una tesis sobre las causas del aborto.</w:t>
      </w:r>
    </w:p>
    <w:p w14:paraId="1950DCF4" w14:textId="77777777" w:rsidR="00812D24" w:rsidRPr="00F6102F" w:rsidRDefault="00812D24" w:rsidP="00812D24">
      <w:pPr>
        <w:ind w:firstLine="360"/>
        <w:jc w:val="both"/>
        <w:rPr>
          <w:rFonts w:ascii="Book Antiqua" w:hAnsi="Book Antiqua"/>
          <w:lang w:val="es-PR"/>
        </w:rPr>
      </w:pPr>
    </w:p>
    <w:p w14:paraId="20BD6B95" w14:textId="29393009" w:rsidR="00F6102F" w:rsidRDefault="00F6102F" w:rsidP="00812D24">
      <w:pPr>
        <w:ind w:firstLine="360"/>
        <w:jc w:val="both"/>
        <w:rPr>
          <w:rFonts w:ascii="Book Antiqua" w:hAnsi="Book Antiqua"/>
          <w:lang w:val="es-PR"/>
        </w:rPr>
      </w:pPr>
      <w:r w:rsidRPr="00F6102F">
        <w:rPr>
          <w:rFonts w:ascii="Book Antiqua" w:hAnsi="Book Antiqua"/>
          <w:lang w:val="es-PR"/>
        </w:rPr>
        <w:t>El estudiante Betances aprovecha sus estudios para dominar el francés, idioma en el que escribe y publica poemas, y dos novelas:  Los dos indios (1853), sobre el mestizaje en la colonización de Puerto Rico; y La virgen de Borinquen (1859), basada en la muerte de su novia y sobrina, María del Carmen Henri Betances, este mismo año.  También colabora con la recopilación de documentos que Alejandro Tapia y Rivera publicó como la Biblioteca histórica de Puerto Rico (1854).</w:t>
      </w:r>
    </w:p>
    <w:p w14:paraId="4650AE09" w14:textId="77777777" w:rsidR="00812D24" w:rsidRPr="00F6102F" w:rsidRDefault="00812D24" w:rsidP="00812D24">
      <w:pPr>
        <w:ind w:firstLine="360"/>
        <w:jc w:val="both"/>
        <w:rPr>
          <w:rFonts w:ascii="Book Antiqua" w:hAnsi="Book Antiqua"/>
          <w:lang w:val="es-PR"/>
        </w:rPr>
      </w:pPr>
    </w:p>
    <w:p w14:paraId="10346538" w14:textId="77777777" w:rsidR="00F6102F" w:rsidRDefault="00F6102F" w:rsidP="00812D24">
      <w:pPr>
        <w:ind w:firstLine="360"/>
        <w:jc w:val="both"/>
        <w:rPr>
          <w:rFonts w:ascii="Book Antiqua" w:hAnsi="Book Antiqua"/>
          <w:lang w:val="es-PR"/>
        </w:rPr>
      </w:pPr>
      <w:r w:rsidRPr="00F6102F">
        <w:rPr>
          <w:rFonts w:ascii="Book Antiqua" w:hAnsi="Book Antiqua"/>
          <w:lang w:val="es-PR"/>
        </w:rPr>
        <w:t>En esos años, tuvo Betances su primera experiencia revolucionaria:  en 1848, obreros, estudiantes y sectores liberales protestaron en las calles a favor de reformas económicas y políticas.  La Revolución de 1848 logró la proclamación de la Segunda República francesa, de duración breve, pero de honda impresión para Betances.</w:t>
      </w:r>
    </w:p>
    <w:p w14:paraId="519ABEA2" w14:textId="77777777" w:rsidR="00812D24" w:rsidRPr="00F6102F" w:rsidRDefault="00812D24" w:rsidP="00812D24">
      <w:pPr>
        <w:ind w:firstLine="360"/>
        <w:jc w:val="both"/>
        <w:rPr>
          <w:rFonts w:ascii="Book Antiqua" w:hAnsi="Book Antiqua"/>
          <w:lang w:val="es-PR"/>
        </w:rPr>
      </w:pPr>
    </w:p>
    <w:p w14:paraId="56DFA75B" w14:textId="77777777" w:rsidR="00F6102F" w:rsidRDefault="00F6102F" w:rsidP="00812D24">
      <w:pPr>
        <w:ind w:firstLine="360"/>
        <w:jc w:val="both"/>
        <w:rPr>
          <w:rFonts w:ascii="Book Antiqua" w:hAnsi="Book Antiqua"/>
          <w:lang w:val="es-PR"/>
        </w:rPr>
      </w:pPr>
      <w:r w:rsidRPr="00F6102F">
        <w:rPr>
          <w:rFonts w:ascii="Book Antiqua" w:hAnsi="Book Antiqua"/>
          <w:lang w:val="es-PR"/>
        </w:rPr>
        <w:t>De regreso en Puerto Rico, Betances se destacó en la atención de los enfermos de cólera en 1856.  Sus servicios gratuitos a los contagiados pobres y esclavizados le valieron el título de “padre de los pobres”.   Años más tarde, en 1875, sirvió exitosamente como médico cirujano en Puerto Plata, República Dominicana, por lo que fue llamado “el médico santo”.</w:t>
      </w:r>
    </w:p>
    <w:p w14:paraId="0BD72E56" w14:textId="77777777" w:rsidR="00812D24" w:rsidRPr="00F6102F" w:rsidRDefault="00812D24" w:rsidP="00812D24">
      <w:pPr>
        <w:ind w:firstLine="360"/>
        <w:jc w:val="both"/>
        <w:rPr>
          <w:rFonts w:ascii="Book Antiqua" w:hAnsi="Book Antiqua"/>
          <w:lang w:val="es-PR"/>
        </w:rPr>
      </w:pPr>
    </w:p>
    <w:p w14:paraId="5023E854" w14:textId="77777777" w:rsidR="00F6102F" w:rsidRDefault="00F6102F" w:rsidP="00812D24">
      <w:pPr>
        <w:ind w:firstLine="360"/>
        <w:jc w:val="both"/>
        <w:rPr>
          <w:rFonts w:ascii="Book Antiqua" w:hAnsi="Book Antiqua"/>
          <w:lang w:val="es-PR"/>
        </w:rPr>
      </w:pPr>
      <w:r w:rsidRPr="00F6102F">
        <w:rPr>
          <w:rFonts w:ascii="Book Antiqua" w:hAnsi="Book Antiqua"/>
          <w:lang w:val="es-PR"/>
        </w:rPr>
        <w:t>Betances fue uno de los primeros médicos que utilizó el cloroformo como anestésico.  Recopiló escritos sobre sus cirugías de enfermedades oftálmicas y genitales, y sus experiencias en el tratamiento del cólera y la sífilis; muchos de los cuales presentó a la comunidad médica en París y los publicó en esa ciudad. Su obra científica le ganó el reconocimiento de sus colegas y la Legión de Honor de Francia en 1887.</w:t>
      </w:r>
    </w:p>
    <w:p w14:paraId="01E00478" w14:textId="77777777" w:rsidR="00812D24" w:rsidRPr="00F6102F" w:rsidRDefault="00812D24" w:rsidP="00812D24">
      <w:pPr>
        <w:ind w:firstLine="360"/>
        <w:jc w:val="both"/>
        <w:rPr>
          <w:rFonts w:ascii="Book Antiqua" w:hAnsi="Book Antiqua"/>
          <w:lang w:val="es-PR"/>
        </w:rPr>
      </w:pPr>
    </w:p>
    <w:p w14:paraId="410C85BF" w14:textId="77777777" w:rsidR="00F6102F" w:rsidRPr="00F6102F" w:rsidRDefault="00F6102F" w:rsidP="00812D24">
      <w:pPr>
        <w:ind w:firstLine="360"/>
        <w:jc w:val="both"/>
        <w:rPr>
          <w:rFonts w:ascii="Book Antiqua" w:hAnsi="Book Antiqua"/>
          <w:lang w:val="es-PR"/>
        </w:rPr>
      </w:pPr>
      <w:r w:rsidRPr="00F6102F">
        <w:rPr>
          <w:rFonts w:ascii="Book Antiqua" w:hAnsi="Book Antiqua"/>
          <w:lang w:val="es-PR"/>
        </w:rPr>
        <w:t>Además, Betances se involucró en empresas que sostuvieran la salud pública y el desarrollo económico.  Por ejemplo, contribuyó a la fundación del Hospital Municipal San Antonio, en Mayagüez (1865); y fundó en París una empresa de aguas nitrogenadas, aunque sin éxito (1889).  Colaboró con el dominicano Gregorio Luperón en sus planes de establecer un banco nacional en la República Dominicana en la década de 1880; y favoreció la siembra del ramio para la industria textil en Puerto Rico.</w:t>
      </w:r>
    </w:p>
    <w:p w14:paraId="42492A7F" w14:textId="77777777" w:rsidR="00812D24" w:rsidRDefault="00812D24" w:rsidP="00812D24">
      <w:pPr>
        <w:ind w:firstLine="360"/>
        <w:jc w:val="both"/>
        <w:rPr>
          <w:rFonts w:ascii="Book Antiqua" w:hAnsi="Book Antiqua"/>
          <w:lang w:val="es-PR"/>
        </w:rPr>
      </w:pPr>
    </w:p>
    <w:p w14:paraId="2E35D854" w14:textId="22F5945B" w:rsidR="00F6102F" w:rsidRDefault="00F6102F" w:rsidP="00812D24">
      <w:pPr>
        <w:ind w:firstLine="360"/>
        <w:jc w:val="both"/>
        <w:rPr>
          <w:rFonts w:ascii="Book Antiqua" w:hAnsi="Book Antiqua"/>
          <w:lang w:val="es-PR"/>
        </w:rPr>
      </w:pPr>
      <w:r w:rsidRPr="00F6102F">
        <w:rPr>
          <w:rFonts w:ascii="Book Antiqua" w:hAnsi="Book Antiqua"/>
          <w:lang w:val="es-PR"/>
        </w:rPr>
        <w:lastRenderedPageBreak/>
        <w:t xml:space="preserve">Finalmente, pero no menos importante:  Betances sirvió como diplomático en Europa para la República Dominicana, Haití y la República de Cuba en Armas.  </w:t>
      </w:r>
    </w:p>
    <w:p w14:paraId="22D333A0" w14:textId="77777777" w:rsidR="00812D24" w:rsidRPr="00F6102F" w:rsidRDefault="00812D24" w:rsidP="00812D24">
      <w:pPr>
        <w:ind w:firstLine="360"/>
        <w:jc w:val="both"/>
        <w:rPr>
          <w:rFonts w:ascii="Book Antiqua" w:hAnsi="Book Antiqua"/>
          <w:lang w:val="es-PR"/>
        </w:rPr>
      </w:pPr>
    </w:p>
    <w:p w14:paraId="1884FC7A" w14:textId="68D99232" w:rsidR="00D57FFD" w:rsidRDefault="00F6102F" w:rsidP="00812D24">
      <w:pPr>
        <w:ind w:firstLine="360"/>
        <w:jc w:val="both"/>
        <w:rPr>
          <w:rFonts w:ascii="Book Antiqua" w:hAnsi="Book Antiqua"/>
          <w:lang w:val="es-PR"/>
        </w:rPr>
      </w:pPr>
      <w:r w:rsidRPr="00F6102F">
        <w:rPr>
          <w:rFonts w:ascii="Book Antiqua" w:hAnsi="Book Antiqua"/>
          <w:lang w:val="es-PR"/>
        </w:rPr>
        <w:t>La admiración que Betances generó en el pueblo puertorriqueño quedó demostrada con el recibimiento de sus restos, 22 años después de su muerte.  Tras una escala en Nueva York, donde fue honrado por el gobierno de la ciudad y por cientos de migrantes boricuas, más de 20,000 personas estuvieron presentes en la llegada de la urna al puerto de San Juan.  La caravana fúnebre fue seguida u observada por otros miles de personas a lo largo del norte de Puerto Rico, hasta Mayagüez, donde se le rindieron honores.  En Cabo Rojo, su destino final, lo recibieron sobre 10,000 compatriotas.</w:t>
      </w:r>
    </w:p>
    <w:p w14:paraId="59DEF407" w14:textId="77777777" w:rsidR="00812D24" w:rsidRPr="004F6F8E" w:rsidRDefault="00812D24" w:rsidP="00812D24">
      <w:pPr>
        <w:ind w:firstLine="360"/>
        <w:jc w:val="both"/>
        <w:rPr>
          <w:rFonts w:ascii="Book Antiqua" w:hAnsi="Book Antiqua"/>
          <w:lang w:val="es-ES_tradnl"/>
        </w:rPr>
      </w:pPr>
    </w:p>
    <w:p w14:paraId="7674B2AD" w14:textId="667EBB77" w:rsidR="00F13533" w:rsidRPr="004F6F8E" w:rsidRDefault="00F13533" w:rsidP="00812D24">
      <w:pPr>
        <w:rPr>
          <w:rFonts w:ascii="Book Antiqua" w:hAnsi="Book Antiqua"/>
          <w:i/>
          <w:lang w:val="es-ES_tradnl"/>
        </w:rPr>
      </w:pPr>
      <w:r w:rsidRPr="004F6F8E">
        <w:rPr>
          <w:rFonts w:ascii="Book Antiqua" w:hAnsi="Book Antiqua"/>
          <w:i/>
          <w:lang w:val="es-ES_tradnl"/>
        </w:rPr>
        <w:t>DECRÉTASE POR LA ASAMBLEA LEGISLATIVA DE PUERTO RICO:</w:t>
      </w:r>
    </w:p>
    <w:p w14:paraId="32276232" w14:textId="77777777" w:rsidR="00F13533" w:rsidRDefault="00F13533" w:rsidP="00812D24">
      <w:pPr>
        <w:jc w:val="both"/>
        <w:rPr>
          <w:rFonts w:ascii="Book Antiqua" w:hAnsi="Book Antiqua"/>
          <w:lang w:val="es-ES_tradnl"/>
        </w:rPr>
      </w:pPr>
    </w:p>
    <w:p w14:paraId="75F7910E" w14:textId="77777777" w:rsidR="00812D24" w:rsidRPr="004F6F8E" w:rsidRDefault="00812D24" w:rsidP="00812D24">
      <w:pPr>
        <w:jc w:val="both"/>
        <w:rPr>
          <w:rFonts w:ascii="Book Antiqua" w:hAnsi="Book Antiqua"/>
          <w:lang w:val="es-ES_tradnl"/>
        </w:rPr>
        <w:sectPr w:rsidR="00812D24" w:rsidRPr="004F6F8E">
          <w:headerReference w:type="default" r:id="rId9"/>
          <w:headerReference w:type="first" r:id="rId10"/>
          <w:type w:val="continuous"/>
          <w:pgSz w:w="12240" w:h="15840" w:code="1"/>
          <w:pgMar w:top="1440" w:right="1440" w:bottom="1440" w:left="1440" w:header="720" w:footer="720" w:gutter="0"/>
          <w:cols w:space="720"/>
          <w:titlePg/>
        </w:sectPr>
      </w:pPr>
    </w:p>
    <w:p w14:paraId="6146A105" w14:textId="1703DB94" w:rsidR="00F6102F" w:rsidRPr="00F6102F" w:rsidRDefault="00F6102F" w:rsidP="00812D24">
      <w:pPr>
        <w:spacing w:line="480" w:lineRule="auto"/>
        <w:ind w:firstLine="360"/>
        <w:jc w:val="both"/>
        <w:rPr>
          <w:rFonts w:ascii="Book Antiqua" w:hAnsi="Book Antiqua"/>
          <w:lang w:val="es-PR"/>
        </w:rPr>
      </w:pPr>
      <w:r w:rsidRPr="00F6102F">
        <w:rPr>
          <w:rFonts w:ascii="Book Antiqua" w:hAnsi="Book Antiqua"/>
          <w:lang w:val="es-PR"/>
        </w:rPr>
        <w:t xml:space="preserve">Artículo 1. – Se decreta el mes de abril de cada año como el “Mes </w:t>
      </w:r>
      <w:proofErr w:type="spellStart"/>
      <w:r>
        <w:rPr>
          <w:rFonts w:ascii="Book Antiqua" w:hAnsi="Book Antiqua"/>
          <w:lang w:val="es-PR"/>
        </w:rPr>
        <w:t>B</w:t>
      </w:r>
      <w:r w:rsidRPr="00F6102F">
        <w:rPr>
          <w:rFonts w:ascii="Book Antiqua" w:hAnsi="Book Antiqua"/>
          <w:lang w:val="es-PR"/>
        </w:rPr>
        <w:t>etancino</w:t>
      </w:r>
      <w:proofErr w:type="spellEnd"/>
      <w:r w:rsidRPr="00F6102F">
        <w:rPr>
          <w:rFonts w:ascii="Book Antiqua" w:hAnsi="Book Antiqua"/>
          <w:lang w:val="es-PR"/>
        </w:rPr>
        <w:t xml:space="preserve">”, con el fin de educar sobre la vida y la obra de Ramón Emeterio Betances y </w:t>
      </w:r>
      <w:proofErr w:type="spellStart"/>
      <w:r w:rsidRPr="00F6102F">
        <w:rPr>
          <w:rFonts w:ascii="Book Antiqua" w:hAnsi="Book Antiqua"/>
          <w:lang w:val="es-PR"/>
        </w:rPr>
        <w:t>Alacán</w:t>
      </w:r>
      <w:proofErr w:type="spellEnd"/>
      <w:r w:rsidRPr="00F6102F">
        <w:rPr>
          <w:rFonts w:ascii="Book Antiqua" w:hAnsi="Book Antiqua"/>
          <w:lang w:val="es-PR"/>
        </w:rPr>
        <w:t>, y reconocer sus múltiples contribuciones a las sociedades puertorriqueña y caribeñas.</w:t>
      </w:r>
    </w:p>
    <w:p w14:paraId="1ACA1DED" w14:textId="71A80A2B" w:rsidR="00F6102F" w:rsidRPr="00F6102F" w:rsidRDefault="00F6102F" w:rsidP="00812D24">
      <w:pPr>
        <w:spacing w:line="480" w:lineRule="auto"/>
        <w:ind w:firstLine="360"/>
        <w:jc w:val="both"/>
        <w:rPr>
          <w:rFonts w:ascii="Book Antiqua" w:hAnsi="Book Antiqua"/>
          <w:lang w:val="es-PR"/>
        </w:rPr>
      </w:pPr>
      <w:r w:rsidRPr="00F6102F">
        <w:rPr>
          <w:rFonts w:ascii="Book Antiqua" w:hAnsi="Book Antiqua"/>
          <w:lang w:val="es-PR"/>
        </w:rPr>
        <w:t xml:space="preserve">Artículo 2. – La </w:t>
      </w:r>
      <w:r>
        <w:rPr>
          <w:rFonts w:ascii="Book Antiqua" w:hAnsi="Book Antiqua"/>
          <w:lang w:val="es-PR"/>
        </w:rPr>
        <w:t>G</w:t>
      </w:r>
      <w:r w:rsidRPr="00F6102F">
        <w:rPr>
          <w:rFonts w:ascii="Book Antiqua" w:hAnsi="Book Antiqua"/>
          <w:lang w:val="es-PR"/>
        </w:rPr>
        <w:t xml:space="preserve">obernadora de Puerto Rico emitirá una proclama a estos efectos y exhortará al pueblo puertorriqueño a realizar en ese mes las actividades conducentes a celebrar la vida de Betances y </w:t>
      </w:r>
      <w:proofErr w:type="spellStart"/>
      <w:r w:rsidRPr="00F6102F">
        <w:rPr>
          <w:rFonts w:ascii="Book Antiqua" w:hAnsi="Book Antiqua"/>
          <w:lang w:val="es-PR"/>
        </w:rPr>
        <w:t>Alacán</w:t>
      </w:r>
      <w:proofErr w:type="spellEnd"/>
      <w:r w:rsidRPr="00F6102F">
        <w:rPr>
          <w:rFonts w:ascii="Book Antiqua" w:hAnsi="Book Antiqua"/>
          <w:lang w:val="es-PR"/>
        </w:rPr>
        <w:t xml:space="preserve">, y educar en sus múltiples contribuciones a la libertad de los seres humanos, los derechos políticos, las ciencias, la cultura y el desarrollo económico; y exhortará también a entidades públicas y privadas, a los gobiernos municipales y al pueblo en general a organizar actividades a tenor con el propósito de esta </w:t>
      </w:r>
      <w:r>
        <w:rPr>
          <w:rFonts w:ascii="Book Antiqua" w:hAnsi="Book Antiqua"/>
          <w:lang w:val="es-PR"/>
        </w:rPr>
        <w:t>L</w:t>
      </w:r>
      <w:r w:rsidRPr="00F6102F">
        <w:rPr>
          <w:rFonts w:ascii="Book Antiqua" w:hAnsi="Book Antiqua"/>
          <w:lang w:val="es-PR"/>
        </w:rPr>
        <w:t>ey.</w:t>
      </w:r>
    </w:p>
    <w:p w14:paraId="09577D25" w14:textId="73A80276" w:rsidR="00F6102F" w:rsidRPr="00F6102F" w:rsidRDefault="00F6102F" w:rsidP="00812D24">
      <w:pPr>
        <w:spacing w:line="480" w:lineRule="auto"/>
        <w:ind w:firstLine="360"/>
        <w:jc w:val="both"/>
        <w:rPr>
          <w:rFonts w:ascii="Book Antiqua" w:hAnsi="Book Antiqua"/>
          <w:lang w:val="es-PR"/>
        </w:rPr>
      </w:pPr>
      <w:r w:rsidRPr="00F6102F">
        <w:rPr>
          <w:rFonts w:ascii="Book Antiqua" w:hAnsi="Book Antiqua"/>
          <w:lang w:val="es-PR"/>
        </w:rPr>
        <w:t xml:space="preserve">Artículo 3. – El Departamento de Educación y el Instituto de Cultura Puertorriqueña gestionarán y coordinarán las actividades de organizaciones educativas, culturales, ambientalistas y sin fines de lucro, dirigidas al cumplimiento con esta </w:t>
      </w:r>
      <w:r>
        <w:rPr>
          <w:rFonts w:ascii="Book Antiqua" w:hAnsi="Book Antiqua"/>
          <w:lang w:val="es-PR"/>
        </w:rPr>
        <w:t>L</w:t>
      </w:r>
      <w:r w:rsidRPr="00F6102F">
        <w:rPr>
          <w:rFonts w:ascii="Book Antiqua" w:hAnsi="Book Antiqua"/>
          <w:lang w:val="es-PR"/>
        </w:rPr>
        <w:t>ey.</w:t>
      </w:r>
    </w:p>
    <w:p w14:paraId="54C28245" w14:textId="79F7E95F" w:rsidR="00F6102F" w:rsidRPr="00F6102F" w:rsidRDefault="00F6102F" w:rsidP="00812D24">
      <w:pPr>
        <w:spacing w:line="480" w:lineRule="auto"/>
        <w:ind w:firstLine="360"/>
        <w:jc w:val="both"/>
        <w:rPr>
          <w:rFonts w:ascii="Book Antiqua" w:hAnsi="Book Antiqua"/>
          <w:lang w:val="es-PR"/>
        </w:rPr>
      </w:pPr>
      <w:r w:rsidRPr="00F6102F">
        <w:rPr>
          <w:rFonts w:ascii="Book Antiqua" w:hAnsi="Book Antiqua"/>
          <w:lang w:val="es-PR"/>
        </w:rPr>
        <w:t>Artículo 4. – Vigencia</w:t>
      </w:r>
    </w:p>
    <w:p w14:paraId="14DE6C7B" w14:textId="074EA4E4" w:rsidR="00173FD0" w:rsidRPr="00BC6728" w:rsidRDefault="00F6102F" w:rsidP="00812D24">
      <w:pPr>
        <w:spacing w:line="480" w:lineRule="auto"/>
        <w:ind w:firstLine="360"/>
        <w:jc w:val="both"/>
        <w:rPr>
          <w:rFonts w:ascii="Book Antiqua" w:hAnsi="Book Antiqua"/>
          <w:lang w:val="es-ES"/>
        </w:rPr>
      </w:pPr>
      <w:r w:rsidRPr="00F6102F">
        <w:rPr>
          <w:rFonts w:ascii="Book Antiqua" w:hAnsi="Book Antiqua"/>
          <w:lang w:val="es-PR"/>
        </w:rPr>
        <w:t>Esta ley comenzará a regir inmediatamente después de su aprobación.</w:t>
      </w:r>
    </w:p>
    <w:sectPr w:rsidR="00173FD0" w:rsidRPr="00BC6728"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2CF622" w14:textId="77777777" w:rsidR="00EC4BC1" w:rsidRDefault="00EC4BC1">
      <w:r>
        <w:separator/>
      </w:r>
    </w:p>
  </w:endnote>
  <w:endnote w:type="continuationSeparator" w:id="0">
    <w:p w14:paraId="04BDD5FC" w14:textId="77777777" w:rsidR="00EC4BC1" w:rsidRDefault="00EC4B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2A8ADD" w14:textId="77777777" w:rsidR="00EC4BC1" w:rsidRDefault="00EC4BC1">
      <w:r>
        <w:separator/>
      </w:r>
    </w:p>
  </w:footnote>
  <w:footnote w:type="continuationSeparator" w:id="0">
    <w:p w14:paraId="754D2A40" w14:textId="77777777" w:rsidR="00EC4BC1" w:rsidRDefault="00EC4B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176D925E" w:rsidR="000F4204" w:rsidRDefault="000F4204">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BF10EF">
      <w:rPr>
        <w:rStyle w:val="Nmerodepgina"/>
        <w:noProof/>
      </w:rPr>
      <w:t>14</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3AF9D" w14:textId="60EA9A86" w:rsidR="00733856" w:rsidRPr="00733856" w:rsidRDefault="00733856" w:rsidP="00733856">
    <w:pPr>
      <w:pStyle w:val="Encabezado"/>
      <w:jc w:val="right"/>
      <w:rPr>
        <w:rFonts w:ascii="Book Antiqua" w:hAnsi="Book Antiqua"/>
      </w:rPr>
    </w:pPr>
  </w:p>
  <w:p w14:paraId="4571FB0C" w14:textId="16BEECC3" w:rsidR="00996523" w:rsidRDefault="00996523">
    <w:pPr>
      <w:pStyle w:val="Encabezado"/>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AB66BC0"/>
    <w:multiLevelType w:val="hybridMultilevel"/>
    <w:tmpl w:val="DE04D94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5" w15:restartNumberingAfterBreak="0">
    <w:nsid w:val="37E053AD"/>
    <w:multiLevelType w:val="hybridMultilevel"/>
    <w:tmpl w:val="59163994"/>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A3369C4"/>
    <w:multiLevelType w:val="hybridMultilevel"/>
    <w:tmpl w:val="AAF4F7F4"/>
    <w:lvl w:ilvl="0" w:tplc="C69CD5A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431F4457"/>
    <w:multiLevelType w:val="hybridMultilevel"/>
    <w:tmpl w:val="215AFE70"/>
    <w:lvl w:ilvl="0" w:tplc="75E0A61C">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0"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11"/>
  </w:num>
  <w:num w:numId="3" w16cid:durableId="1132467">
    <w:abstractNumId w:val="7"/>
  </w:num>
  <w:num w:numId="4" w16cid:durableId="702096654">
    <w:abstractNumId w:val="8"/>
  </w:num>
  <w:num w:numId="5" w16cid:durableId="496698076">
    <w:abstractNumId w:val="10"/>
  </w:num>
  <w:num w:numId="6" w16cid:durableId="1469207924">
    <w:abstractNumId w:val="2"/>
  </w:num>
  <w:num w:numId="7" w16cid:durableId="355935514">
    <w:abstractNumId w:val="4"/>
  </w:num>
  <w:num w:numId="8" w16cid:durableId="259021808">
    <w:abstractNumId w:val="1"/>
  </w:num>
  <w:num w:numId="9" w16cid:durableId="957763560">
    <w:abstractNumId w:val="12"/>
  </w:num>
  <w:num w:numId="10" w16cid:durableId="229004811">
    <w:abstractNumId w:val="6"/>
  </w:num>
  <w:num w:numId="11" w16cid:durableId="465707011">
    <w:abstractNumId w:val="9"/>
  </w:num>
  <w:num w:numId="12" w16cid:durableId="1678343964">
    <w:abstractNumId w:val="3"/>
  </w:num>
  <w:num w:numId="13" w16cid:durableId="15647571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147C3"/>
    <w:rsid w:val="00020BBB"/>
    <w:rsid w:val="00032A23"/>
    <w:rsid w:val="00034585"/>
    <w:rsid w:val="00042256"/>
    <w:rsid w:val="00050033"/>
    <w:rsid w:val="0005106B"/>
    <w:rsid w:val="00056024"/>
    <w:rsid w:val="0006369A"/>
    <w:rsid w:val="0006657F"/>
    <w:rsid w:val="00075607"/>
    <w:rsid w:val="00081687"/>
    <w:rsid w:val="00091706"/>
    <w:rsid w:val="00095AE1"/>
    <w:rsid w:val="000A6B6C"/>
    <w:rsid w:val="000B0DBB"/>
    <w:rsid w:val="000B5CD7"/>
    <w:rsid w:val="000F2029"/>
    <w:rsid w:val="000F4204"/>
    <w:rsid w:val="0010351B"/>
    <w:rsid w:val="0011037A"/>
    <w:rsid w:val="00111E71"/>
    <w:rsid w:val="00126BCB"/>
    <w:rsid w:val="00127C6A"/>
    <w:rsid w:val="001363FE"/>
    <w:rsid w:val="00143350"/>
    <w:rsid w:val="001466C3"/>
    <w:rsid w:val="001531F9"/>
    <w:rsid w:val="0017132B"/>
    <w:rsid w:val="00173FD0"/>
    <w:rsid w:val="001905DA"/>
    <w:rsid w:val="00192F82"/>
    <w:rsid w:val="001B7D57"/>
    <w:rsid w:val="001C006D"/>
    <w:rsid w:val="001D24BE"/>
    <w:rsid w:val="001D6A0D"/>
    <w:rsid w:val="001F4CA3"/>
    <w:rsid w:val="001F612A"/>
    <w:rsid w:val="00210371"/>
    <w:rsid w:val="00211396"/>
    <w:rsid w:val="0021216D"/>
    <w:rsid w:val="002205E2"/>
    <w:rsid w:val="002239A2"/>
    <w:rsid w:val="00226AE6"/>
    <w:rsid w:val="00245B34"/>
    <w:rsid w:val="00251962"/>
    <w:rsid w:val="00263355"/>
    <w:rsid w:val="00273792"/>
    <w:rsid w:val="00274558"/>
    <w:rsid w:val="00276BD5"/>
    <w:rsid w:val="002C6DEA"/>
    <w:rsid w:val="002D1566"/>
    <w:rsid w:val="002D4AC8"/>
    <w:rsid w:val="002D55FA"/>
    <w:rsid w:val="002F0A85"/>
    <w:rsid w:val="003069A5"/>
    <w:rsid w:val="00312328"/>
    <w:rsid w:val="00320D78"/>
    <w:rsid w:val="003262FE"/>
    <w:rsid w:val="00327159"/>
    <w:rsid w:val="00330840"/>
    <w:rsid w:val="0034244A"/>
    <w:rsid w:val="00351F2D"/>
    <w:rsid w:val="003573BD"/>
    <w:rsid w:val="00380FE5"/>
    <w:rsid w:val="003918AF"/>
    <w:rsid w:val="003924DD"/>
    <w:rsid w:val="00394FCB"/>
    <w:rsid w:val="00395D1B"/>
    <w:rsid w:val="003963F4"/>
    <w:rsid w:val="003B3CBC"/>
    <w:rsid w:val="003B5254"/>
    <w:rsid w:val="003B75A6"/>
    <w:rsid w:val="003E1DFE"/>
    <w:rsid w:val="00405EF0"/>
    <w:rsid w:val="004061CA"/>
    <w:rsid w:val="004139BD"/>
    <w:rsid w:val="00415689"/>
    <w:rsid w:val="00436B43"/>
    <w:rsid w:val="004440CB"/>
    <w:rsid w:val="00444D0D"/>
    <w:rsid w:val="0045085C"/>
    <w:rsid w:val="004548EA"/>
    <w:rsid w:val="004713D2"/>
    <w:rsid w:val="00475278"/>
    <w:rsid w:val="00475E14"/>
    <w:rsid w:val="00482039"/>
    <w:rsid w:val="004A1552"/>
    <w:rsid w:val="004A311A"/>
    <w:rsid w:val="004B7C8D"/>
    <w:rsid w:val="004D5973"/>
    <w:rsid w:val="004E029D"/>
    <w:rsid w:val="004F6F8E"/>
    <w:rsid w:val="00515E15"/>
    <w:rsid w:val="0051629D"/>
    <w:rsid w:val="00521639"/>
    <w:rsid w:val="00521F2C"/>
    <w:rsid w:val="0052618B"/>
    <w:rsid w:val="00532BB7"/>
    <w:rsid w:val="005332E4"/>
    <w:rsid w:val="0053550C"/>
    <w:rsid w:val="00547BD2"/>
    <w:rsid w:val="00555018"/>
    <w:rsid w:val="005723DC"/>
    <w:rsid w:val="005733E1"/>
    <w:rsid w:val="005C2E50"/>
    <w:rsid w:val="005C65A3"/>
    <w:rsid w:val="005D079C"/>
    <w:rsid w:val="005D79A1"/>
    <w:rsid w:val="006011EA"/>
    <w:rsid w:val="0060253C"/>
    <w:rsid w:val="006104EC"/>
    <w:rsid w:val="006179FD"/>
    <w:rsid w:val="006210DC"/>
    <w:rsid w:val="00642565"/>
    <w:rsid w:val="0064349D"/>
    <w:rsid w:val="00643D93"/>
    <w:rsid w:val="00651FF1"/>
    <w:rsid w:val="00653EED"/>
    <w:rsid w:val="006552DE"/>
    <w:rsid w:val="006629E0"/>
    <w:rsid w:val="00684BAC"/>
    <w:rsid w:val="00685549"/>
    <w:rsid w:val="006A23E8"/>
    <w:rsid w:val="006B640E"/>
    <w:rsid w:val="006B7365"/>
    <w:rsid w:val="006C214B"/>
    <w:rsid w:val="006C2D81"/>
    <w:rsid w:val="006C7DF8"/>
    <w:rsid w:val="006E123D"/>
    <w:rsid w:val="0070428A"/>
    <w:rsid w:val="00733856"/>
    <w:rsid w:val="00750FC8"/>
    <w:rsid w:val="007533D0"/>
    <w:rsid w:val="00755069"/>
    <w:rsid w:val="00772304"/>
    <w:rsid w:val="00782D50"/>
    <w:rsid w:val="00797B4B"/>
    <w:rsid w:val="007B0660"/>
    <w:rsid w:val="007B5D9D"/>
    <w:rsid w:val="007B7B7D"/>
    <w:rsid w:val="007C057A"/>
    <w:rsid w:val="007D32F8"/>
    <w:rsid w:val="007D6C27"/>
    <w:rsid w:val="007E3868"/>
    <w:rsid w:val="007F1746"/>
    <w:rsid w:val="00802D4E"/>
    <w:rsid w:val="00811E92"/>
    <w:rsid w:val="00812D24"/>
    <w:rsid w:val="00820C41"/>
    <w:rsid w:val="00826975"/>
    <w:rsid w:val="00844617"/>
    <w:rsid w:val="00850256"/>
    <w:rsid w:val="008508AE"/>
    <w:rsid w:val="00854B10"/>
    <w:rsid w:val="00857997"/>
    <w:rsid w:val="00860ADC"/>
    <w:rsid w:val="00867A23"/>
    <w:rsid w:val="0088408D"/>
    <w:rsid w:val="00890B54"/>
    <w:rsid w:val="00893AD7"/>
    <w:rsid w:val="008A0ACC"/>
    <w:rsid w:val="008C2489"/>
    <w:rsid w:val="008C4133"/>
    <w:rsid w:val="008D2C7D"/>
    <w:rsid w:val="008D44C5"/>
    <w:rsid w:val="008E173A"/>
    <w:rsid w:val="008F3F61"/>
    <w:rsid w:val="009035B9"/>
    <w:rsid w:val="00923EC3"/>
    <w:rsid w:val="00924DCC"/>
    <w:rsid w:val="00931106"/>
    <w:rsid w:val="00933B98"/>
    <w:rsid w:val="0093686F"/>
    <w:rsid w:val="00942FD4"/>
    <w:rsid w:val="00951997"/>
    <w:rsid w:val="009639E1"/>
    <w:rsid w:val="00972572"/>
    <w:rsid w:val="0097693A"/>
    <w:rsid w:val="00990352"/>
    <w:rsid w:val="00990819"/>
    <w:rsid w:val="00995607"/>
    <w:rsid w:val="00996523"/>
    <w:rsid w:val="009A0423"/>
    <w:rsid w:val="009A5AA4"/>
    <w:rsid w:val="009B4897"/>
    <w:rsid w:val="009B68F7"/>
    <w:rsid w:val="009F35CF"/>
    <w:rsid w:val="00A03405"/>
    <w:rsid w:val="00A10B1E"/>
    <w:rsid w:val="00A12BB9"/>
    <w:rsid w:val="00A1528A"/>
    <w:rsid w:val="00A25B1B"/>
    <w:rsid w:val="00A33918"/>
    <w:rsid w:val="00A62B63"/>
    <w:rsid w:val="00A738E8"/>
    <w:rsid w:val="00A7629F"/>
    <w:rsid w:val="00A842B4"/>
    <w:rsid w:val="00A87FD3"/>
    <w:rsid w:val="00A93CDA"/>
    <w:rsid w:val="00AA43B5"/>
    <w:rsid w:val="00AA6140"/>
    <w:rsid w:val="00AB248D"/>
    <w:rsid w:val="00AD2305"/>
    <w:rsid w:val="00AD7D79"/>
    <w:rsid w:val="00AE19F4"/>
    <w:rsid w:val="00AE36A9"/>
    <w:rsid w:val="00AF0CEE"/>
    <w:rsid w:val="00B041BD"/>
    <w:rsid w:val="00B2475B"/>
    <w:rsid w:val="00B24CCF"/>
    <w:rsid w:val="00B335B4"/>
    <w:rsid w:val="00B453F4"/>
    <w:rsid w:val="00B51ED2"/>
    <w:rsid w:val="00B667AD"/>
    <w:rsid w:val="00B66A9A"/>
    <w:rsid w:val="00B67768"/>
    <w:rsid w:val="00B74AA8"/>
    <w:rsid w:val="00B833A0"/>
    <w:rsid w:val="00B834FC"/>
    <w:rsid w:val="00B84C38"/>
    <w:rsid w:val="00B86C00"/>
    <w:rsid w:val="00B947F6"/>
    <w:rsid w:val="00BC5540"/>
    <w:rsid w:val="00BC6728"/>
    <w:rsid w:val="00BE4F10"/>
    <w:rsid w:val="00BF10EF"/>
    <w:rsid w:val="00BF16AA"/>
    <w:rsid w:val="00C27293"/>
    <w:rsid w:val="00C346ED"/>
    <w:rsid w:val="00C354B8"/>
    <w:rsid w:val="00C37B5E"/>
    <w:rsid w:val="00C52517"/>
    <w:rsid w:val="00C60921"/>
    <w:rsid w:val="00C61FFF"/>
    <w:rsid w:val="00C6282C"/>
    <w:rsid w:val="00C62936"/>
    <w:rsid w:val="00C653F2"/>
    <w:rsid w:val="00C679E6"/>
    <w:rsid w:val="00C7084D"/>
    <w:rsid w:val="00C768A8"/>
    <w:rsid w:val="00C908F9"/>
    <w:rsid w:val="00CA0917"/>
    <w:rsid w:val="00CA1099"/>
    <w:rsid w:val="00CA1CEC"/>
    <w:rsid w:val="00CC0F45"/>
    <w:rsid w:val="00CC1C08"/>
    <w:rsid w:val="00CC49B0"/>
    <w:rsid w:val="00CD250B"/>
    <w:rsid w:val="00CD5D2B"/>
    <w:rsid w:val="00CE729C"/>
    <w:rsid w:val="00CF2B35"/>
    <w:rsid w:val="00CF7CF6"/>
    <w:rsid w:val="00D046E5"/>
    <w:rsid w:val="00D1295E"/>
    <w:rsid w:val="00D24AC5"/>
    <w:rsid w:val="00D40CD7"/>
    <w:rsid w:val="00D417C2"/>
    <w:rsid w:val="00D429C3"/>
    <w:rsid w:val="00D453F8"/>
    <w:rsid w:val="00D56804"/>
    <w:rsid w:val="00D57FFD"/>
    <w:rsid w:val="00D60936"/>
    <w:rsid w:val="00D672A6"/>
    <w:rsid w:val="00D709EB"/>
    <w:rsid w:val="00D74714"/>
    <w:rsid w:val="00D82F3F"/>
    <w:rsid w:val="00D84426"/>
    <w:rsid w:val="00D86D84"/>
    <w:rsid w:val="00D90087"/>
    <w:rsid w:val="00D921C6"/>
    <w:rsid w:val="00D958C2"/>
    <w:rsid w:val="00DA454C"/>
    <w:rsid w:val="00DA735E"/>
    <w:rsid w:val="00DB4A9E"/>
    <w:rsid w:val="00DC795B"/>
    <w:rsid w:val="00DD0A78"/>
    <w:rsid w:val="00DD2AA2"/>
    <w:rsid w:val="00DD5E48"/>
    <w:rsid w:val="00DE2C63"/>
    <w:rsid w:val="00DE56DE"/>
    <w:rsid w:val="00DE7377"/>
    <w:rsid w:val="00E01271"/>
    <w:rsid w:val="00E04AB5"/>
    <w:rsid w:val="00E133E8"/>
    <w:rsid w:val="00E16745"/>
    <w:rsid w:val="00E2693F"/>
    <w:rsid w:val="00E3240C"/>
    <w:rsid w:val="00E50EEA"/>
    <w:rsid w:val="00E52F58"/>
    <w:rsid w:val="00E62E17"/>
    <w:rsid w:val="00E7058A"/>
    <w:rsid w:val="00E814AD"/>
    <w:rsid w:val="00E815FE"/>
    <w:rsid w:val="00E83E64"/>
    <w:rsid w:val="00EA7E26"/>
    <w:rsid w:val="00EB0943"/>
    <w:rsid w:val="00EC26AA"/>
    <w:rsid w:val="00EC4BC1"/>
    <w:rsid w:val="00EC5DD6"/>
    <w:rsid w:val="00ED7A53"/>
    <w:rsid w:val="00EE0647"/>
    <w:rsid w:val="00EE4273"/>
    <w:rsid w:val="00EF6CE9"/>
    <w:rsid w:val="00F02004"/>
    <w:rsid w:val="00F042CB"/>
    <w:rsid w:val="00F06507"/>
    <w:rsid w:val="00F13533"/>
    <w:rsid w:val="00F235B2"/>
    <w:rsid w:val="00F239B6"/>
    <w:rsid w:val="00F24D4C"/>
    <w:rsid w:val="00F30DE9"/>
    <w:rsid w:val="00F54C0C"/>
    <w:rsid w:val="00F60A20"/>
    <w:rsid w:val="00F6102F"/>
    <w:rsid w:val="00F70D3E"/>
    <w:rsid w:val="00F819AF"/>
    <w:rsid w:val="00F90D72"/>
    <w:rsid w:val="00F927AF"/>
    <w:rsid w:val="00FA7059"/>
    <w:rsid w:val="00FB0C55"/>
    <w:rsid w:val="00FC0A95"/>
    <w:rsid w:val="00FC3D9C"/>
    <w:rsid w:val="00FD2AD2"/>
    <w:rsid w:val="00FE4567"/>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link w:val="EncabezadoCar"/>
    <w:uiPriority w:val="99"/>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notapie">
    <w:name w:val="footnote text"/>
    <w:basedOn w:val="Normal"/>
    <w:link w:val="TextonotapieC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TextonotapieCar">
    <w:name w:val="Texto nota pie Car"/>
    <w:basedOn w:val="Fuentedeprrafopredeter"/>
    <w:link w:val="Textonotapie"/>
    <w:uiPriority w:val="99"/>
    <w:semiHidden/>
    <w:rsid w:val="00F13533"/>
  </w:style>
  <w:style w:type="character" w:styleId="Refdenotaalpie">
    <w:name w:val="footnote reference"/>
    <w:basedOn w:val="Fuentedeprrafopredeter"/>
    <w:uiPriority w:val="99"/>
    <w:semiHidden/>
    <w:unhideWhenUsed/>
    <w:rsid w:val="00F13533"/>
    <w:rPr>
      <w:vertAlign w:val="superscript"/>
    </w:rPr>
  </w:style>
  <w:style w:type="character" w:styleId="Hipervnculo">
    <w:name w:val="Hyperlink"/>
    <w:basedOn w:val="Fuentedeprrafopredeter"/>
    <w:uiPriority w:val="99"/>
    <w:unhideWhenUsed/>
    <w:rsid w:val="00F13533"/>
    <w:rPr>
      <w:color w:val="0563C1" w:themeColor="hyperlink"/>
      <w:u w:val="single"/>
    </w:rPr>
  </w:style>
  <w:style w:type="character" w:customStyle="1" w:styleId="UnresolvedMention1">
    <w:name w:val="Unresolved Mention1"/>
    <w:basedOn w:val="Fuentedeprrafopredeter"/>
    <w:uiPriority w:val="99"/>
    <w:semiHidden/>
    <w:unhideWhenUsed/>
    <w:rsid w:val="00F13533"/>
    <w:rPr>
      <w:color w:val="605E5C"/>
      <w:shd w:val="clear" w:color="auto" w:fill="E1DFDD"/>
    </w:rPr>
  </w:style>
  <w:style w:type="paragraph" w:styleId="Revisin">
    <w:name w:val="Revision"/>
    <w:hidden/>
    <w:uiPriority w:val="99"/>
    <w:semiHidden/>
    <w:rsid w:val="00EE0647"/>
    <w:rPr>
      <w:sz w:val="24"/>
    </w:rPr>
  </w:style>
  <w:style w:type="character" w:styleId="Refdecomentario">
    <w:name w:val="annotation reference"/>
    <w:basedOn w:val="Fuentedeprrafopredeter"/>
    <w:uiPriority w:val="99"/>
    <w:semiHidden/>
    <w:unhideWhenUsed/>
    <w:rsid w:val="00EE0647"/>
    <w:rPr>
      <w:sz w:val="16"/>
      <w:szCs w:val="16"/>
    </w:rPr>
  </w:style>
  <w:style w:type="paragraph" w:styleId="Textocomentario">
    <w:name w:val="annotation text"/>
    <w:basedOn w:val="Normal"/>
    <w:link w:val="TextocomentarioCar"/>
    <w:uiPriority w:val="99"/>
    <w:semiHidden/>
    <w:unhideWhenUsed/>
    <w:rsid w:val="00EE0647"/>
    <w:rPr>
      <w:sz w:val="20"/>
    </w:rPr>
  </w:style>
  <w:style w:type="character" w:customStyle="1" w:styleId="TextocomentarioCar">
    <w:name w:val="Texto comentario Car"/>
    <w:basedOn w:val="Fuentedeprrafopredeter"/>
    <w:link w:val="Textocomentario"/>
    <w:uiPriority w:val="99"/>
    <w:semiHidden/>
    <w:rsid w:val="00EE0647"/>
  </w:style>
  <w:style w:type="paragraph" w:styleId="Asuntodelcomentario">
    <w:name w:val="annotation subject"/>
    <w:basedOn w:val="Textocomentario"/>
    <w:next w:val="Textocomentario"/>
    <w:link w:val="AsuntodelcomentarioCar"/>
    <w:uiPriority w:val="99"/>
    <w:semiHidden/>
    <w:unhideWhenUsed/>
    <w:rsid w:val="00EE0647"/>
    <w:rPr>
      <w:b/>
      <w:bCs/>
    </w:rPr>
  </w:style>
  <w:style w:type="character" w:customStyle="1" w:styleId="AsuntodelcomentarioCar">
    <w:name w:val="Asunto del comentario Car"/>
    <w:basedOn w:val="TextocomentarioCar"/>
    <w:link w:val="Asuntodelcomentario"/>
    <w:uiPriority w:val="99"/>
    <w:semiHidden/>
    <w:rsid w:val="00EE0647"/>
    <w:rPr>
      <w:b/>
      <w:bCs/>
    </w:rPr>
  </w:style>
  <w:style w:type="paragraph" w:styleId="Textodeglobo">
    <w:name w:val="Balloon Text"/>
    <w:basedOn w:val="Normal"/>
    <w:link w:val="TextodegloboCar"/>
    <w:uiPriority w:val="99"/>
    <w:semiHidden/>
    <w:unhideWhenUsed/>
    <w:rsid w:val="0011037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037A"/>
    <w:rPr>
      <w:rFonts w:ascii="Segoe UI" w:hAnsi="Segoe UI" w:cs="Segoe UI"/>
      <w:sz w:val="18"/>
      <w:szCs w:val="18"/>
    </w:rPr>
  </w:style>
  <w:style w:type="paragraph" w:styleId="Prrafodelista">
    <w:name w:val="List Paragraph"/>
    <w:basedOn w:val="Normal"/>
    <w:uiPriority w:val="34"/>
    <w:qFormat/>
    <w:rsid w:val="00D1295E"/>
    <w:pPr>
      <w:ind w:left="720"/>
      <w:contextualSpacing/>
    </w:pPr>
  </w:style>
  <w:style w:type="paragraph" w:customStyle="1" w:styleId="sectext">
    <w:name w:val="sectext"/>
    <w:rsid w:val="00D56804"/>
    <w:pPr>
      <w:widowControl w:val="0"/>
      <w:autoSpaceDE w:val="0"/>
      <w:autoSpaceDN w:val="0"/>
      <w:adjustRightInd w:val="0"/>
    </w:pPr>
    <w:rPr>
      <w:sz w:val="24"/>
      <w:szCs w:val="24"/>
    </w:rPr>
  </w:style>
  <w:style w:type="character" w:customStyle="1" w:styleId="EncabezadoCar">
    <w:name w:val="Encabezado Car"/>
    <w:basedOn w:val="Fuentedeprrafopredeter"/>
    <w:link w:val="Encabezado"/>
    <w:uiPriority w:val="99"/>
    <w:rsid w:val="007338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20/10/relationships/intelligence" Target="intelligence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991</Words>
  <Characters>5652</Characters>
  <Application>Microsoft Office Word</Application>
  <DocSecurity>0</DocSecurity>
  <Lines>47</Lines>
  <Paragraphs>13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LinksUpToDate>false</LinksUpToDate>
  <CharactersWithSpaces>6630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Rocío Alayón Morell</cp:lastModifiedBy>
  <cp:revision>4</cp:revision>
  <cp:lastPrinted>2026-03-26T20:48:00Z</cp:lastPrinted>
  <dcterms:created xsi:type="dcterms:W3CDTF">2026-04-29T17:05:00Z</dcterms:created>
  <dcterms:modified xsi:type="dcterms:W3CDTF">2026-04-30T13:14:00Z</dcterms:modified>
</cp:coreProperties>
</file>