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10319" w14:textId="3CBD2FAE" w:rsidR="003C1CCD" w:rsidRPr="00E26C0C" w:rsidRDefault="00AC2817" w:rsidP="00A4364B">
      <w:pPr>
        <w:suppressLineNumbers/>
        <w:jc w:val="center"/>
        <w:rPr>
          <w:rFonts w:ascii="Book Antiqua" w:hAnsi="Book Antiqua"/>
          <w:lang w:val="es-ES_tradnl"/>
        </w:rPr>
      </w:pPr>
      <w:r>
        <w:rPr>
          <w:rFonts w:ascii="Book Antiqua" w:hAnsi="Book Antiqua"/>
          <w:sz w:val="28"/>
          <w:szCs w:val="28"/>
          <w:lang w:val="es-ES_tradnl"/>
        </w:rPr>
        <w:t>GOBIERNO</w:t>
      </w:r>
      <w:r w:rsidR="00A4364B" w:rsidRPr="00E26C0C">
        <w:rPr>
          <w:rFonts w:ascii="Book Antiqua" w:hAnsi="Book Antiqua"/>
          <w:sz w:val="28"/>
          <w:szCs w:val="28"/>
          <w:lang w:val="es-ES_tradnl"/>
        </w:rPr>
        <w:t xml:space="preserve"> </w:t>
      </w:r>
      <w:r w:rsidR="00EF11A2" w:rsidRPr="00E26C0C">
        <w:rPr>
          <w:rFonts w:ascii="Book Antiqua" w:hAnsi="Book Antiqua"/>
          <w:sz w:val="28"/>
          <w:szCs w:val="28"/>
          <w:lang w:val="es-ES_tradnl"/>
        </w:rPr>
        <w:t>DE PUERTO RICO</w:t>
      </w:r>
    </w:p>
    <w:p w14:paraId="27D0A97B" w14:textId="77777777" w:rsidR="003C1CCD" w:rsidRPr="00E26C0C" w:rsidRDefault="003C1CCD" w:rsidP="00A4364B">
      <w:pPr>
        <w:suppressLineNumbers/>
        <w:jc w:val="center"/>
        <w:rPr>
          <w:rFonts w:ascii="Book Antiqua" w:hAnsi="Book Antiqua"/>
          <w:lang w:val="es-ES_tradnl"/>
        </w:rPr>
      </w:pPr>
    </w:p>
    <w:p w14:paraId="0B028D88" w14:textId="0F8A74BB" w:rsidR="00BC480A" w:rsidRPr="00E26C0C" w:rsidRDefault="00AC2817" w:rsidP="00A4364B">
      <w:pPr>
        <w:pStyle w:val="Title20"/>
        <w:suppressLineNumbers/>
        <w:rPr>
          <w:rFonts w:ascii="Book Antiqua" w:hAnsi="Book Antiqua"/>
          <w:szCs w:val="24"/>
          <w:lang w:val="es-ES_tradnl"/>
        </w:rPr>
      </w:pPr>
      <w:r>
        <w:rPr>
          <w:rFonts w:ascii="Book Antiqua" w:hAnsi="Book Antiqua"/>
          <w:szCs w:val="24"/>
          <w:lang w:val="es-ES_tradnl"/>
        </w:rPr>
        <w:t>20</w:t>
      </w:r>
      <w:r w:rsidR="00BC480A" w:rsidRPr="00E26C0C">
        <w:rPr>
          <w:rFonts w:ascii="Book Antiqua" w:hAnsi="Book Antiqua"/>
          <w:szCs w:val="24"/>
          <w:vertAlign w:val="superscript"/>
          <w:lang w:val="es-ES_tradnl"/>
        </w:rPr>
        <w:t>n</w:t>
      </w:r>
      <w:r w:rsidR="009425FE" w:rsidRPr="00E26C0C">
        <w:rPr>
          <w:rFonts w:ascii="Book Antiqua" w:hAnsi="Book Antiqua"/>
          <w:szCs w:val="24"/>
          <w:vertAlign w:val="superscript"/>
          <w:lang w:val="es-ES_tradnl"/>
        </w:rPr>
        <w:t>a.</w:t>
      </w:r>
      <w:r w:rsidR="00BC480A" w:rsidRPr="00E26C0C">
        <w:rPr>
          <w:rFonts w:ascii="Book Antiqua" w:hAnsi="Book Antiqua"/>
          <w:szCs w:val="24"/>
          <w:lang w:val="es-ES_tradnl"/>
        </w:rPr>
        <w:tab/>
        <w:t>Asamblea</w:t>
      </w:r>
      <w:r w:rsidR="00BC480A" w:rsidRPr="00E26C0C">
        <w:rPr>
          <w:rFonts w:ascii="Book Antiqua" w:hAnsi="Book Antiqua"/>
          <w:szCs w:val="24"/>
          <w:lang w:val="es-ES_tradnl"/>
        </w:rPr>
        <w:tab/>
      </w:r>
      <w:r w:rsidR="00F15393">
        <w:rPr>
          <w:rFonts w:ascii="Book Antiqua" w:hAnsi="Book Antiqua"/>
          <w:szCs w:val="24"/>
          <w:lang w:val="es-ES_tradnl"/>
        </w:rPr>
        <w:t>3</w:t>
      </w:r>
      <w:r w:rsidR="00F15393">
        <w:rPr>
          <w:rFonts w:ascii="Book Antiqua" w:hAnsi="Book Antiqua"/>
          <w:szCs w:val="24"/>
          <w:vertAlign w:val="superscript"/>
          <w:lang w:val="es-ES_tradnl"/>
        </w:rPr>
        <w:t>r</w:t>
      </w:r>
      <w:r w:rsidR="00F407C4" w:rsidRPr="00E26C0C">
        <w:rPr>
          <w:rFonts w:ascii="Book Antiqua" w:hAnsi="Book Antiqua"/>
          <w:szCs w:val="24"/>
          <w:vertAlign w:val="superscript"/>
          <w:lang w:val="es-ES_tradnl"/>
        </w:rPr>
        <w:t>a</w:t>
      </w:r>
      <w:r w:rsidR="00BC480A" w:rsidRPr="00E26C0C">
        <w:rPr>
          <w:rFonts w:ascii="Book Antiqua" w:hAnsi="Book Antiqua"/>
          <w:szCs w:val="24"/>
          <w:vertAlign w:val="superscript"/>
          <w:lang w:val="es-ES_tradnl"/>
        </w:rPr>
        <w:t>.</w:t>
      </w:r>
      <w:r w:rsidR="00BC480A" w:rsidRPr="00E26C0C">
        <w:rPr>
          <w:rFonts w:ascii="Book Antiqua" w:hAnsi="Book Antiqua"/>
          <w:szCs w:val="24"/>
          <w:lang w:val="es-ES_tradnl"/>
        </w:rPr>
        <w:tab/>
        <w:t>Sesión</w:t>
      </w:r>
    </w:p>
    <w:p w14:paraId="7BFC5692" w14:textId="77777777" w:rsidR="00BC480A" w:rsidRPr="00E26C0C" w:rsidRDefault="00BC480A" w:rsidP="00A4364B">
      <w:pPr>
        <w:pStyle w:val="Title20"/>
        <w:suppressLineNumbers/>
        <w:rPr>
          <w:rFonts w:ascii="Book Antiqua" w:hAnsi="Book Antiqua"/>
          <w:szCs w:val="24"/>
          <w:lang w:val="es-ES_tradnl"/>
        </w:rPr>
      </w:pPr>
      <w:r w:rsidRPr="00E26C0C">
        <w:rPr>
          <w:rFonts w:ascii="Book Antiqua" w:hAnsi="Book Antiqua"/>
          <w:szCs w:val="24"/>
          <w:lang w:val="es-ES_tradnl"/>
        </w:rPr>
        <w:tab/>
        <w:t>Legislativa</w:t>
      </w:r>
      <w:r w:rsidRPr="00E26C0C">
        <w:rPr>
          <w:rFonts w:ascii="Book Antiqua" w:hAnsi="Book Antiqua"/>
          <w:szCs w:val="24"/>
          <w:lang w:val="es-ES_tradnl"/>
        </w:rPr>
        <w:tab/>
      </w:r>
      <w:r w:rsidRPr="00E26C0C">
        <w:rPr>
          <w:rFonts w:ascii="Book Antiqua" w:hAnsi="Book Antiqua"/>
          <w:szCs w:val="24"/>
          <w:lang w:val="es-ES_tradnl"/>
        </w:rPr>
        <w:tab/>
        <w:t>Ordinaria</w:t>
      </w:r>
    </w:p>
    <w:p w14:paraId="1A9219C6" w14:textId="77777777" w:rsidR="003C1CCD" w:rsidRPr="00E26C0C" w:rsidRDefault="003C1CCD" w:rsidP="00A4364B">
      <w:pPr>
        <w:suppressLineNumbers/>
        <w:rPr>
          <w:rFonts w:ascii="Book Antiqua" w:hAnsi="Book Antiqua"/>
          <w:lang w:val="es-ES_tradnl"/>
        </w:rPr>
      </w:pPr>
    </w:p>
    <w:p w14:paraId="71F388A2" w14:textId="77777777" w:rsidR="003C1CCD" w:rsidRPr="00E26C0C" w:rsidRDefault="003C1CCD" w:rsidP="00A4364B">
      <w:pPr>
        <w:suppressLineNumbers/>
        <w:jc w:val="center"/>
        <w:rPr>
          <w:rFonts w:ascii="Book Antiqua" w:hAnsi="Book Antiqua"/>
          <w:b/>
          <w:sz w:val="36"/>
          <w:lang w:val="es-ES_tradnl"/>
        </w:rPr>
      </w:pPr>
      <w:r w:rsidRPr="00E26C0C">
        <w:rPr>
          <w:rFonts w:ascii="Book Antiqua" w:hAnsi="Book Antiqua"/>
          <w:b/>
          <w:sz w:val="36"/>
          <w:lang w:val="es-ES_tradnl"/>
        </w:rPr>
        <w:t>C</w:t>
      </w:r>
      <w:r w:rsidR="00BB1E66" w:rsidRPr="00E26C0C">
        <w:rPr>
          <w:rFonts w:ascii="Book Antiqua" w:hAnsi="Book Antiqua"/>
          <w:b/>
          <w:sz w:val="36"/>
          <w:lang w:val="es-ES_tradnl"/>
        </w:rPr>
        <w:t>Á</w:t>
      </w:r>
      <w:r w:rsidRPr="00E26C0C">
        <w:rPr>
          <w:rFonts w:ascii="Book Antiqua" w:hAnsi="Book Antiqua"/>
          <w:b/>
          <w:sz w:val="36"/>
          <w:lang w:val="es-ES_tradnl"/>
        </w:rPr>
        <w:t>MARA DE REPRESENTANTES</w:t>
      </w:r>
    </w:p>
    <w:p w14:paraId="26CDA889" w14:textId="77777777" w:rsidR="003C1CCD" w:rsidRPr="00E26C0C" w:rsidRDefault="003C1CCD" w:rsidP="00A4364B">
      <w:pPr>
        <w:suppressLineNumbers/>
        <w:jc w:val="center"/>
        <w:rPr>
          <w:rFonts w:ascii="Book Antiqua" w:hAnsi="Book Antiqua"/>
          <w:lang w:val="es-ES_tradnl"/>
        </w:rPr>
      </w:pPr>
    </w:p>
    <w:p w14:paraId="3AC76903" w14:textId="278D8218" w:rsidR="003C1CCD" w:rsidRPr="00E26C0C" w:rsidRDefault="003C1CCD" w:rsidP="00A4364B">
      <w:pPr>
        <w:suppressLineNumbers/>
        <w:jc w:val="center"/>
        <w:rPr>
          <w:rFonts w:ascii="Book Antiqua" w:hAnsi="Book Antiqua"/>
          <w:b/>
          <w:sz w:val="52"/>
          <w:lang w:val="es-ES_tradnl"/>
        </w:rPr>
      </w:pPr>
      <w:r w:rsidRPr="00E26C0C">
        <w:rPr>
          <w:rFonts w:ascii="Book Antiqua" w:hAnsi="Book Antiqua"/>
          <w:b/>
          <w:sz w:val="52"/>
          <w:lang w:val="es-ES_tradnl"/>
        </w:rPr>
        <w:t xml:space="preserve">P. </w:t>
      </w:r>
      <w:bookmarkStart w:id="0" w:name="_Hlk138151090"/>
      <w:r w:rsidRPr="00E26C0C">
        <w:rPr>
          <w:rFonts w:ascii="Book Antiqua" w:hAnsi="Book Antiqua"/>
          <w:b/>
          <w:sz w:val="52"/>
          <w:lang w:val="es-ES_tradnl"/>
        </w:rPr>
        <w:t>de la C.</w:t>
      </w:r>
      <w:bookmarkEnd w:id="0"/>
      <w:r w:rsidRPr="00E26C0C">
        <w:rPr>
          <w:rFonts w:ascii="Book Antiqua" w:hAnsi="Book Antiqua"/>
          <w:b/>
          <w:sz w:val="52"/>
          <w:lang w:val="es-ES_tradnl"/>
        </w:rPr>
        <w:t xml:space="preserve"> </w:t>
      </w:r>
      <w:r w:rsidR="00E71D8E">
        <w:rPr>
          <w:rFonts w:ascii="Book Antiqua" w:hAnsi="Book Antiqua"/>
          <w:b/>
          <w:sz w:val="52"/>
          <w:lang w:val="es-ES_tradnl"/>
        </w:rPr>
        <w:t>1244</w:t>
      </w:r>
    </w:p>
    <w:p w14:paraId="0F145862" w14:textId="77777777" w:rsidR="00E82CFE" w:rsidRPr="00E26C0C" w:rsidRDefault="00E82CFE" w:rsidP="00A4364B">
      <w:pPr>
        <w:suppressLineNumbers/>
        <w:jc w:val="center"/>
        <w:rPr>
          <w:rFonts w:ascii="Book Antiqua" w:hAnsi="Book Antiqua"/>
          <w:lang w:val="es-ES_tradnl"/>
        </w:rPr>
      </w:pPr>
    </w:p>
    <w:p w14:paraId="1A8F553C" w14:textId="64B95233" w:rsidR="003C1CCD" w:rsidRPr="00E26C0C" w:rsidRDefault="00E71D8E" w:rsidP="00A4364B">
      <w:pPr>
        <w:suppressLineNumbers/>
        <w:jc w:val="center"/>
        <w:rPr>
          <w:rFonts w:ascii="Book Antiqua" w:hAnsi="Book Antiqua"/>
          <w:lang w:val="es-ES_tradnl"/>
        </w:rPr>
      </w:pPr>
      <w:r>
        <w:rPr>
          <w:rFonts w:ascii="Book Antiqua" w:hAnsi="Book Antiqua"/>
          <w:lang w:val="es-ES_tradnl"/>
        </w:rPr>
        <w:t>30</w:t>
      </w:r>
      <w:r w:rsidR="00174D5C" w:rsidRPr="00E26C0C">
        <w:rPr>
          <w:rFonts w:ascii="Book Antiqua" w:hAnsi="Book Antiqua"/>
          <w:lang w:val="es-ES_tradnl"/>
        </w:rPr>
        <w:t xml:space="preserve"> </w:t>
      </w:r>
      <w:r w:rsidR="00F57412" w:rsidRPr="00E26C0C">
        <w:rPr>
          <w:rFonts w:ascii="Book Antiqua" w:hAnsi="Book Antiqua"/>
          <w:lang w:val="es-ES_tradnl"/>
        </w:rPr>
        <w:t xml:space="preserve">de </w:t>
      </w:r>
      <w:r w:rsidR="00EF3E58">
        <w:rPr>
          <w:rFonts w:ascii="Book Antiqua" w:hAnsi="Book Antiqua"/>
          <w:lang w:val="es-ES_tradnl"/>
        </w:rPr>
        <w:t>abril</w:t>
      </w:r>
      <w:r w:rsidR="00F57412" w:rsidRPr="00E26C0C">
        <w:rPr>
          <w:rFonts w:ascii="Book Antiqua" w:hAnsi="Book Antiqua"/>
          <w:lang w:val="es-ES_tradnl"/>
        </w:rPr>
        <w:t xml:space="preserve"> de 202</w:t>
      </w:r>
      <w:r w:rsidR="00AC70CB">
        <w:rPr>
          <w:rFonts w:ascii="Book Antiqua" w:hAnsi="Book Antiqua"/>
          <w:lang w:val="es-ES_tradnl"/>
        </w:rPr>
        <w:t>6</w:t>
      </w:r>
    </w:p>
    <w:p w14:paraId="07C5AA07" w14:textId="77777777" w:rsidR="003C1CCD" w:rsidRPr="00E26C0C" w:rsidRDefault="003C1CCD" w:rsidP="00A4364B">
      <w:pPr>
        <w:suppressLineNumbers/>
        <w:jc w:val="center"/>
        <w:rPr>
          <w:rFonts w:ascii="Book Antiqua" w:hAnsi="Book Antiqua"/>
          <w:lang w:val="es-ES_tradnl"/>
        </w:rPr>
      </w:pPr>
    </w:p>
    <w:p w14:paraId="4518901B" w14:textId="77777777" w:rsidR="004A0973" w:rsidRPr="00E26C0C" w:rsidRDefault="00CC21EC" w:rsidP="00CC21EC">
      <w:pPr>
        <w:suppressLineNumbers/>
        <w:jc w:val="center"/>
        <w:rPr>
          <w:rFonts w:ascii="Book Antiqua" w:hAnsi="Book Antiqua"/>
          <w:iCs/>
          <w:lang w:val="es-ES_tradnl"/>
        </w:rPr>
      </w:pPr>
      <w:r w:rsidRPr="00E26C0C">
        <w:rPr>
          <w:rFonts w:ascii="Book Antiqua" w:hAnsi="Book Antiqua"/>
          <w:lang w:val="es-ES_tradnl"/>
        </w:rPr>
        <w:t>Presentado por l</w:t>
      </w:r>
      <w:r w:rsidR="00F52535" w:rsidRPr="00E26C0C">
        <w:rPr>
          <w:rFonts w:ascii="Book Antiqua" w:hAnsi="Book Antiqua"/>
          <w:lang w:val="es-ES_tradnl"/>
        </w:rPr>
        <w:t>a</w:t>
      </w:r>
      <w:r w:rsidRPr="00E26C0C">
        <w:rPr>
          <w:rFonts w:ascii="Book Antiqua" w:hAnsi="Book Antiqua"/>
          <w:lang w:val="es-ES_tradnl"/>
        </w:rPr>
        <w:t xml:space="preserve"> representante</w:t>
      </w:r>
      <w:r w:rsidRPr="00E26C0C">
        <w:rPr>
          <w:rFonts w:ascii="Book Antiqua" w:hAnsi="Book Antiqua"/>
          <w:i/>
          <w:lang w:val="es-ES_tradnl"/>
        </w:rPr>
        <w:t xml:space="preserve"> Martínez </w:t>
      </w:r>
      <w:r w:rsidRPr="00E26C0C">
        <w:rPr>
          <w:rFonts w:ascii="Book Antiqua" w:hAnsi="Book Antiqua"/>
          <w:iCs/>
          <w:lang w:val="es-ES_tradnl"/>
        </w:rPr>
        <w:t>Soto</w:t>
      </w:r>
      <w:r w:rsidR="004A0973" w:rsidRPr="00E26C0C">
        <w:rPr>
          <w:rFonts w:ascii="Book Antiqua" w:hAnsi="Book Antiqua"/>
          <w:iCs/>
          <w:lang w:val="es-ES_tradnl"/>
        </w:rPr>
        <w:t xml:space="preserve"> </w:t>
      </w:r>
    </w:p>
    <w:p w14:paraId="58FB51BB" w14:textId="77777777" w:rsidR="00F02570" w:rsidRDefault="00F02570" w:rsidP="00A4364B">
      <w:pPr>
        <w:suppressLineNumbers/>
        <w:jc w:val="center"/>
        <w:rPr>
          <w:rFonts w:ascii="Book Antiqua" w:hAnsi="Book Antiqua"/>
          <w:lang w:val="es-ES_tradnl"/>
        </w:rPr>
      </w:pPr>
    </w:p>
    <w:p w14:paraId="276593D2" w14:textId="4B9D4688" w:rsidR="00F52535" w:rsidRPr="00E26C0C" w:rsidRDefault="003C1CCD" w:rsidP="00A4364B">
      <w:pPr>
        <w:suppressLineNumbers/>
        <w:jc w:val="center"/>
        <w:rPr>
          <w:rFonts w:ascii="Book Antiqua" w:hAnsi="Book Antiqua"/>
          <w:lang w:val="es-ES_tradnl"/>
        </w:rPr>
      </w:pPr>
      <w:r w:rsidRPr="00E26C0C">
        <w:rPr>
          <w:rFonts w:ascii="Book Antiqua" w:hAnsi="Book Antiqua"/>
          <w:lang w:val="es-ES_tradnl"/>
        </w:rPr>
        <w:t xml:space="preserve">Referido a </w:t>
      </w:r>
      <w:r w:rsidR="00BF4249" w:rsidRPr="00E26C0C">
        <w:rPr>
          <w:rFonts w:ascii="Book Antiqua" w:hAnsi="Book Antiqua"/>
          <w:lang w:val="es-ES_tradnl"/>
        </w:rPr>
        <w:t xml:space="preserve">la Comisión </w:t>
      </w:r>
      <w:r w:rsidR="00CA717E" w:rsidRPr="00E26C0C">
        <w:rPr>
          <w:rFonts w:ascii="Book Antiqua" w:hAnsi="Book Antiqua"/>
          <w:lang w:val="es-ES_tradnl"/>
        </w:rPr>
        <w:t xml:space="preserve">de </w:t>
      </w:r>
      <w:r w:rsidR="00915D3E">
        <w:rPr>
          <w:rFonts w:ascii="Book Antiqua" w:hAnsi="Book Antiqua"/>
          <w:lang w:val="es-ES_tradnl"/>
        </w:rPr>
        <w:t>Salud</w:t>
      </w:r>
    </w:p>
    <w:p w14:paraId="7EE4A126" w14:textId="77777777" w:rsidR="00F52535" w:rsidRPr="00E26C0C" w:rsidRDefault="00F52535" w:rsidP="00A4364B">
      <w:pPr>
        <w:suppressLineNumbers/>
        <w:jc w:val="center"/>
        <w:rPr>
          <w:rFonts w:ascii="Book Antiqua" w:hAnsi="Book Antiqua"/>
          <w:lang w:val="es-ES_tradnl"/>
        </w:rPr>
      </w:pPr>
    </w:p>
    <w:p w14:paraId="2407220C" w14:textId="77777777" w:rsidR="003C1CCD" w:rsidRPr="00915D3E" w:rsidRDefault="003C1CCD" w:rsidP="00A4364B">
      <w:pPr>
        <w:suppressLineNumbers/>
        <w:jc w:val="center"/>
        <w:rPr>
          <w:rFonts w:ascii="Book Antiqua" w:hAnsi="Book Antiqua"/>
          <w:b/>
          <w:sz w:val="28"/>
          <w:szCs w:val="28"/>
          <w:lang w:val="es-ES_tradnl"/>
        </w:rPr>
      </w:pPr>
      <w:r w:rsidRPr="00915D3E">
        <w:rPr>
          <w:rFonts w:ascii="Book Antiqua" w:hAnsi="Book Antiqua"/>
          <w:b/>
          <w:sz w:val="28"/>
          <w:szCs w:val="28"/>
          <w:lang w:val="es-ES_tradnl"/>
        </w:rPr>
        <w:t>LEY</w:t>
      </w:r>
    </w:p>
    <w:p w14:paraId="40B1E7C6" w14:textId="77777777" w:rsidR="003C1CCD" w:rsidRPr="00E26C0C" w:rsidRDefault="003C1CCD" w:rsidP="00A4364B">
      <w:pPr>
        <w:suppressLineNumbers/>
        <w:jc w:val="center"/>
        <w:rPr>
          <w:rFonts w:ascii="Book Antiqua" w:hAnsi="Book Antiqua"/>
          <w:lang w:val="es-ES_tradnl"/>
        </w:rPr>
      </w:pPr>
    </w:p>
    <w:p w14:paraId="0415605D" w14:textId="2C0EECB7" w:rsidR="000B6331" w:rsidRPr="000F2699" w:rsidRDefault="00F52535" w:rsidP="00FF6C5F">
      <w:pPr>
        <w:suppressLineNumbers/>
        <w:ind w:left="540" w:right="90" w:hanging="540"/>
        <w:jc w:val="both"/>
        <w:rPr>
          <w:rFonts w:ascii="Book Antiqua" w:hAnsi="Book Antiqua"/>
          <w:lang w:val="es-PR"/>
        </w:rPr>
      </w:pPr>
      <w:r w:rsidRPr="00E26C0C">
        <w:rPr>
          <w:rFonts w:ascii="Book Antiqua" w:hAnsi="Book Antiqua"/>
          <w:lang w:val="es-ES_tradnl"/>
        </w:rPr>
        <w:t xml:space="preserve">Para </w:t>
      </w:r>
      <w:r w:rsidR="00EF3E58" w:rsidRPr="00EF3E58">
        <w:rPr>
          <w:rFonts w:ascii="Book Antiqua" w:hAnsi="Book Antiqua"/>
          <w:lang w:val="es-PR"/>
        </w:rPr>
        <w:t>crear la “Ley para la Implementación del Programa de Servicios Basados en el Hogar y la Comunidad (Home and Community-Based Services</w:t>
      </w:r>
      <w:r w:rsidR="00EF3E58">
        <w:rPr>
          <w:rFonts w:ascii="Book Antiqua" w:hAnsi="Book Antiqua"/>
          <w:lang w:val="es-PR"/>
        </w:rPr>
        <w:t xml:space="preserve"> - </w:t>
      </w:r>
      <w:r w:rsidR="00EF3E58" w:rsidRPr="00EF3E58">
        <w:rPr>
          <w:rFonts w:ascii="Book Antiqua" w:hAnsi="Book Antiqua"/>
          <w:lang w:val="es-PR"/>
        </w:rPr>
        <w:t xml:space="preserve">HCBS) bajo Medicaid en Puerto Rico”; establecer la política pública del Gobierno de Puerto Rico dirigida a la desinstitucionalización progresiva de servicios de cuidado a largo plazo; ordenar al Departamento de Salud de Puerto Rico y a la Administración de Seguros de Salud (ASES) a diseñar, solicitar, negociar e implementar ante el </w:t>
      </w:r>
      <w:r w:rsidR="00EF3E58">
        <w:rPr>
          <w:rFonts w:ascii="Book Antiqua" w:hAnsi="Book Antiqua"/>
          <w:lang w:val="es-PR"/>
        </w:rPr>
        <w:t>"</w:t>
      </w:r>
      <w:r w:rsidR="00EF3E58" w:rsidRPr="00EF3E58">
        <w:rPr>
          <w:rFonts w:ascii="Book Antiqua" w:hAnsi="Book Antiqua"/>
          <w:lang w:val="es-PR"/>
        </w:rPr>
        <w:t>Centers for Medicare &amp; Medicaid Services programas</w:t>
      </w:r>
      <w:r w:rsidR="00EF3E58">
        <w:rPr>
          <w:rFonts w:ascii="Book Antiqua" w:hAnsi="Book Antiqua"/>
          <w:lang w:val="es-PR"/>
        </w:rPr>
        <w:t>"</w:t>
      </w:r>
      <w:r w:rsidR="00EF3E58" w:rsidRPr="00EF3E58">
        <w:rPr>
          <w:rFonts w:ascii="Book Antiqua" w:hAnsi="Book Antiqua"/>
          <w:lang w:val="es-PR"/>
        </w:rPr>
        <w:t xml:space="preserve"> autorizados bajo las Secciones 1915(c), 1915(i), 1915(k) y 1115 del Título XIX del Social Security Act; establecer parámetros técnicos, actuariales, fiscales y operacionales para su implantación; disponer sobre mecanismos de acreditación de proveedores, control de calidad, cumplimiento regulatorio, integridad programática y prevención de fraude; viabilizar la integración interagencial y la participación de los gobiernos municipales; y para otros fines relacionados.</w:t>
      </w:r>
    </w:p>
    <w:p w14:paraId="431E8390" w14:textId="77777777" w:rsidR="00CF0F75" w:rsidRPr="00E26C0C" w:rsidRDefault="00CF0F75" w:rsidP="00A4364B">
      <w:pPr>
        <w:suppressLineNumbers/>
        <w:ind w:left="360" w:hanging="360"/>
        <w:jc w:val="both"/>
        <w:rPr>
          <w:rFonts w:ascii="Book Antiqua" w:hAnsi="Book Antiqua"/>
          <w:lang w:val="es-ES_tradnl"/>
        </w:rPr>
      </w:pPr>
      <w:r w:rsidRPr="00E26C0C">
        <w:rPr>
          <w:rFonts w:ascii="Book Antiqua" w:hAnsi="Book Antiqua"/>
          <w:lang w:val="es-ES_tradnl"/>
        </w:rPr>
        <w:t> </w:t>
      </w:r>
    </w:p>
    <w:p w14:paraId="04A9F280" w14:textId="77777777" w:rsidR="00CF0F75" w:rsidRPr="00E26C0C" w:rsidRDefault="003C1CCD" w:rsidP="00A4364B">
      <w:pPr>
        <w:suppressLineNumbers/>
        <w:jc w:val="center"/>
        <w:rPr>
          <w:rFonts w:ascii="Book Antiqua" w:hAnsi="Book Antiqua"/>
          <w:lang w:val="es-ES_tradnl"/>
        </w:rPr>
      </w:pPr>
      <w:r w:rsidRPr="00E26C0C">
        <w:rPr>
          <w:rFonts w:ascii="Book Antiqua" w:hAnsi="Book Antiqua"/>
          <w:lang w:val="es-ES_tradnl"/>
        </w:rPr>
        <w:t>EXPOSICI</w:t>
      </w:r>
      <w:r w:rsidR="00C57EB9" w:rsidRPr="00E26C0C">
        <w:rPr>
          <w:rFonts w:ascii="Book Antiqua" w:hAnsi="Book Antiqua"/>
          <w:lang w:val="es-ES_tradnl"/>
        </w:rPr>
        <w:t>Ó</w:t>
      </w:r>
      <w:r w:rsidR="00CF0F75" w:rsidRPr="00E26C0C">
        <w:rPr>
          <w:rFonts w:ascii="Book Antiqua" w:hAnsi="Book Antiqua"/>
          <w:lang w:val="es-ES_tradnl"/>
        </w:rPr>
        <w:t>N DE MOTIVOS</w:t>
      </w:r>
    </w:p>
    <w:p w14:paraId="06C8BB0C" w14:textId="77777777" w:rsidR="003C1CCD" w:rsidRPr="0095721B" w:rsidRDefault="003C1CCD" w:rsidP="0095721B">
      <w:pPr>
        <w:suppressLineNumbers/>
        <w:ind w:firstLine="360"/>
        <w:jc w:val="center"/>
        <w:rPr>
          <w:rFonts w:ascii="Book Antiqua" w:hAnsi="Book Antiqua"/>
          <w:lang w:val="es-ES_tradnl"/>
        </w:rPr>
      </w:pPr>
    </w:p>
    <w:p w14:paraId="49D4192B" w14:textId="77777777" w:rsidR="00EF3E58" w:rsidRPr="0095721B" w:rsidRDefault="00EF3E58" w:rsidP="0095721B">
      <w:pPr>
        <w:pStyle w:val="Prrafodelista"/>
        <w:suppressLineNumbers/>
        <w:ind w:left="0" w:firstLine="720"/>
        <w:jc w:val="both"/>
        <w:rPr>
          <w:rFonts w:ascii="Book Antiqua" w:hAnsi="Book Antiqua"/>
          <w:sz w:val="24"/>
          <w:szCs w:val="24"/>
          <w:lang w:val="es-PR"/>
        </w:rPr>
      </w:pPr>
      <w:bookmarkStart w:id="1" w:name="{55E44}"/>
      <w:r w:rsidRPr="0095721B">
        <w:rPr>
          <w:rFonts w:ascii="Book Antiqua" w:hAnsi="Book Antiqua"/>
          <w:sz w:val="24"/>
          <w:szCs w:val="24"/>
          <w:lang w:val="es-PR"/>
        </w:rPr>
        <w:t>Puerto Rico atraviesa una transformación estructural en su perfil demográfico, caracterizada por un acelerado envejecimiento poblacional, una alta prevalencia de condiciones crónicas no transmisibles y una reducción sostenida de su base contributiva. Conforme a estimaciones del U.S. Census Bureau, más del 21% de la población de Puerto Rico supera los 65 años, colocándolo entre las jurisdicciones más envejecidas bajo la jurisdicción de los Estados Unidos.</w:t>
      </w:r>
    </w:p>
    <w:p w14:paraId="7DAC23D9" w14:textId="77777777" w:rsidR="00267D5B" w:rsidRPr="0095721B" w:rsidRDefault="00267D5B" w:rsidP="0095721B">
      <w:pPr>
        <w:pStyle w:val="Prrafodelista"/>
        <w:suppressLineNumbers/>
        <w:ind w:left="0" w:firstLine="720"/>
        <w:jc w:val="both"/>
        <w:rPr>
          <w:rFonts w:ascii="Book Antiqua" w:hAnsi="Book Antiqua"/>
          <w:sz w:val="24"/>
          <w:szCs w:val="24"/>
          <w:lang w:val="es-PR"/>
        </w:rPr>
      </w:pPr>
    </w:p>
    <w:p w14:paraId="68D665DA" w14:textId="5ADCE6FD" w:rsidR="00EF3E58" w:rsidRDefault="00EF3E58" w:rsidP="0095721B">
      <w:pPr>
        <w:pStyle w:val="Prrafodelista"/>
        <w:suppressLineNumbers/>
        <w:ind w:left="0" w:firstLine="720"/>
        <w:jc w:val="both"/>
        <w:rPr>
          <w:rFonts w:ascii="Book Antiqua" w:hAnsi="Book Antiqua"/>
          <w:sz w:val="24"/>
          <w:szCs w:val="24"/>
          <w:lang w:val="es-PR"/>
        </w:rPr>
      </w:pPr>
      <w:r w:rsidRPr="0095721B">
        <w:rPr>
          <w:rFonts w:ascii="Book Antiqua" w:hAnsi="Book Antiqua"/>
          <w:sz w:val="24"/>
          <w:szCs w:val="24"/>
          <w:lang w:val="es-PR"/>
        </w:rPr>
        <w:lastRenderedPageBreak/>
        <w:t xml:space="preserve">Este escenario ha incrementado la demanda por servicios de cuidado a largo plazo “Long-Term Services and Supports </w:t>
      </w:r>
      <w:r w:rsidR="00267D5B" w:rsidRPr="0095721B">
        <w:rPr>
          <w:rFonts w:ascii="Book Antiqua" w:hAnsi="Book Antiqua"/>
          <w:sz w:val="24"/>
          <w:szCs w:val="24"/>
          <w:lang w:val="es-PR"/>
        </w:rPr>
        <w:t>(</w:t>
      </w:r>
      <w:r w:rsidRPr="0095721B">
        <w:rPr>
          <w:rFonts w:ascii="Book Antiqua" w:hAnsi="Book Antiqua"/>
          <w:sz w:val="24"/>
          <w:szCs w:val="24"/>
          <w:lang w:val="es-PR"/>
        </w:rPr>
        <w:t>LTSS</w:t>
      </w:r>
      <w:r w:rsidR="00401EEE">
        <w:rPr>
          <w:rFonts w:ascii="Book Antiqua" w:hAnsi="Book Antiqua"/>
          <w:sz w:val="24"/>
          <w:szCs w:val="24"/>
          <w:lang w:val="es-PR"/>
        </w:rPr>
        <w:t>, por sus siglas en inglés</w:t>
      </w:r>
      <w:r w:rsidR="00267D5B" w:rsidRPr="0095721B">
        <w:rPr>
          <w:rFonts w:ascii="Book Antiqua" w:hAnsi="Book Antiqua"/>
          <w:sz w:val="24"/>
          <w:szCs w:val="24"/>
          <w:lang w:val="es-PR"/>
        </w:rPr>
        <w:t>)</w:t>
      </w:r>
      <w:r w:rsidRPr="0095721B">
        <w:rPr>
          <w:rFonts w:ascii="Book Antiqua" w:hAnsi="Book Antiqua"/>
          <w:sz w:val="24"/>
          <w:szCs w:val="24"/>
          <w:lang w:val="es-PR"/>
        </w:rPr>
        <w:t>”, generando presiones fiscales y operacionales significativas sobre el sistema hospitalario, las instituciones de cuidado prolongado y los programas públicos de salud. Tradicionalmente, el modelo de prestación de servicios ha privilegiado la institucionalización, a pesar de que evidencia empírica demuestra que dicho modelo es sustancialmente más costoso y menos eficiente en términos de resultados en salud.</w:t>
      </w:r>
    </w:p>
    <w:p w14:paraId="75D6C172" w14:textId="77777777" w:rsidR="00915D3E" w:rsidRPr="0095721B" w:rsidRDefault="00915D3E" w:rsidP="0095721B">
      <w:pPr>
        <w:pStyle w:val="Prrafodelista"/>
        <w:suppressLineNumbers/>
        <w:ind w:left="0" w:firstLine="720"/>
        <w:jc w:val="both"/>
        <w:rPr>
          <w:rFonts w:ascii="Book Antiqua" w:hAnsi="Book Antiqua"/>
          <w:sz w:val="24"/>
          <w:szCs w:val="24"/>
          <w:lang w:val="es-PR"/>
        </w:rPr>
      </w:pPr>
    </w:p>
    <w:p w14:paraId="4194A733" w14:textId="5306EC00" w:rsidR="00FF0346" w:rsidRDefault="00FF0346" w:rsidP="0095721B">
      <w:pPr>
        <w:pStyle w:val="Prrafodelista"/>
        <w:suppressLineNumbers/>
        <w:ind w:left="0" w:firstLine="720"/>
        <w:jc w:val="both"/>
        <w:rPr>
          <w:rFonts w:ascii="Book Antiqua" w:hAnsi="Book Antiqua"/>
          <w:sz w:val="24"/>
          <w:szCs w:val="24"/>
          <w:lang w:val="es-PR"/>
        </w:rPr>
      </w:pPr>
      <w:r w:rsidRPr="0095721B">
        <w:rPr>
          <w:rFonts w:ascii="Book Antiqua" w:hAnsi="Book Antiqua"/>
          <w:sz w:val="24"/>
          <w:szCs w:val="24"/>
          <w:lang w:val="es-PR"/>
        </w:rPr>
        <w:t xml:space="preserve">El programa Medicaid, bajo la supervisión del Centers for Medicare &amp; Medicaid Services, históricamente ha cubierto con mayor facilidad el cuidado institucional que el cuidado en el hogar, es decir, el ingreso a: </w:t>
      </w:r>
      <w:r w:rsidR="00401EEE">
        <w:rPr>
          <w:rFonts w:ascii="Book Antiqua" w:hAnsi="Book Antiqua"/>
          <w:sz w:val="24"/>
          <w:szCs w:val="24"/>
          <w:lang w:val="es-PR"/>
        </w:rPr>
        <w:t>h</w:t>
      </w:r>
      <w:r w:rsidRPr="0095721B">
        <w:rPr>
          <w:rFonts w:ascii="Book Antiqua" w:hAnsi="Book Antiqua"/>
          <w:sz w:val="24"/>
          <w:szCs w:val="24"/>
          <w:lang w:val="es-PR"/>
        </w:rPr>
        <w:t xml:space="preserve">ogares de envejecientes (nursing homes); </w:t>
      </w:r>
      <w:r w:rsidR="00401EEE">
        <w:rPr>
          <w:rFonts w:ascii="Book Antiqua" w:hAnsi="Book Antiqua"/>
          <w:sz w:val="24"/>
          <w:szCs w:val="24"/>
          <w:lang w:val="es-PR"/>
        </w:rPr>
        <w:t>i</w:t>
      </w:r>
      <w:r w:rsidRPr="0095721B">
        <w:rPr>
          <w:rFonts w:ascii="Book Antiqua" w:hAnsi="Book Antiqua"/>
          <w:sz w:val="24"/>
          <w:szCs w:val="24"/>
          <w:lang w:val="es-PR"/>
        </w:rPr>
        <w:t xml:space="preserve">nstituciones de cuidado prolongado (long-term care facilities); </w:t>
      </w:r>
      <w:r w:rsidR="00401EEE">
        <w:rPr>
          <w:rFonts w:ascii="Book Antiqua" w:hAnsi="Book Antiqua"/>
          <w:sz w:val="24"/>
          <w:szCs w:val="24"/>
          <w:lang w:val="es-PR"/>
        </w:rPr>
        <w:t>c</w:t>
      </w:r>
      <w:r w:rsidRPr="0095721B">
        <w:rPr>
          <w:rFonts w:ascii="Book Antiqua" w:hAnsi="Book Antiqua"/>
          <w:sz w:val="24"/>
          <w:szCs w:val="24"/>
          <w:lang w:val="es-PR"/>
        </w:rPr>
        <w:t xml:space="preserve">entros de rehabilitación de estadía extendida; e </w:t>
      </w:r>
      <w:r w:rsidR="00401EEE">
        <w:rPr>
          <w:rFonts w:ascii="Book Antiqua" w:hAnsi="Book Antiqua"/>
          <w:sz w:val="24"/>
          <w:szCs w:val="24"/>
          <w:lang w:val="es-PR"/>
        </w:rPr>
        <w:t>i</w:t>
      </w:r>
      <w:r w:rsidRPr="0095721B">
        <w:rPr>
          <w:rFonts w:ascii="Book Antiqua" w:hAnsi="Book Antiqua"/>
          <w:sz w:val="24"/>
          <w:szCs w:val="24"/>
          <w:lang w:val="es-PR"/>
        </w:rPr>
        <w:t xml:space="preserve">nstituciones para personas con discapacidad. Sin embargo, muchos estados han cambiado el uso de los fondos debido a que el cuidado institucional es mucho más costoso, puede afectar la calidad de vida del paciente y no siempre es médicamente necesario. </w:t>
      </w:r>
    </w:p>
    <w:p w14:paraId="7DCEE331" w14:textId="77777777" w:rsidR="00915D3E" w:rsidRPr="0095721B" w:rsidRDefault="00915D3E" w:rsidP="0095721B">
      <w:pPr>
        <w:pStyle w:val="Prrafodelista"/>
        <w:suppressLineNumbers/>
        <w:ind w:left="0" w:firstLine="720"/>
        <w:jc w:val="both"/>
        <w:rPr>
          <w:rFonts w:ascii="Book Antiqua" w:hAnsi="Book Antiqua"/>
          <w:sz w:val="24"/>
          <w:szCs w:val="24"/>
          <w:lang w:val="es-PR"/>
        </w:rPr>
      </w:pPr>
    </w:p>
    <w:p w14:paraId="7FA98663" w14:textId="61A729BB" w:rsidR="00A947C7" w:rsidRDefault="00A947C7" w:rsidP="0095721B">
      <w:pPr>
        <w:pStyle w:val="Prrafodelista"/>
        <w:suppressLineNumbers/>
        <w:ind w:left="0" w:firstLine="720"/>
        <w:jc w:val="both"/>
        <w:rPr>
          <w:rFonts w:ascii="Book Antiqua" w:hAnsi="Book Antiqua"/>
          <w:sz w:val="24"/>
          <w:szCs w:val="24"/>
          <w:lang w:val="es-PR"/>
        </w:rPr>
      </w:pPr>
      <w:r w:rsidRPr="0095721B">
        <w:rPr>
          <w:rFonts w:ascii="Book Antiqua" w:hAnsi="Book Antiqua"/>
          <w:sz w:val="24"/>
          <w:szCs w:val="24"/>
          <w:lang w:val="es-PR"/>
        </w:rPr>
        <w:t>Actualmente, existen 47 estados que utilizan estos fondos dado que les permite focalizar población y diseñar servicios flexibles. Entre los modelos exitosos que podemos mencionar tenemos:</w:t>
      </w:r>
    </w:p>
    <w:p w14:paraId="59D87BE7" w14:textId="77777777" w:rsidR="00915D3E" w:rsidRPr="0095721B" w:rsidRDefault="00915D3E" w:rsidP="0095721B">
      <w:pPr>
        <w:pStyle w:val="Prrafodelista"/>
        <w:suppressLineNumbers/>
        <w:ind w:left="0" w:firstLine="720"/>
        <w:jc w:val="both"/>
        <w:rPr>
          <w:rFonts w:ascii="Book Antiqua" w:hAnsi="Book Antiqua"/>
          <w:sz w:val="24"/>
          <w:szCs w:val="24"/>
          <w:lang w:val="es-PR"/>
        </w:rPr>
      </w:pPr>
    </w:p>
    <w:p w14:paraId="73756B4D" w14:textId="46B3FC75" w:rsidR="00915D3E" w:rsidRDefault="004866AC" w:rsidP="00915D3E">
      <w:pPr>
        <w:pStyle w:val="Prrafodelista"/>
        <w:numPr>
          <w:ilvl w:val="0"/>
          <w:numId w:val="62"/>
        </w:numPr>
        <w:suppressLineNumbers/>
        <w:jc w:val="both"/>
        <w:rPr>
          <w:rFonts w:ascii="Book Antiqua" w:hAnsi="Book Antiqua"/>
          <w:sz w:val="24"/>
          <w:szCs w:val="24"/>
          <w:lang w:val="es-PR"/>
        </w:rPr>
      </w:pPr>
      <w:r w:rsidRPr="0095721B">
        <w:rPr>
          <w:rFonts w:ascii="Book Antiqua" w:hAnsi="Book Antiqua"/>
          <w:sz w:val="24"/>
          <w:szCs w:val="24"/>
          <w:lang w:val="es-PR"/>
        </w:rPr>
        <w:t>El Programa Managed Long-Term Care (MLTC) del estado de New York el cual es uno de los más avanzados en integración de servicios médicos y sociales bajo Medicaid. Tiene sobre 250,000 beneficiarios, representando la mayoría de los servicios de cuidado a largo plazo bajo Medicaid en el estado. Lo que representa una significativa reducción de institucionalización, donde el 70% de los beneficiarios reciben servicios en el hogar en lugar de instituciones.  Según los datos del estado, El costo promedio de cuidado en el hogar es entre 30% y 50% menor que el cuidado institucional. Además, el programa ha ayudado a mejorar la continuidad del cuidado, la coordinación de servicios y la calidad de vida del paciente, lo que ha reducido la visitas a las salas de emergencias y las hospitalizaciones evitables.</w:t>
      </w:r>
    </w:p>
    <w:p w14:paraId="1B9FCCA7" w14:textId="77777777" w:rsidR="00915D3E" w:rsidRPr="00915D3E" w:rsidRDefault="00915D3E" w:rsidP="00915D3E">
      <w:pPr>
        <w:pStyle w:val="Prrafodelista"/>
        <w:suppressLineNumbers/>
        <w:jc w:val="both"/>
        <w:rPr>
          <w:rFonts w:ascii="Book Antiqua" w:hAnsi="Book Antiqua"/>
          <w:sz w:val="24"/>
          <w:szCs w:val="24"/>
          <w:lang w:val="es-PR"/>
        </w:rPr>
      </w:pPr>
    </w:p>
    <w:p w14:paraId="29E2A7AB" w14:textId="611F6B89" w:rsidR="0095721B" w:rsidRPr="00B63E1C" w:rsidRDefault="004866AC" w:rsidP="00B63E1C">
      <w:pPr>
        <w:pStyle w:val="Prrafodelista"/>
        <w:numPr>
          <w:ilvl w:val="0"/>
          <w:numId w:val="62"/>
        </w:numPr>
        <w:suppressLineNumbers/>
        <w:jc w:val="both"/>
        <w:rPr>
          <w:rFonts w:ascii="Book Antiqua" w:hAnsi="Book Antiqua"/>
          <w:sz w:val="24"/>
          <w:szCs w:val="24"/>
          <w:lang w:val="es-PR"/>
        </w:rPr>
      </w:pPr>
      <w:r w:rsidRPr="00B63E1C">
        <w:rPr>
          <w:rFonts w:ascii="Book Antiqua" w:hAnsi="Book Antiqua"/>
          <w:sz w:val="24"/>
          <w:szCs w:val="24"/>
          <w:lang w:val="es-PR"/>
        </w:rPr>
        <w:t>En California y Texas se tiene</w:t>
      </w:r>
      <w:r w:rsidR="00401EEE">
        <w:rPr>
          <w:rFonts w:ascii="Book Antiqua" w:hAnsi="Book Antiqua"/>
          <w:sz w:val="24"/>
          <w:szCs w:val="24"/>
          <w:lang w:val="es-PR"/>
        </w:rPr>
        <w:t>n</w:t>
      </w:r>
      <w:r w:rsidRPr="00B63E1C">
        <w:rPr>
          <w:rFonts w:ascii="Book Antiqua" w:hAnsi="Book Antiqua"/>
          <w:sz w:val="24"/>
          <w:szCs w:val="24"/>
          <w:lang w:val="es-PR"/>
        </w:rPr>
        <w:t xml:space="preserve"> los programas </w:t>
      </w:r>
      <w:r w:rsidR="00D20A0D" w:rsidRPr="00B63E1C">
        <w:rPr>
          <w:rFonts w:ascii="Book Antiqua" w:hAnsi="Book Antiqua"/>
          <w:sz w:val="24"/>
          <w:szCs w:val="24"/>
          <w:lang w:val="es-PR"/>
        </w:rPr>
        <w:t xml:space="preserve">In-Home Supportive Services (IHSS) </w:t>
      </w:r>
      <w:r w:rsidRPr="00B63E1C">
        <w:rPr>
          <w:rFonts w:ascii="Book Antiqua" w:hAnsi="Book Antiqua"/>
          <w:sz w:val="24"/>
          <w:szCs w:val="24"/>
          <w:lang w:val="es-PR"/>
        </w:rPr>
        <w:t xml:space="preserve">y </w:t>
      </w:r>
      <w:r w:rsidR="00D20A0D" w:rsidRPr="00B63E1C">
        <w:rPr>
          <w:rFonts w:ascii="Book Antiqua" w:hAnsi="Book Antiqua"/>
          <w:sz w:val="24"/>
          <w:szCs w:val="24"/>
          <w:lang w:val="es-PR"/>
        </w:rPr>
        <w:t>Start Plus</w:t>
      </w:r>
      <w:r w:rsidRPr="00B63E1C">
        <w:rPr>
          <w:rFonts w:ascii="Book Antiqua" w:hAnsi="Book Antiqua"/>
          <w:sz w:val="24"/>
          <w:szCs w:val="24"/>
          <w:lang w:val="es-PR"/>
        </w:rPr>
        <w:t xml:space="preserve">, </w:t>
      </w:r>
      <w:r w:rsidR="00D20A0D" w:rsidRPr="00B63E1C">
        <w:rPr>
          <w:rFonts w:ascii="Book Antiqua" w:hAnsi="Book Antiqua"/>
          <w:sz w:val="24"/>
          <w:szCs w:val="24"/>
          <w:lang w:val="es-PR"/>
        </w:rPr>
        <w:t>respectivamente. En el caso de California</w:t>
      </w:r>
      <w:r w:rsidR="00401EEE">
        <w:rPr>
          <w:rFonts w:ascii="Book Antiqua" w:hAnsi="Book Antiqua"/>
          <w:sz w:val="24"/>
          <w:szCs w:val="24"/>
          <w:lang w:val="es-PR"/>
        </w:rPr>
        <w:t>,</w:t>
      </w:r>
      <w:r w:rsidR="00D20A0D" w:rsidRPr="00B63E1C">
        <w:rPr>
          <w:rFonts w:ascii="Book Antiqua" w:hAnsi="Book Antiqua"/>
          <w:sz w:val="24"/>
          <w:szCs w:val="24"/>
          <w:lang w:val="es-PR"/>
        </w:rPr>
        <w:t xml:space="preserve"> es el modelo más grande </w:t>
      </w:r>
      <w:r w:rsidR="00401EEE">
        <w:rPr>
          <w:rFonts w:ascii="Book Antiqua" w:hAnsi="Book Antiqua"/>
          <w:sz w:val="24"/>
          <w:szCs w:val="24"/>
          <w:lang w:val="es-PR"/>
        </w:rPr>
        <w:t>de los</w:t>
      </w:r>
      <w:r w:rsidR="00D20A0D" w:rsidRPr="00B63E1C">
        <w:rPr>
          <w:rFonts w:ascii="Book Antiqua" w:hAnsi="Book Antiqua"/>
          <w:sz w:val="24"/>
          <w:szCs w:val="24"/>
          <w:lang w:val="es-PR"/>
        </w:rPr>
        <w:t xml:space="preserve"> </w:t>
      </w:r>
      <w:r w:rsidR="00401EEE">
        <w:rPr>
          <w:rFonts w:ascii="Book Antiqua" w:hAnsi="Book Antiqua"/>
          <w:sz w:val="24"/>
          <w:szCs w:val="24"/>
          <w:lang w:val="es-PR"/>
        </w:rPr>
        <w:t>Estados Unidos</w:t>
      </w:r>
      <w:r w:rsidR="00D20A0D" w:rsidRPr="00B63E1C">
        <w:rPr>
          <w:rFonts w:ascii="Book Antiqua" w:hAnsi="Book Antiqua"/>
          <w:sz w:val="24"/>
          <w:szCs w:val="24"/>
          <w:lang w:val="es-PR"/>
        </w:rPr>
        <w:t xml:space="preserve"> de cuidado domiciliario con participación directa de cuidadores. </w:t>
      </w:r>
      <w:r w:rsidR="0095721B" w:rsidRPr="00B63E1C">
        <w:rPr>
          <w:rFonts w:ascii="Book Antiqua" w:hAnsi="Book Antiqua"/>
          <w:sz w:val="24"/>
          <w:szCs w:val="24"/>
          <w:lang w:val="es-PR"/>
        </w:rPr>
        <w:t>Actualmente</w:t>
      </w:r>
      <w:r w:rsidR="00D20A0D" w:rsidRPr="00B63E1C">
        <w:rPr>
          <w:rFonts w:ascii="Book Antiqua" w:hAnsi="Book Antiqua"/>
          <w:sz w:val="24"/>
          <w:szCs w:val="24"/>
          <w:lang w:val="es-PR"/>
        </w:rPr>
        <w:t xml:space="preserve"> tienen cerca de 700,000 beneficiarios activos de los cuales sobre 600,000 cuidadores son familiares. Teniendo </w:t>
      </w:r>
      <w:r w:rsidR="00401EEE" w:rsidRPr="00B63E1C">
        <w:rPr>
          <w:rFonts w:ascii="Book Antiqua" w:hAnsi="Book Antiqua"/>
          <w:sz w:val="24"/>
          <w:szCs w:val="24"/>
          <w:lang w:val="es-PR"/>
        </w:rPr>
        <w:t>un impacto</w:t>
      </w:r>
      <w:r w:rsidR="00D20A0D" w:rsidRPr="00B63E1C">
        <w:rPr>
          <w:rFonts w:ascii="Book Antiqua" w:hAnsi="Book Antiqua"/>
          <w:sz w:val="24"/>
          <w:szCs w:val="24"/>
          <w:lang w:val="es-PR"/>
        </w:rPr>
        <w:t xml:space="preserve"> económico </w:t>
      </w:r>
      <w:r w:rsidR="00401EEE" w:rsidRPr="00B63E1C">
        <w:rPr>
          <w:rFonts w:ascii="Book Antiqua" w:hAnsi="Book Antiqua"/>
          <w:sz w:val="24"/>
          <w:szCs w:val="24"/>
          <w:lang w:val="es-PR"/>
        </w:rPr>
        <w:t>entre $</w:t>
      </w:r>
      <w:r w:rsidR="00D20A0D" w:rsidRPr="00B63E1C">
        <w:rPr>
          <w:rFonts w:ascii="Book Antiqua" w:hAnsi="Book Antiqua"/>
          <w:sz w:val="24"/>
          <w:szCs w:val="24"/>
          <w:lang w:val="es-PR"/>
        </w:rPr>
        <w:t xml:space="preserve">20,000 a $30,000 anuales vs. el costo de $80,000 – $120,000+ en hogares de envejecientes. </w:t>
      </w:r>
      <w:r w:rsidR="0095721B" w:rsidRPr="00B63E1C">
        <w:rPr>
          <w:rFonts w:ascii="Book Antiqua" w:hAnsi="Book Antiqua"/>
          <w:sz w:val="24"/>
          <w:szCs w:val="24"/>
          <w:lang w:val="es-PR"/>
        </w:rPr>
        <w:t xml:space="preserve">Mientras que han institucionalizado la figura del cuidador </w:t>
      </w:r>
      <w:r w:rsidR="0095721B" w:rsidRPr="00B63E1C">
        <w:rPr>
          <w:rFonts w:ascii="Book Antiqua" w:hAnsi="Book Antiqua"/>
          <w:sz w:val="24"/>
          <w:szCs w:val="24"/>
          <w:lang w:val="es-PR"/>
        </w:rPr>
        <w:lastRenderedPageBreak/>
        <w:t xml:space="preserve">domiciliario remunerado, incluyendo familiares, lo cual ha generado eficiencias fiscales y estabilidad en el cuidado. </w:t>
      </w:r>
    </w:p>
    <w:p w14:paraId="6A8023CE" w14:textId="7747123A" w:rsidR="00D20A0D" w:rsidRPr="0095721B" w:rsidRDefault="00D20A0D" w:rsidP="0095721B">
      <w:pPr>
        <w:pStyle w:val="Prrafodelista"/>
        <w:suppressLineNumbers/>
        <w:ind w:left="0"/>
        <w:jc w:val="both"/>
        <w:rPr>
          <w:rFonts w:ascii="Book Antiqua" w:hAnsi="Book Antiqua"/>
          <w:sz w:val="24"/>
          <w:szCs w:val="24"/>
          <w:lang w:val="es-PR"/>
        </w:rPr>
      </w:pPr>
    </w:p>
    <w:p w14:paraId="7929B16C" w14:textId="0E17B543" w:rsidR="00D20A0D" w:rsidRPr="0095721B" w:rsidRDefault="00D20A0D" w:rsidP="00B63E1C">
      <w:pPr>
        <w:pStyle w:val="Prrafodelista"/>
        <w:suppressLineNumbers/>
        <w:jc w:val="both"/>
        <w:rPr>
          <w:rFonts w:ascii="Book Antiqua" w:hAnsi="Book Antiqua"/>
          <w:sz w:val="24"/>
          <w:szCs w:val="24"/>
          <w:lang w:val="es-PR"/>
        </w:rPr>
      </w:pPr>
      <w:r w:rsidRPr="0095721B">
        <w:rPr>
          <w:rFonts w:ascii="Book Antiqua" w:hAnsi="Book Antiqua"/>
          <w:sz w:val="24"/>
          <w:szCs w:val="24"/>
          <w:lang w:val="es-PR"/>
        </w:rPr>
        <w:t>En el caso de Texas</w:t>
      </w:r>
      <w:r w:rsidRPr="0095721B">
        <w:rPr>
          <w:rFonts w:ascii="Book Antiqua" w:hAnsi="Book Antiqua"/>
          <w:sz w:val="24"/>
          <w:szCs w:val="24"/>
          <w:lang w:val="es-PR" w:eastAsia="es-PR"/>
        </w:rPr>
        <w:t xml:space="preserve"> el programa St</w:t>
      </w:r>
      <w:r w:rsidR="00B63E1C">
        <w:rPr>
          <w:rFonts w:ascii="Book Antiqua" w:hAnsi="Book Antiqua"/>
          <w:sz w:val="24"/>
          <w:szCs w:val="24"/>
          <w:lang w:val="es-PR" w:eastAsia="es-PR"/>
        </w:rPr>
        <w:t>ar</w:t>
      </w:r>
      <w:r w:rsidRPr="0095721B">
        <w:rPr>
          <w:rFonts w:ascii="Book Antiqua" w:hAnsi="Book Antiqua"/>
          <w:sz w:val="24"/>
          <w:szCs w:val="24"/>
          <w:lang w:val="es-PR" w:eastAsia="es-PR"/>
        </w:rPr>
        <w:t xml:space="preserve">t Plus, ha logrado la </w:t>
      </w:r>
      <w:r w:rsidRPr="0095721B">
        <w:rPr>
          <w:rFonts w:ascii="Book Antiqua" w:hAnsi="Book Antiqua"/>
          <w:sz w:val="24"/>
          <w:szCs w:val="24"/>
          <w:lang w:val="es-PR"/>
        </w:rPr>
        <w:t>contener el crecimiento del gasto Medicaid y brindado mayor previsibilidad presupuestaria.</w:t>
      </w:r>
      <w:r w:rsidR="0095721B" w:rsidRPr="0095721B">
        <w:rPr>
          <w:rFonts w:ascii="Book Antiqua" w:hAnsi="Book Antiqua"/>
          <w:sz w:val="24"/>
          <w:szCs w:val="24"/>
          <w:lang w:val="es-PR"/>
        </w:rPr>
        <w:t xml:space="preserve"> </w:t>
      </w:r>
      <w:r w:rsidRPr="0095721B">
        <w:rPr>
          <w:rFonts w:ascii="Book Antiqua" w:hAnsi="Book Antiqua"/>
          <w:sz w:val="24"/>
          <w:szCs w:val="24"/>
          <w:lang w:val="es-PR"/>
        </w:rPr>
        <w:t>Alcanzado una reducción significativa de institucionalización y logrando un aumento significativo en servicios en el hogar vs. instituciones</w:t>
      </w:r>
      <w:r w:rsidR="0095721B" w:rsidRPr="0095721B">
        <w:rPr>
          <w:rFonts w:ascii="Book Antiqua" w:hAnsi="Book Antiqua"/>
          <w:sz w:val="24"/>
          <w:szCs w:val="24"/>
          <w:lang w:val="es-PR"/>
        </w:rPr>
        <w:t>, teniendo control de costos y coordinación efectiva de servicios.</w:t>
      </w:r>
    </w:p>
    <w:p w14:paraId="4D55E677" w14:textId="41BBCAC7" w:rsidR="00D20A0D" w:rsidRPr="0095721B" w:rsidRDefault="00D20A0D" w:rsidP="0095721B">
      <w:pPr>
        <w:pStyle w:val="Prrafodelista"/>
        <w:suppressLineNumbers/>
        <w:ind w:left="0"/>
        <w:jc w:val="both"/>
        <w:rPr>
          <w:rFonts w:ascii="Book Antiqua" w:hAnsi="Book Antiqua"/>
          <w:sz w:val="24"/>
          <w:szCs w:val="24"/>
          <w:lang w:val="es-PR"/>
        </w:rPr>
      </w:pPr>
    </w:p>
    <w:p w14:paraId="1C9549EE" w14:textId="271A1C5A" w:rsidR="00D20A0D" w:rsidRPr="0095721B" w:rsidRDefault="00D20A0D" w:rsidP="00B63E1C">
      <w:pPr>
        <w:pStyle w:val="Prrafodelista"/>
        <w:numPr>
          <w:ilvl w:val="0"/>
          <w:numId w:val="62"/>
        </w:numPr>
        <w:suppressLineNumbers/>
        <w:jc w:val="both"/>
        <w:rPr>
          <w:rFonts w:ascii="Book Antiqua" w:hAnsi="Book Antiqua"/>
          <w:sz w:val="24"/>
          <w:szCs w:val="24"/>
          <w:lang w:val="es-PR"/>
        </w:rPr>
      </w:pPr>
      <w:r w:rsidRPr="0095721B">
        <w:rPr>
          <w:rFonts w:ascii="Book Antiqua" w:hAnsi="Book Antiqua"/>
          <w:sz w:val="24"/>
          <w:szCs w:val="24"/>
          <w:lang w:val="es-PR"/>
        </w:rPr>
        <w:t>En Arizona el Programa ALTCS (Arizona Long-Term Care System) es comparable con Puerto Rico por varias razones:</w:t>
      </w:r>
    </w:p>
    <w:p w14:paraId="2641FE10" w14:textId="77777777" w:rsidR="00D20A0D" w:rsidRPr="0095721B" w:rsidRDefault="00D20A0D" w:rsidP="00B63E1C">
      <w:pPr>
        <w:pStyle w:val="Prrafodelista"/>
        <w:numPr>
          <w:ilvl w:val="2"/>
          <w:numId w:val="50"/>
        </w:numPr>
        <w:suppressLineNumbers/>
        <w:tabs>
          <w:tab w:val="clear" w:pos="5400"/>
          <w:tab w:val="num" w:pos="5040"/>
        </w:tabs>
        <w:ind w:left="1710"/>
        <w:jc w:val="both"/>
        <w:rPr>
          <w:rFonts w:ascii="Book Antiqua" w:hAnsi="Book Antiqua"/>
          <w:sz w:val="24"/>
          <w:szCs w:val="24"/>
          <w:lang w:val="es-PR"/>
        </w:rPr>
      </w:pPr>
      <w:r w:rsidRPr="0095721B">
        <w:rPr>
          <w:rFonts w:ascii="Book Antiqua" w:hAnsi="Book Antiqua"/>
          <w:sz w:val="24"/>
          <w:szCs w:val="24"/>
          <w:lang w:val="es-PR"/>
        </w:rPr>
        <w:t xml:space="preserve">Alta población vulnerable </w:t>
      </w:r>
    </w:p>
    <w:p w14:paraId="4CBC740B" w14:textId="77777777" w:rsidR="00D20A0D" w:rsidRPr="0095721B" w:rsidRDefault="00D20A0D" w:rsidP="00B63E1C">
      <w:pPr>
        <w:pStyle w:val="Prrafodelista"/>
        <w:numPr>
          <w:ilvl w:val="2"/>
          <w:numId w:val="50"/>
        </w:numPr>
        <w:suppressLineNumbers/>
        <w:tabs>
          <w:tab w:val="clear" w:pos="5400"/>
          <w:tab w:val="num" w:pos="5040"/>
        </w:tabs>
        <w:ind w:left="1710"/>
        <w:jc w:val="both"/>
        <w:rPr>
          <w:rFonts w:ascii="Book Antiqua" w:hAnsi="Book Antiqua"/>
          <w:sz w:val="24"/>
          <w:szCs w:val="24"/>
          <w:lang w:val="es-PR"/>
        </w:rPr>
      </w:pPr>
      <w:r w:rsidRPr="0095721B">
        <w:rPr>
          <w:rFonts w:ascii="Book Antiqua" w:hAnsi="Book Antiqua"/>
          <w:sz w:val="24"/>
          <w:szCs w:val="24"/>
          <w:lang w:val="es-PR"/>
        </w:rPr>
        <w:t xml:space="preserve">Limitaciones fiscales históricas </w:t>
      </w:r>
    </w:p>
    <w:p w14:paraId="74BCA7BA" w14:textId="77777777" w:rsidR="00D20A0D" w:rsidRPr="0095721B" w:rsidRDefault="00D20A0D" w:rsidP="00B63E1C">
      <w:pPr>
        <w:pStyle w:val="Prrafodelista"/>
        <w:numPr>
          <w:ilvl w:val="2"/>
          <w:numId w:val="50"/>
        </w:numPr>
        <w:suppressLineNumbers/>
        <w:tabs>
          <w:tab w:val="clear" w:pos="5400"/>
          <w:tab w:val="num" w:pos="5040"/>
        </w:tabs>
        <w:ind w:left="1710"/>
        <w:jc w:val="both"/>
        <w:rPr>
          <w:rFonts w:ascii="Book Antiqua" w:hAnsi="Book Antiqua"/>
          <w:sz w:val="24"/>
          <w:szCs w:val="24"/>
          <w:lang w:val="es-PR"/>
        </w:rPr>
      </w:pPr>
      <w:r w:rsidRPr="0095721B">
        <w:rPr>
          <w:rFonts w:ascii="Book Antiqua" w:hAnsi="Book Antiqua"/>
          <w:sz w:val="24"/>
          <w:szCs w:val="24"/>
          <w:lang w:val="es-PR"/>
        </w:rPr>
        <w:t xml:space="preserve">Sistema completamente basado en managed care (igual que Puerto Rico) </w:t>
      </w:r>
    </w:p>
    <w:p w14:paraId="07BA6A57" w14:textId="77777777" w:rsidR="00D20A0D" w:rsidRPr="0095721B" w:rsidRDefault="00D20A0D" w:rsidP="00B63E1C">
      <w:pPr>
        <w:pStyle w:val="Prrafodelista"/>
        <w:numPr>
          <w:ilvl w:val="2"/>
          <w:numId w:val="50"/>
        </w:numPr>
        <w:suppressLineNumbers/>
        <w:tabs>
          <w:tab w:val="clear" w:pos="5400"/>
          <w:tab w:val="num" w:pos="5040"/>
        </w:tabs>
        <w:ind w:left="1710"/>
        <w:jc w:val="both"/>
        <w:rPr>
          <w:rFonts w:ascii="Book Antiqua" w:hAnsi="Book Antiqua"/>
          <w:sz w:val="24"/>
          <w:szCs w:val="24"/>
          <w:lang w:val="es-PR"/>
        </w:rPr>
      </w:pPr>
      <w:r w:rsidRPr="0095721B">
        <w:rPr>
          <w:rFonts w:ascii="Book Antiqua" w:hAnsi="Book Antiqua"/>
          <w:sz w:val="24"/>
          <w:szCs w:val="24"/>
          <w:lang w:val="es-PR"/>
        </w:rPr>
        <w:t>Sistema Medicaid altamente centralizado</w:t>
      </w:r>
    </w:p>
    <w:p w14:paraId="158E5291" w14:textId="77777777" w:rsidR="00D20A0D" w:rsidRPr="0095721B" w:rsidRDefault="00D20A0D" w:rsidP="00B63E1C">
      <w:pPr>
        <w:pStyle w:val="Prrafodelista"/>
        <w:numPr>
          <w:ilvl w:val="2"/>
          <w:numId w:val="50"/>
        </w:numPr>
        <w:suppressLineNumbers/>
        <w:tabs>
          <w:tab w:val="clear" w:pos="5400"/>
          <w:tab w:val="num" w:pos="5040"/>
        </w:tabs>
        <w:ind w:left="1710"/>
        <w:jc w:val="both"/>
        <w:rPr>
          <w:rFonts w:ascii="Book Antiqua" w:hAnsi="Book Antiqua"/>
          <w:sz w:val="24"/>
          <w:szCs w:val="24"/>
          <w:lang w:val="es-PR"/>
        </w:rPr>
      </w:pPr>
      <w:r w:rsidRPr="0095721B">
        <w:rPr>
          <w:rFonts w:ascii="Book Antiqua" w:hAnsi="Book Antiqua"/>
          <w:sz w:val="24"/>
          <w:szCs w:val="24"/>
          <w:lang w:val="es-PR"/>
        </w:rPr>
        <w:t>Uso obligatorio de aseguradoras (managed care)</w:t>
      </w:r>
    </w:p>
    <w:p w14:paraId="100238AE" w14:textId="77777777" w:rsidR="00D20A0D" w:rsidRPr="0095721B" w:rsidRDefault="00D20A0D" w:rsidP="00B63E1C">
      <w:pPr>
        <w:pStyle w:val="Prrafodelista"/>
        <w:numPr>
          <w:ilvl w:val="2"/>
          <w:numId w:val="50"/>
        </w:numPr>
        <w:suppressLineNumbers/>
        <w:tabs>
          <w:tab w:val="clear" w:pos="5400"/>
          <w:tab w:val="num" w:pos="5040"/>
        </w:tabs>
        <w:ind w:left="1710"/>
        <w:jc w:val="both"/>
        <w:rPr>
          <w:rFonts w:ascii="Book Antiqua" w:hAnsi="Book Antiqua"/>
          <w:sz w:val="24"/>
          <w:szCs w:val="24"/>
          <w:lang w:val="es-PR"/>
        </w:rPr>
      </w:pPr>
      <w:r w:rsidRPr="0095721B">
        <w:rPr>
          <w:rFonts w:ascii="Book Antiqua" w:hAnsi="Book Antiqua"/>
          <w:sz w:val="24"/>
          <w:szCs w:val="24"/>
          <w:lang w:val="es-PR"/>
        </w:rPr>
        <w:t>Alta proporción de población de bajos ingresos</w:t>
      </w:r>
    </w:p>
    <w:p w14:paraId="050FF1D2" w14:textId="404520EF" w:rsidR="004866AC" w:rsidRPr="0095721B" w:rsidRDefault="00D20A0D" w:rsidP="00B63E1C">
      <w:pPr>
        <w:pStyle w:val="Prrafodelista"/>
        <w:numPr>
          <w:ilvl w:val="2"/>
          <w:numId w:val="50"/>
        </w:numPr>
        <w:suppressLineNumbers/>
        <w:tabs>
          <w:tab w:val="clear" w:pos="5400"/>
          <w:tab w:val="num" w:pos="5040"/>
        </w:tabs>
        <w:ind w:left="1710"/>
        <w:jc w:val="both"/>
        <w:rPr>
          <w:rFonts w:ascii="Book Antiqua" w:hAnsi="Book Antiqua"/>
          <w:sz w:val="24"/>
          <w:szCs w:val="24"/>
          <w:lang w:val="es-PR"/>
        </w:rPr>
      </w:pPr>
      <w:r w:rsidRPr="0095721B">
        <w:rPr>
          <w:rFonts w:ascii="Book Antiqua" w:hAnsi="Book Antiqua"/>
          <w:sz w:val="24"/>
          <w:szCs w:val="24"/>
          <w:lang w:val="es-PR"/>
        </w:rPr>
        <w:t>Necesidad de maximizar fondos federales</w:t>
      </w:r>
    </w:p>
    <w:p w14:paraId="1F4AA303" w14:textId="77777777" w:rsidR="00A947C7" w:rsidRPr="0095721B" w:rsidRDefault="00A947C7" w:rsidP="0095721B">
      <w:pPr>
        <w:pStyle w:val="Prrafodelista"/>
        <w:suppressLineNumbers/>
        <w:ind w:left="0" w:firstLine="720"/>
        <w:jc w:val="both"/>
        <w:rPr>
          <w:rFonts w:ascii="Book Antiqua" w:hAnsi="Book Antiqua"/>
          <w:sz w:val="24"/>
          <w:szCs w:val="24"/>
          <w:lang w:val="es-PR"/>
        </w:rPr>
      </w:pPr>
    </w:p>
    <w:p w14:paraId="633AFFED" w14:textId="0172DAC9" w:rsidR="0099295F" w:rsidRDefault="00D20A0D" w:rsidP="00915D3E">
      <w:pPr>
        <w:pStyle w:val="Prrafodelista"/>
        <w:suppressLineNumbers/>
        <w:spacing w:after="0" w:line="240" w:lineRule="auto"/>
        <w:ind w:left="0"/>
        <w:jc w:val="both"/>
        <w:rPr>
          <w:rFonts w:ascii="Book Antiqua" w:hAnsi="Book Antiqua"/>
          <w:sz w:val="24"/>
          <w:szCs w:val="24"/>
          <w:lang w:val="es-PR"/>
        </w:rPr>
      </w:pPr>
      <w:r w:rsidRPr="0095721B">
        <w:rPr>
          <w:rFonts w:ascii="Book Antiqua" w:hAnsi="Book Antiqua"/>
          <w:sz w:val="24"/>
          <w:szCs w:val="24"/>
          <w:lang w:val="es-PR"/>
        </w:rPr>
        <w:t>Sin embargo, desde la implementación de este programa se logró una</w:t>
      </w:r>
      <w:r w:rsidR="0099295F" w:rsidRPr="0095721B">
        <w:rPr>
          <w:rFonts w:ascii="Book Antiqua" w:hAnsi="Book Antiqua"/>
          <w:sz w:val="24"/>
          <w:szCs w:val="24"/>
          <w:lang w:val="es-PR"/>
        </w:rPr>
        <w:t xml:space="preserve"> </w:t>
      </w:r>
      <w:r w:rsidR="00401EEE">
        <w:rPr>
          <w:rFonts w:ascii="Book Antiqua" w:hAnsi="Book Antiqua"/>
          <w:sz w:val="24"/>
          <w:szCs w:val="24"/>
          <w:lang w:val="es-PR"/>
        </w:rPr>
        <w:t>r</w:t>
      </w:r>
      <w:r w:rsidRPr="0095721B">
        <w:rPr>
          <w:rFonts w:ascii="Book Antiqua" w:hAnsi="Book Antiqua"/>
          <w:sz w:val="24"/>
          <w:szCs w:val="24"/>
          <w:lang w:val="es-PR"/>
        </w:rPr>
        <w:t>educción dramática de institucionalización</w:t>
      </w:r>
      <w:r w:rsidR="0099295F" w:rsidRPr="0095721B">
        <w:rPr>
          <w:rFonts w:ascii="Book Antiqua" w:hAnsi="Book Antiqua"/>
          <w:sz w:val="24"/>
          <w:szCs w:val="24"/>
          <w:lang w:val="es-PR"/>
        </w:rPr>
        <w:t xml:space="preserve">, donde entre </w:t>
      </w:r>
      <w:r w:rsidRPr="0095721B">
        <w:rPr>
          <w:rFonts w:ascii="Book Antiqua" w:hAnsi="Book Antiqua"/>
          <w:sz w:val="24"/>
          <w:szCs w:val="24"/>
          <w:lang w:val="es-PR"/>
        </w:rPr>
        <w:t>el 65%–70% de los beneficiarios reciben servicios en el hogar</w:t>
      </w:r>
      <w:r w:rsidR="0099295F" w:rsidRPr="0095721B">
        <w:rPr>
          <w:rFonts w:ascii="Book Antiqua" w:hAnsi="Book Antiqua"/>
          <w:sz w:val="24"/>
          <w:szCs w:val="24"/>
          <w:lang w:val="es-PR"/>
        </w:rPr>
        <w:t xml:space="preserve">. Por lo que el modelo ha logrado el control del crecimiento del gasto Medicaid y ha podido entrar en cumplimiento consistente con el requisito federal de </w:t>
      </w:r>
      <w:r w:rsidR="00401EEE">
        <w:rPr>
          <w:rFonts w:ascii="Book Antiqua" w:hAnsi="Book Antiqua"/>
          <w:sz w:val="24"/>
          <w:szCs w:val="24"/>
          <w:lang w:val="es-PR"/>
        </w:rPr>
        <w:t>n</w:t>
      </w:r>
      <w:r w:rsidR="00401EEE" w:rsidRPr="00401EEE">
        <w:rPr>
          <w:rFonts w:ascii="Book Antiqua" w:hAnsi="Book Antiqua"/>
          <w:sz w:val="24"/>
          <w:szCs w:val="24"/>
          <w:lang w:val="es-PR"/>
        </w:rPr>
        <w:t xml:space="preserve">eutralidad de </w:t>
      </w:r>
      <w:r w:rsidR="00401EEE">
        <w:rPr>
          <w:rFonts w:ascii="Book Antiqua" w:hAnsi="Book Antiqua"/>
          <w:sz w:val="24"/>
          <w:szCs w:val="24"/>
          <w:lang w:val="es-PR"/>
        </w:rPr>
        <w:t>c</w:t>
      </w:r>
      <w:r w:rsidR="00401EEE" w:rsidRPr="00401EEE">
        <w:rPr>
          <w:rFonts w:ascii="Book Antiqua" w:hAnsi="Book Antiqua"/>
          <w:sz w:val="24"/>
          <w:szCs w:val="24"/>
          <w:lang w:val="es-PR"/>
        </w:rPr>
        <w:t>ostos</w:t>
      </w:r>
      <w:r w:rsidR="0099295F" w:rsidRPr="0095721B">
        <w:rPr>
          <w:rFonts w:ascii="Book Antiqua" w:hAnsi="Book Antiqua"/>
          <w:sz w:val="24"/>
          <w:szCs w:val="24"/>
          <w:lang w:val="es-PR"/>
        </w:rPr>
        <w:t>. Además, lograron integrar servicios médicos, servicios sociales y salud mental lo cual llevó a menos hospitalizaciones y mejor manejo de condiciones crónicas.</w:t>
      </w:r>
    </w:p>
    <w:p w14:paraId="1A9FE575" w14:textId="77777777" w:rsidR="00915D3E" w:rsidRPr="0095721B" w:rsidRDefault="00915D3E" w:rsidP="00915D3E">
      <w:pPr>
        <w:pStyle w:val="Prrafodelista"/>
        <w:suppressLineNumbers/>
        <w:spacing w:after="0" w:line="240" w:lineRule="auto"/>
        <w:ind w:left="0"/>
        <w:jc w:val="both"/>
        <w:rPr>
          <w:rFonts w:ascii="Book Antiqua" w:hAnsi="Book Antiqua"/>
          <w:sz w:val="24"/>
          <w:szCs w:val="24"/>
          <w:lang w:val="es-PR"/>
        </w:rPr>
      </w:pPr>
    </w:p>
    <w:p w14:paraId="792763C1" w14:textId="117E85D0" w:rsidR="0099295F" w:rsidRPr="0095721B" w:rsidRDefault="0095721B" w:rsidP="00915D3E">
      <w:pPr>
        <w:suppressLineNumbers/>
        <w:ind w:firstLine="720"/>
        <w:jc w:val="both"/>
        <w:rPr>
          <w:rFonts w:ascii="Book Antiqua" w:hAnsi="Book Antiqua"/>
          <w:lang w:val="es-PR"/>
        </w:rPr>
      </w:pPr>
      <w:r w:rsidRPr="0095721B">
        <w:rPr>
          <w:rFonts w:ascii="Book Antiqua" w:hAnsi="Book Antiqua"/>
          <w:lang w:val="es-PR"/>
        </w:rPr>
        <w:t>Todos estos modelos son particularmente relevantes para Puerto Rico debido a su combinación de limitaciones fiscales, alta población envejeciente y dependencia de fondos federales. Sin embargo, e</w:t>
      </w:r>
      <w:r w:rsidR="0099295F" w:rsidRPr="0095721B">
        <w:rPr>
          <w:rFonts w:ascii="Book Antiqua" w:hAnsi="Book Antiqua"/>
          <w:lang w:val="es-PR"/>
        </w:rPr>
        <w:t xml:space="preserve">l ejemplo del estado de Arizona es un indicativo de la posibilidad de implementación en </w:t>
      </w:r>
      <w:r w:rsidR="00401EEE">
        <w:rPr>
          <w:rFonts w:ascii="Book Antiqua" w:hAnsi="Book Antiqua"/>
          <w:lang w:val="es-PR"/>
        </w:rPr>
        <w:t>nuestra jurisdicción</w:t>
      </w:r>
      <w:r w:rsidR="0099295F" w:rsidRPr="0095721B">
        <w:rPr>
          <w:rFonts w:ascii="Book Antiqua" w:hAnsi="Book Antiqua"/>
          <w:lang w:val="es-PR"/>
        </w:rPr>
        <w:t xml:space="preserve">. </w:t>
      </w:r>
      <w:r w:rsidRPr="0095721B">
        <w:rPr>
          <w:rFonts w:ascii="Book Antiqua" w:hAnsi="Book Antiqua"/>
          <w:lang w:val="es-PR"/>
        </w:rPr>
        <w:t>Dado que</w:t>
      </w:r>
      <w:r w:rsidR="0099295F" w:rsidRPr="0095721B">
        <w:rPr>
          <w:rFonts w:ascii="Book Antiqua" w:hAnsi="Book Antiqua"/>
          <w:lang w:val="es-PR"/>
        </w:rPr>
        <w:t xml:space="preserve"> han implementado exitosamente el programa Arizona Long-Term Care System (ALTCS), el cual integra servicios médicos y sociales bajo un modelo de cuidado administrado, logrando que más del 65% de sus beneficiarios reciban servicios en el hogar en lugar de instituciones, con resultados comprobados en reducción de costos, disminución de hospitalizaciones evitables y mejora en la coordinación del cuidado. </w:t>
      </w:r>
      <w:r w:rsidRPr="0095721B">
        <w:rPr>
          <w:rFonts w:ascii="Book Antiqua" w:hAnsi="Book Antiqua"/>
          <w:lang w:val="es-PR"/>
        </w:rPr>
        <w:t>Además, d</w:t>
      </w:r>
      <w:r w:rsidR="0099295F" w:rsidRPr="0095721B">
        <w:rPr>
          <w:rFonts w:ascii="Book Antiqua" w:hAnsi="Book Antiqua"/>
          <w:lang w:val="es-PR"/>
        </w:rPr>
        <w:t>icho modelo resulta altamente comparable a Puerto Rico, dado que ambas jurisdicciones operan sistemas centralizados de Medicaid bajo esquemas de manejo por aseguradoras, lo que evidencia la viabilidad de su implementación en Puerto Rico.</w:t>
      </w:r>
    </w:p>
    <w:p w14:paraId="4A9FDB16" w14:textId="5393AC04" w:rsidR="0099295F" w:rsidRPr="0095721B" w:rsidRDefault="0099295F" w:rsidP="00915D3E">
      <w:pPr>
        <w:pStyle w:val="Prrafodelista"/>
        <w:suppressLineNumbers/>
        <w:spacing w:after="0" w:line="240" w:lineRule="auto"/>
        <w:ind w:left="0"/>
        <w:jc w:val="both"/>
        <w:rPr>
          <w:rFonts w:ascii="Book Antiqua" w:hAnsi="Book Antiqua"/>
          <w:sz w:val="24"/>
          <w:szCs w:val="24"/>
          <w:lang w:val="es-PR"/>
        </w:rPr>
      </w:pPr>
      <w:r w:rsidRPr="0095721B">
        <w:rPr>
          <w:rFonts w:ascii="Book Antiqua" w:hAnsi="Book Antiqua"/>
          <w:sz w:val="24"/>
          <w:szCs w:val="24"/>
          <w:lang w:val="es-PR"/>
        </w:rPr>
        <w:t xml:space="preserve"> </w:t>
      </w:r>
    </w:p>
    <w:p w14:paraId="040E573B" w14:textId="029523CC" w:rsidR="00EF3E58" w:rsidRPr="0095721B" w:rsidRDefault="0099295F" w:rsidP="00915D3E">
      <w:pPr>
        <w:pStyle w:val="Prrafodelista"/>
        <w:suppressLineNumbers/>
        <w:spacing w:after="0" w:line="240" w:lineRule="auto"/>
        <w:ind w:left="0" w:firstLine="720"/>
        <w:jc w:val="both"/>
        <w:rPr>
          <w:rFonts w:ascii="Book Antiqua" w:hAnsi="Book Antiqua"/>
          <w:sz w:val="24"/>
          <w:szCs w:val="24"/>
          <w:lang w:val="es-PR"/>
        </w:rPr>
      </w:pPr>
      <w:r w:rsidRPr="0095721B">
        <w:rPr>
          <w:rFonts w:ascii="Book Antiqua" w:hAnsi="Book Antiqua"/>
          <w:sz w:val="24"/>
          <w:szCs w:val="24"/>
          <w:lang w:val="es-PR"/>
        </w:rPr>
        <w:lastRenderedPageBreak/>
        <w:t>Por otro lado, debemos tener en cuenta que</w:t>
      </w:r>
      <w:r w:rsidR="00EF3E58" w:rsidRPr="0095721B">
        <w:rPr>
          <w:rFonts w:ascii="Book Antiqua" w:hAnsi="Book Antiqua"/>
          <w:sz w:val="24"/>
          <w:szCs w:val="24"/>
          <w:lang w:val="es-PR"/>
        </w:rPr>
        <w:t xml:space="preserve"> el programa Medicaid</w:t>
      </w:r>
      <w:r w:rsidR="0084758F" w:rsidRPr="0095721B">
        <w:rPr>
          <w:rFonts w:ascii="Book Antiqua" w:hAnsi="Book Antiqua"/>
          <w:sz w:val="24"/>
          <w:szCs w:val="24"/>
          <w:lang w:val="es-PR"/>
        </w:rPr>
        <w:t xml:space="preserve">, </w:t>
      </w:r>
      <w:r w:rsidR="00EF3E58" w:rsidRPr="0095721B">
        <w:rPr>
          <w:rFonts w:ascii="Book Antiqua" w:hAnsi="Book Antiqua"/>
          <w:sz w:val="24"/>
          <w:szCs w:val="24"/>
          <w:lang w:val="es-PR"/>
        </w:rPr>
        <w:t>autorizado bajo el Título XIX del Social Security Ac</w:t>
      </w:r>
      <w:r w:rsidR="0084758F" w:rsidRPr="0095721B">
        <w:rPr>
          <w:rFonts w:ascii="Book Antiqua" w:hAnsi="Book Antiqua"/>
          <w:sz w:val="24"/>
          <w:szCs w:val="24"/>
          <w:lang w:val="es-PR"/>
        </w:rPr>
        <w:t>t,</w:t>
      </w:r>
      <w:r w:rsidR="00EF3E58" w:rsidRPr="0095721B">
        <w:rPr>
          <w:rFonts w:ascii="Book Antiqua" w:hAnsi="Book Antiqua"/>
          <w:sz w:val="24"/>
          <w:szCs w:val="24"/>
          <w:lang w:val="es-PR"/>
        </w:rPr>
        <w:t xml:space="preserve"> ha evolucionado hacia un modelo de prestación centrado en el paciente</w:t>
      </w:r>
      <w:r w:rsidR="0084758F" w:rsidRPr="0095721B">
        <w:rPr>
          <w:rFonts w:ascii="Book Antiqua" w:hAnsi="Book Antiqua"/>
          <w:sz w:val="24"/>
          <w:szCs w:val="24"/>
          <w:lang w:val="es-PR"/>
        </w:rPr>
        <w:t xml:space="preserve">, </w:t>
      </w:r>
      <w:r w:rsidR="00EF3E58" w:rsidRPr="0095721B">
        <w:rPr>
          <w:rFonts w:ascii="Book Antiqua" w:hAnsi="Book Antiqua"/>
          <w:sz w:val="24"/>
          <w:szCs w:val="24"/>
          <w:lang w:val="es-PR"/>
        </w:rPr>
        <w:t xml:space="preserve">mediante la implementación de los Home and Community-Based Services (HCBS). Dichos servicios permiten la provisión de cuidados médicos y no médicos en entornos comunitarios, evitando </w:t>
      </w:r>
      <w:r w:rsidR="0084758F" w:rsidRPr="0095721B">
        <w:rPr>
          <w:rFonts w:ascii="Book Antiqua" w:hAnsi="Book Antiqua"/>
          <w:sz w:val="24"/>
          <w:szCs w:val="24"/>
          <w:lang w:val="es-PR"/>
        </w:rPr>
        <w:t>hospitalización</w:t>
      </w:r>
      <w:r w:rsidR="00EF3E58" w:rsidRPr="0095721B">
        <w:rPr>
          <w:rFonts w:ascii="Book Antiqua" w:hAnsi="Book Antiqua"/>
          <w:sz w:val="24"/>
          <w:szCs w:val="24"/>
          <w:lang w:val="es-PR"/>
        </w:rPr>
        <w:t xml:space="preserve"> innecesaria y promoviendo la autonomía funcional del beneficiario.</w:t>
      </w:r>
    </w:p>
    <w:p w14:paraId="5C14477D" w14:textId="77777777" w:rsidR="0084758F" w:rsidRPr="0095721B" w:rsidRDefault="0084758F" w:rsidP="00915D3E">
      <w:pPr>
        <w:pStyle w:val="Prrafodelista"/>
        <w:suppressLineNumbers/>
        <w:spacing w:after="0" w:line="240" w:lineRule="auto"/>
        <w:ind w:left="0" w:firstLine="720"/>
        <w:jc w:val="both"/>
        <w:rPr>
          <w:rFonts w:ascii="Book Antiqua" w:hAnsi="Book Antiqua"/>
          <w:sz w:val="24"/>
          <w:szCs w:val="24"/>
          <w:lang w:val="es-PR"/>
        </w:rPr>
      </w:pPr>
    </w:p>
    <w:p w14:paraId="5471DC81" w14:textId="29C3F575" w:rsidR="00EF3E58" w:rsidRPr="0095721B" w:rsidRDefault="00EF3E58" w:rsidP="00915D3E">
      <w:pPr>
        <w:pStyle w:val="Prrafodelista"/>
        <w:suppressLineNumbers/>
        <w:spacing w:after="0" w:line="240" w:lineRule="auto"/>
        <w:ind w:left="0" w:firstLine="720"/>
        <w:jc w:val="both"/>
        <w:rPr>
          <w:rFonts w:ascii="Book Antiqua" w:hAnsi="Book Antiqua"/>
          <w:sz w:val="24"/>
          <w:szCs w:val="24"/>
          <w:lang w:val="es-PR"/>
        </w:rPr>
      </w:pPr>
      <w:r w:rsidRPr="0095721B">
        <w:rPr>
          <w:rFonts w:ascii="Book Antiqua" w:hAnsi="Book Antiqua"/>
          <w:sz w:val="24"/>
          <w:szCs w:val="24"/>
          <w:lang w:val="es-PR"/>
        </w:rPr>
        <w:t>Según el Kaiser Family Foundation, más del 60% del gasto en servicios de cuidado a largo plazo de Medicaid en los Estados Unidos se destina actualmente a servicios comunitarios, lo cual evidencia una transición sistémica hacia modelos de atención domiciliaria</w:t>
      </w:r>
      <w:r w:rsidR="0084758F" w:rsidRPr="0095721B">
        <w:rPr>
          <w:rFonts w:ascii="Book Antiqua" w:hAnsi="Book Antiqua"/>
          <w:sz w:val="24"/>
          <w:szCs w:val="24"/>
          <w:lang w:val="es-PR"/>
        </w:rPr>
        <w:t>, donde la atención personalizada tiene mayor impacto</w:t>
      </w:r>
      <w:r w:rsidRPr="0095721B">
        <w:rPr>
          <w:rFonts w:ascii="Book Antiqua" w:hAnsi="Book Antiqua"/>
          <w:sz w:val="24"/>
          <w:szCs w:val="24"/>
          <w:lang w:val="es-PR"/>
        </w:rPr>
        <w:t>. Asimismo, más de 5 millones de beneficiarios reciben servicios HCBS a través de múltiples mecanismos regulatorios.</w:t>
      </w:r>
      <w:r w:rsidR="0084758F" w:rsidRPr="0095721B">
        <w:rPr>
          <w:rFonts w:ascii="Book Antiqua" w:hAnsi="Book Antiqua"/>
          <w:sz w:val="24"/>
          <w:szCs w:val="24"/>
          <w:lang w:val="es-PR"/>
        </w:rPr>
        <w:t xml:space="preserve"> A tales efectos, e</w:t>
      </w:r>
      <w:r w:rsidRPr="0095721B">
        <w:rPr>
          <w:rFonts w:ascii="Book Antiqua" w:hAnsi="Book Antiqua"/>
          <w:sz w:val="24"/>
          <w:szCs w:val="24"/>
          <w:lang w:val="es-PR"/>
        </w:rPr>
        <w:t xml:space="preserve">l principal instrumento regulatorio para la implantación de estos servicios es el </w:t>
      </w:r>
      <w:r w:rsidR="0084758F" w:rsidRPr="0095721B">
        <w:rPr>
          <w:rFonts w:ascii="Book Antiqua" w:hAnsi="Book Antiqua"/>
          <w:sz w:val="24"/>
          <w:szCs w:val="24"/>
          <w:lang w:val="es-PR"/>
        </w:rPr>
        <w:t>"</w:t>
      </w:r>
      <w:r w:rsidRPr="0095721B">
        <w:rPr>
          <w:rFonts w:ascii="Book Antiqua" w:hAnsi="Book Antiqua"/>
          <w:sz w:val="24"/>
          <w:szCs w:val="24"/>
          <w:lang w:val="es-PR"/>
        </w:rPr>
        <w:t>waiver 1915(c)</w:t>
      </w:r>
      <w:r w:rsidR="0084758F" w:rsidRPr="0095721B">
        <w:rPr>
          <w:rFonts w:ascii="Book Antiqua" w:hAnsi="Book Antiqua"/>
          <w:sz w:val="24"/>
          <w:szCs w:val="24"/>
          <w:lang w:val="es-PR"/>
        </w:rPr>
        <w:t>"</w:t>
      </w:r>
      <w:r w:rsidRPr="0095721B">
        <w:rPr>
          <w:rFonts w:ascii="Book Antiqua" w:hAnsi="Book Antiqua"/>
          <w:sz w:val="24"/>
          <w:szCs w:val="24"/>
          <w:lang w:val="es-PR"/>
        </w:rPr>
        <w:t xml:space="preserve">, el cual permite a los estados diseñar programas dirigidos a poblaciones específicas, bajo el principio de </w:t>
      </w:r>
      <w:r w:rsidR="00401EEE" w:rsidRPr="00401EEE">
        <w:rPr>
          <w:rFonts w:ascii="Book Antiqua" w:hAnsi="Book Antiqua"/>
          <w:sz w:val="24"/>
          <w:szCs w:val="24"/>
          <w:lang w:val="es-PR"/>
        </w:rPr>
        <w:t xml:space="preserve">neutralidad de costos </w:t>
      </w:r>
      <w:r w:rsidRPr="0095721B">
        <w:rPr>
          <w:rFonts w:ascii="Book Antiqua" w:hAnsi="Book Antiqua"/>
          <w:sz w:val="24"/>
          <w:szCs w:val="24"/>
          <w:lang w:val="es-PR"/>
        </w:rPr>
        <w:t>(“cost neutrality requirement”), es decir, que el costo promedio por beneficiario no exceda el costo equivalente en una institución. Este requisito constituye un estándar actuarial fundamental validado por el Centers for Medicare &amp; Medicaid Services.</w:t>
      </w:r>
    </w:p>
    <w:p w14:paraId="2F251B9A" w14:textId="0F403474" w:rsidR="00EF3E58" w:rsidRPr="0095721B" w:rsidRDefault="00EF3E58" w:rsidP="00915D3E">
      <w:pPr>
        <w:pStyle w:val="Prrafodelista"/>
        <w:suppressLineNumbers/>
        <w:spacing w:after="0" w:line="240" w:lineRule="auto"/>
        <w:ind w:left="0"/>
        <w:jc w:val="both"/>
        <w:rPr>
          <w:rFonts w:ascii="Book Antiqua" w:hAnsi="Book Antiqua"/>
          <w:sz w:val="24"/>
          <w:szCs w:val="24"/>
          <w:lang w:val="es-PR"/>
        </w:rPr>
      </w:pPr>
    </w:p>
    <w:p w14:paraId="71856B67" w14:textId="537D448A" w:rsidR="00EF3E58" w:rsidRPr="0095721B" w:rsidRDefault="0095721B" w:rsidP="00915D3E">
      <w:pPr>
        <w:pStyle w:val="Prrafodelista"/>
        <w:suppressLineNumbers/>
        <w:spacing w:after="0" w:line="240" w:lineRule="auto"/>
        <w:ind w:left="0" w:firstLine="720"/>
        <w:jc w:val="both"/>
        <w:rPr>
          <w:rFonts w:ascii="Book Antiqua" w:hAnsi="Book Antiqua"/>
          <w:sz w:val="24"/>
          <w:szCs w:val="24"/>
          <w:lang w:val="es-PR"/>
        </w:rPr>
      </w:pPr>
      <w:r w:rsidRPr="0095721B">
        <w:rPr>
          <w:rFonts w:ascii="Book Antiqua" w:hAnsi="Book Antiqua"/>
          <w:sz w:val="24"/>
          <w:szCs w:val="24"/>
          <w:lang w:val="es-PR"/>
        </w:rPr>
        <w:t>Así las cosas, y a</w:t>
      </w:r>
      <w:r w:rsidR="00EF3E58" w:rsidRPr="0095721B">
        <w:rPr>
          <w:rFonts w:ascii="Book Antiqua" w:hAnsi="Book Antiqua"/>
          <w:sz w:val="24"/>
          <w:szCs w:val="24"/>
          <w:lang w:val="es-PR"/>
        </w:rPr>
        <w:t xml:space="preserve"> pesar de que Puerto Rico participa en Medicaid a través del Plan Vital, administrado por ASES, la jurisdicción no ha maximizado el uso de las </w:t>
      </w:r>
      <w:r w:rsidR="00401EEE">
        <w:rPr>
          <w:rFonts w:ascii="Book Antiqua" w:hAnsi="Book Antiqua"/>
          <w:sz w:val="24"/>
          <w:szCs w:val="24"/>
          <w:lang w:val="es-PR"/>
        </w:rPr>
        <w:t xml:space="preserve">excepciones </w:t>
      </w:r>
      <w:r w:rsidR="00EF3E58" w:rsidRPr="0095721B">
        <w:rPr>
          <w:rFonts w:ascii="Book Antiqua" w:hAnsi="Book Antiqua"/>
          <w:sz w:val="24"/>
          <w:szCs w:val="24"/>
          <w:lang w:val="es-PR"/>
        </w:rPr>
        <w:t>federales disponibles para la implantación de HCBS, particularmente bajo las secciones 1915(c) y 1115.</w:t>
      </w:r>
      <w:r w:rsidRPr="0095721B">
        <w:rPr>
          <w:rFonts w:ascii="Book Antiqua" w:hAnsi="Book Antiqua"/>
          <w:sz w:val="24"/>
          <w:szCs w:val="24"/>
          <w:lang w:val="es-PR"/>
        </w:rPr>
        <w:t xml:space="preserve"> Esto debido a l</w:t>
      </w:r>
      <w:r w:rsidR="00EF3E58" w:rsidRPr="0095721B">
        <w:rPr>
          <w:rFonts w:ascii="Book Antiqua" w:hAnsi="Book Antiqua"/>
          <w:sz w:val="24"/>
          <w:szCs w:val="24"/>
          <w:lang w:val="es-PR"/>
        </w:rPr>
        <w:t xml:space="preserve">a ausencia de un marco estatutario robusto </w:t>
      </w:r>
      <w:r w:rsidRPr="0095721B">
        <w:rPr>
          <w:rFonts w:ascii="Book Antiqua" w:hAnsi="Book Antiqua"/>
          <w:sz w:val="24"/>
          <w:szCs w:val="24"/>
          <w:lang w:val="es-PR"/>
        </w:rPr>
        <w:t xml:space="preserve">el cual </w:t>
      </w:r>
      <w:r w:rsidR="00EF3E58" w:rsidRPr="0095721B">
        <w:rPr>
          <w:rFonts w:ascii="Book Antiqua" w:hAnsi="Book Antiqua"/>
          <w:sz w:val="24"/>
          <w:szCs w:val="24"/>
          <w:lang w:val="es-PR"/>
        </w:rPr>
        <w:t>ha limitado:</w:t>
      </w:r>
    </w:p>
    <w:p w14:paraId="2676507F" w14:textId="77777777" w:rsidR="00EF3E58" w:rsidRPr="00B63E1C" w:rsidRDefault="00EF3E58" w:rsidP="00915D3E">
      <w:pPr>
        <w:pStyle w:val="Prrafodelista"/>
        <w:numPr>
          <w:ilvl w:val="0"/>
          <w:numId w:val="62"/>
        </w:numPr>
        <w:suppressLineNumbers/>
        <w:spacing w:after="0" w:line="240" w:lineRule="auto"/>
        <w:jc w:val="both"/>
        <w:rPr>
          <w:rFonts w:ascii="Book Antiqua" w:hAnsi="Book Antiqua"/>
          <w:sz w:val="24"/>
          <w:szCs w:val="24"/>
          <w:lang w:val="es-PR"/>
        </w:rPr>
      </w:pPr>
      <w:r w:rsidRPr="00B63E1C">
        <w:rPr>
          <w:rFonts w:ascii="Book Antiqua" w:hAnsi="Book Antiqua"/>
          <w:sz w:val="24"/>
          <w:szCs w:val="24"/>
          <w:lang w:val="es-PR"/>
        </w:rPr>
        <w:t xml:space="preserve">La captación de fondos federales adicionales </w:t>
      </w:r>
    </w:p>
    <w:p w14:paraId="23FAD834" w14:textId="48322C7D" w:rsidR="00EF3E58" w:rsidRPr="00B63E1C" w:rsidRDefault="00EF3E58" w:rsidP="00915D3E">
      <w:pPr>
        <w:pStyle w:val="Prrafodelista"/>
        <w:numPr>
          <w:ilvl w:val="0"/>
          <w:numId w:val="62"/>
        </w:numPr>
        <w:suppressLineNumbers/>
        <w:spacing w:after="0" w:line="240" w:lineRule="auto"/>
        <w:jc w:val="both"/>
        <w:rPr>
          <w:rFonts w:ascii="Book Antiqua" w:hAnsi="Book Antiqua"/>
          <w:sz w:val="24"/>
          <w:szCs w:val="24"/>
          <w:lang w:val="es-PR"/>
        </w:rPr>
      </w:pPr>
      <w:r w:rsidRPr="00B63E1C">
        <w:rPr>
          <w:rFonts w:ascii="Book Antiqua" w:hAnsi="Book Antiqua"/>
          <w:sz w:val="24"/>
          <w:szCs w:val="24"/>
          <w:lang w:val="es-PR"/>
        </w:rPr>
        <w:t xml:space="preserve">La transición hacia modelos de atención </w:t>
      </w:r>
      <w:r w:rsidR="00401EEE">
        <w:rPr>
          <w:rFonts w:ascii="Book Antiqua" w:hAnsi="Book Antiqua"/>
          <w:sz w:val="24"/>
          <w:szCs w:val="24"/>
          <w:lang w:val="es-PR"/>
        </w:rPr>
        <w:t xml:space="preserve">de la </w:t>
      </w:r>
      <w:r w:rsidR="00401EEE" w:rsidRPr="00401EEE">
        <w:rPr>
          <w:rFonts w:ascii="Book Antiqua" w:hAnsi="Book Antiqua"/>
          <w:sz w:val="24"/>
          <w:szCs w:val="24"/>
          <w:lang w:val="es-PR"/>
        </w:rPr>
        <w:t>neutralidad de costos</w:t>
      </w:r>
    </w:p>
    <w:p w14:paraId="694501FA" w14:textId="77777777" w:rsidR="00EF3E58" w:rsidRPr="00B63E1C" w:rsidRDefault="00EF3E58" w:rsidP="00915D3E">
      <w:pPr>
        <w:pStyle w:val="Prrafodelista"/>
        <w:numPr>
          <w:ilvl w:val="0"/>
          <w:numId w:val="62"/>
        </w:numPr>
        <w:suppressLineNumbers/>
        <w:spacing w:after="0" w:line="240" w:lineRule="auto"/>
        <w:jc w:val="both"/>
        <w:rPr>
          <w:rFonts w:ascii="Book Antiqua" w:hAnsi="Book Antiqua"/>
          <w:sz w:val="24"/>
          <w:szCs w:val="24"/>
          <w:lang w:val="es-PR"/>
        </w:rPr>
      </w:pPr>
      <w:r w:rsidRPr="00B63E1C">
        <w:rPr>
          <w:rFonts w:ascii="Book Antiqua" w:hAnsi="Book Antiqua"/>
          <w:sz w:val="24"/>
          <w:szCs w:val="24"/>
          <w:lang w:val="es-PR"/>
        </w:rPr>
        <w:t xml:space="preserve">La integración de servicios comunitarios y municipales </w:t>
      </w:r>
    </w:p>
    <w:p w14:paraId="1769D1C7" w14:textId="77777777" w:rsidR="00EF3E58" w:rsidRPr="00B63E1C" w:rsidRDefault="00EF3E58" w:rsidP="00915D3E">
      <w:pPr>
        <w:pStyle w:val="Prrafodelista"/>
        <w:numPr>
          <w:ilvl w:val="0"/>
          <w:numId w:val="62"/>
        </w:numPr>
        <w:suppressLineNumbers/>
        <w:spacing w:after="0" w:line="240" w:lineRule="auto"/>
        <w:jc w:val="both"/>
        <w:rPr>
          <w:rFonts w:ascii="Book Antiqua" w:hAnsi="Book Antiqua"/>
          <w:lang w:val="es-PR"/>
        </w:rPr>
      </w:pPr>
      <w:r w:rsidRPr="00B63E1C">
        <w:rPr>
          <w:rFonts w:ascii="Book Antiqua" w:hAnsi="Book Antiqua"/>
          <w:sz w:val="24"/>
          <w:szCs w:val="24"/>
          <w:lang w:val="es-PR"/>
        </w:rPr>
        <w:t>La profesionalización del sector de cuidado domiciliario</w:t>
      </w:r>
      <w:r w:rsidRPr="00B63E1C">
        <w:rPr>
          <w:rFonts w:ascii="Book Antiqua" w:hAnsi="Book Antiqua"/>
          <w:lang w:val="es-PR"/>
        </w:rPr>
        <w:t xml:space="preserve"> </w:t>
      </w:r>
    </w:p>
    <w:p w14:paraId="06675D68" w14:textId="77777777" w:rsidR="0095721B" w:rsidRPr="0095721B" w:rsidRDefault="0095721B" w:rsidP="00915D3E">
      <w:pPr>
        <w:pStyle w:val="Prrafodelista"/>
        <w:suppressLineNumbers/>
        <w:spacing w:after="0" w:line="240" w:lineRule="auto"/>
        <w:ind w:left="0"/>
        <w:jc w:val="both"/>
        <w:rPr>
          <w:rFonts w:ascii="Book Antiqua" w:hAnsi="Book Antiqua"/>
          <w:sz w:val="24"/>
          <w:szCs w:val="24"/>
          <w:lang w:val="es-PR"/>
        </w:rPr>
      </w:pPr>
    </w:p>
    <w:p w14:paraId="1FFC65F9" w14:textId="01E8D6D6" w:rsidR="0029569A" w:rsidRDefault="0095721B" w:rsidP="00915D3E">
      <w:pPr>
        <w:pStyle w:val="Prrafodelista"/>
        <w:suppressLineNumbers/>
        <w:spacing w:after="0" w:line="240" w:lineRule="auto"/>
        <w:ind w:left="0" w:firstLine="360"/>
        <w:jc w:val="both"/>
        <w:rPr>
          <w:rFonts w:ascii="Book Antiqua" w:hAnsi="Book Antiqua"/>
          <w:sz w:val="24"/>
          <w:szCs w:val="24"/>
          <w:lang w:val="es-PR"/>
        </w:rPr>
      </w:pPr>
      <w:r w:rsidRPr="0095721B">
        <w:rPr>
          <w:rFonts w:ascii="Book Antiqua" w:eastAsia="Times New Roman" w:hAnsi="Book Antiqua"/>
          <w:kern w:val="0"/>
          <w:sz w:val="24"/>
          <w:szCs w:val="24"/>
          <w:lang w:val="es-ES_tradnl"/>
        </w:rPr>
        <w:t xml:space="preserve">Por las razones antes expuestas, </w:t>
      </w:r>
      <w:r w:rsidR="00EF3E58" w:rsidRPr="0095721B">
        <w:rPr>
          <w:rFonts w:ascii="Book Antiqua" w:hAnsi="Book Antiqua"/>
          <w:sz w:val="24"/>
          <w:szCs w:val="24"/>
          <w:lang w:val="es-PR"/>
        </w:rPr>
        <w:t xml:space="preserve">esta Asamblea Legislativa reconoce </w:t>
      </w:r>
      <w:r w:rsidRPr="0095721B">
        <w:rPr>
          <w:rFonts w:ascii="Book Antiqua" w:hAnsi="Book Antiqua"/>
          <w:sz w:val="24"/>
          <w:szCs w:val="24"/>
          <w:lang w:val="es-PR"/>
        </w:rPr>
        <w:t xml:space="preserve">y considera meritorio </w:t>
      </w:r>
      <w:r w:rsidR="00EF3E58" w:rsidRPr="0095721B">
        <w:rPr>
          <w:rFonts w:ascii="Book Antiqua" w:hAnsi="Book Antiqua"/>
          <w:sz w:val="24"/>
          <w:szCs w:val="24"/>
          <w:lang w:val="es-PR"/>
        </w:rPr>
        <w:t>la imperiosa necesidad de establecer un mandato claro, vinculante y estructurado que obligue al Ejecutivo a implementar este modelo</w:t>
      </w:r>
      <w:r w:rsidRPr="0095721B">
        <w:rPr>
          <w:rFonts w:ascii="Book Antiqua" w:hAnsi="Book Antiqua"/>
          <w:sz w:val="24"/>
          <w:szCs w:val="24"/>
          <w:lang w:val="es-PR"/>
        </w:rPr>
        <w:t xml:space="preserve"> que logre la desinstitucionalización progresiva del cuidado a largo plazo, la adopción del modelo de “person-centered planning” y la integración de servicios médicos y sociales. </w:t>
      </w:r>
    </w:p>
    <w:p w14:paraId="6BB1A9FA" w14:textId="77777777" w:rsidR="00915D3E" w:rsidRDefault="00915D3E" w:rsidP="00915D3E">
      <w:pPr>
        <w:pStyle w:val="Prrafodelista"/>
        <w:suppressLineNumbers/>
        <w:spacing w:after="0" w:line="240" w:lineRule="auto"/>
        <w:ind w:left="0" w:firstLine="360"/>
        <w:jc w:val="both"/>
        <w:rPr>
          <w:rFonts w:ascii="Book Antiqua" w:hAnsi="Book Antiqua"/>
          <w:sz w:val="24"/>
          <w:szCs w:val="24"/>
          <w:lang w:val="es-PR"/>
        </w:rPr>
      </w:pPr>
    </w:p>
    <w:bookmarkEnd w:id="1"/>
    <w:p w14:paraId="349E3DD6" w14:textId="3607F547" w:rsidR="00CF0F75" w:rsidRPr="00E26C0C" w:rsidRDefault="00CF0F75" w:rsidP="00A4364B">
      <w:pPr>
        <w:suppressLineNumbers/>
        <w:spacing w:line="480" w:lineRule="auto"/>
        <w:rPr>
          <w:rFonts w:ascii="Book Antiqua" w:hAnsi="Book Antiqua"/>
          <w:i/>
          <w:lang w:val="es-ES_tradnl"/>
        </w:rPr>
      </w:pPr>
      <w:r w:rsidRPr="00E26C0C">
        <w:rPr>
          <w:rFonts w:ascii="Book Antiqua" w:hAnsi="Book Antiqua"/>
          <w:i/>
          <w:lang w:val="es-ES_tradnl"/>
        </w:rPr>
        <w:t>DECR</w:t>
      </w:r>
      <w:r w:rsidR="00EF11A2" w:rsidRPr="00E26C0C">
        <w:rPr>
          <w:rFonts w:ascii="Book Antiqua" w:hAnsi="Book Antiqua"/>
          <w:i/>
          <w:lang w:val="es-ES_tradnl"/>
        </w:rPr>
        <w:t>É</w:t>
      </w:r>
      <w:r w:rsidRPr="00E26C0C">
        <w:rPr>
          <w:rFonts w:ascii="Book Antiqua" w:hAnsi="Book Antiqua"/>
          <w:i/>
          <w:lang w:val="es-ES_tradnl"/>
        </w:rPr>
        <w:t>TASE POR LA ASAMBLEA LEGISLATIVA DE PUERTO RICO:</w:t>
      </w:r>
    </w:p>
    <w:p w14:paraId="2BB89D77" w14:textId="543D5194" w:rsidR="000F2699" w:rsidRPr="00401EEE" w:rsidRDefault="000F2699" w:rsidP="000F2699">
      <w:pPr>
        <w:pStyle w:val="Sinespaciado"/>
        <w:spacing w:line="480" w:lineRule="auto"/>
        <w:ind w:firstLine="720"/>
        <w:jc w:val="both"/>
        <w:rPr>
          <w:rFonts w:ascii="Book Antiqua" w:hAnsi="Book Antiqua"/>
          <w:b/>
          <w:bCs/>
        </w:rPr>
      </w:pPr>
      <w:r w:rsidRPr="00401EEE">
        <w:rPr>
          <w:rFonts w:ascii="Book Antiqua" w:hAnsi="Book Antiqua"/>
          <w:b/>
          <w:bCs/>
        </w:rPr>
        <w:t xml:space="preserve">Artículo </w:t>
      </w:r>
      <w:r w:rsidR="004C751C" w:rsidRPr="00401EEE">
        <w:rPr>
          <w:rFonts w:ascii="Book Antiqua" w:hAnsi="Book Antiqua"/>
          <w:b/>
          <w:bCs/>
        </w:rPr>
        <w:t>1. —</w:t>
      </w:r>
      <w:r w:rsidRPr="00401EEE">
        <w:rPr>
          <w:rFonts w:ascii="Book Antiqua" w:hAnsi="Book Antiqua"/>
          <w:b/>
          <w:bCs/>
        </w:rPr>
        <w:t>Título</w:t>
      </w:r>
    </w:p>
    <w:p w14:paraId="647DA8B5" w14:textId="4EA0A898" w:rsidR="000F2699" w:rsidRPr="000F2699" w:rsidRDefault="00B63E1C" w:rsidP="00B63E1C">
      <w:pPr>
        <w:pStyle w:val="Sinespaciado"/>
        <w:spacing w:line="480" w:lineRule="auto"/>
        <w:ind w:firstLine="720"/>
        <w:jc w:val="both"/>
        <w:rPr>
          <w:rFonts w:ascii="Book Antiqua" w:hAnsi="Book Antiqua"/>
        </w:rPr>
      </w:pPr>
      <w:r w:rsidRPr="00B63E1C">
        <w:rPr>
          <w:rFonts w:ascii="Book Antiqua" w:hAnsi="Book Antiqua"/>
        </w:rPr>
        <w:t>Esta Ley se conocerá como:</w:t>
      </w:r>
      <w:r>
        <w:rPr>
          <w:rFonts w:ascii="Book Antiqua" w:hAnsi="Book Antiqua"/>
        </w:rPr>
        <w:t xml:space="preserve"> </w:t>
      </w:r>
      <w:r w:rsidRPr="00B63E1C">
        <w:rPr>
          <w:rFonts w:ascii="Book Antiqua" w:hAnsi="Book Antiqua"/>
        </w:rPr>
        <w:t>“</w:t>
      </w:r>
      <w:r w:rsidR="00D2604E">
        <w:rPr>
          <w:rFonts w:ascii="Book Antiqua" w:hAnsi="Book Antiqua"/>
        </w:rPr>
        <w:t>Ley Te Cuida Tu Eliges - Para</w:t>
      </w:r>
      <w:r w:rsidRPr="00B63E1C">
        <w:rPr>
          <w:rFonts w:ascii="Book Antiqua" w:hAnsi="Book Antiqua"/>
        </w:rPr>
        <w:t xml:space="preserve"> Servicios Basados en el Hogar y la Comunidad (HCBS) de Puerto Rico”</w:t>
      </w:r>
      <w:r w:rsidR="000F2699" w:rsidRPr="000F2699">
        <w:rPr>
          <w:rFonts w:ascii="Book Antiqua" w:hAnsi="Book Antiqua"/>
        </w:rPr>
        <w:t>.</w:t>
      </w:r>
    </w:p>
    <w:p w14:paraId="6E7A916B" w14:textId="4ACDA62E" w:rsidR="000F2699" w:rsidRPr="00401EEE" w:rsidRDefault="000F2699" w:rsidP="000F2699">
      <w:pPr>
        <w:pStyle w:val="Sinespaciado"/>
        <w:spacing w:line="480" w:lineRule="auto"/>
        <w:ind w:firstLine="720"/>
        <w:jc w:val="both"/>
        <w:rPr>
          <w:rFonts w:ascii="Book Antiqua" w:hAnsi="Book Antiqua"/>
          <w:b/>
          <w:bCs/>
        </w:rPr>
      </w:pPr>
      <w:r w:rsidRPr="00401EEE">
        <w:rPr>
          <w:rFonts w:ascii="Book Antiqua" w:hAnsi="Book Antiqua"/>
          <w:b/>
          <w:bCs/>
        </w:rPr>
        <w:lastRenderedPageBreak/>
        <w:t xml:space="preserve">Artículo </w:t>
      </w:r>
      <w:r w:rsidR="004C751C" w:rsidRPr="00401EEE">
        <w:rPr>
          <w:rFonts w:ascii="Book Antiqua" w:hAnsi="Book Antiqua"/>
          <w:b/>
          <w:bCs/>
        </w:rPr>
        <w:t>2. —</w:t>
      </w:r>
      <w:r w:rsidRPr="00401EEE">
        <w:rPr>
          <w:rFonts w:ascii="Book Antiqua" w:hAnsi="Book Antiqua"/>
          <w:b/>
          <w:bCs/>
        </w:rPr>
        <w:t>Declaración de Política Pública.</w:t>
      </w:r>
    </w:p>
    <w:p w14:paraId="44DB2521" w14:textId="55F6174C" w:rsidR="00B63E1C" w:rsidRPr="00B63E1C" w:rsidRDefault="00B63E1C" w:rsidP="00B63E1C">
      <w:pPr>
        <w:pStyle w:val="Sinespaciado"/>
        <w:spacing w:line="480" w:lineRule="auto"/>
        <w:ind w:firstLine="720"/>
        <w:jc w:val="both"/>
        <w:rPr>
          <w:rFonts w:ascii="Book Antiqua" w:hAnsi="Book Antiqua"/>
        </w:rPr>
      </w:pPr>
      <w:r w:rsidRPr="00B63E1C">
        <w:rPr>
          <w:rFonts w:ascii="Book Antiqua" w:hAnsi="Book Antiqua"/>
        </w:rPr>
        <w:t>Se declara política pública del Gobierno de Puerto Rico promover la implantación de un sistema integrado de Servicios de Salud Basados en el Hogar y la Comunidad (HCBS) bajo Medicaid, conforme al Título XIX del Social Security Act y en armonía con los estándares del Centers for Medicare &amp; Medicaid Services, dirigido a priorizar la permanencia de los pacientes en sus hogares sobre la institucionalización innecesaria.</w:t>
      </w:r>
    </w:p>
    <w:p w14:paraId="3C380311" w14:textId="77777777" w:rsidR="00B63E1C" w:rsidRDefault="00B63E1C" w:rsidP="00B63E1C">
      <w:pPr>
        <w:pStyle w:val="Sinespaciado"/>
        <w:spacing w:line="480" w:lineRule="auto"/>
        <w:ind w:firstLine="720"/>
        <w:jc w:val="both"/>
        <w:rPr>
          <w:rFonts w:ascii="Book Antiqua" w:hAnsi="Book Antiqua"/>
        </w:rPr>
      </w:pPr>
      <w:r w:rsidRPr="00B63E1C">
        <w:rPr>
          <w:rFonts w:ascii="Book Antiqua" w:hAnsi="Book Antiqua"/>
        </w:rPr>
        <w:t xml:space="preserve">A tales fines, el Estado fomentará un modelo de atención centrado en la persona, que integre servicios médicos y sociales, maximice la captación de fondos federales, garantice </w:t>
      </w:r>
      <w:r>
        <w:rPr>
          <w:rFonts w:ascii="Book Antiqua" w:hAnsi="Book Antiqua"/>
        </w:rPr>
        <w:t>el</w:t>
      </w:r>
      <w:r w:rsidRPr="00B63E1C">
        <w:rPr>
          <w:rFonts w:ascii="Book Antiqua" w:hAnsi="Book Antiqua"/>
        </w:rPr>
        <w:t xml:space="preserve"> costo-</w:t>
      </w:r>
      <w:r>
        <w:rPr>
          <w:rFonts w:ascii="Book Antiqua" w:hAnsi="Book Antiqua"/>
        </w:rPr>
        <w:t>beneficio</w:t>
      </w:r>
      <w:r w:rsidRPr="00B63E1C">
        <w:rPr>
          <w:rFonts w:ascii="Book Antiqua" w:hAnsi="Book Antiqua"/>
        </w:rPr>
        <w:t xml:space="preserve"> del sistema y fortalezca la coordinación interagencial y comunitaria, asegurando el acceso equitativo a servicios de calidad para poblaciones vulnerables, particularmente adultos mayores y personas con discapacidad.</w:t>
      </w:r>
    </w:p>
    <w:p w14:paraId="79AE0C19" w14:textId="2FAA8834" w:rsidR="000F2699" w:rsidRPr="00401EEE" w:rsidRDefault="000F2699" w:rsidP="00B63E1C">
      <w:pPr>
        <w:pStyle w:val="Sinespaciado"/>
        <w:spacing w:line="480" w:lineRule="auto"/>
        <w:ind w:firstLine="720"/>
        <w:jc w:val="both"/>
        <w:rPr>
          <w:rFonts w:ascii="Book Antiqua" w:hAnsi="Book Antiqua"/>
          <w:b/>
          <w:bCs/>
        </w:rPr>
      </w:pPr>
      <w:r w:rsidRPr="00401EEE">
        <w:rPr>
          <w:rFonts w:ascii="Book Antiqua" w:hAnsi="Book Antiqua"/>
          <w:b/>
          <w:bCs/>
        </w:rPr>
        <w:t xml:space="preserve">Artículo </w:t>
      </w:r>
      <w:r w:rsidR="004C751C" w:rsidRPr="00401EEE">
        <w:rPr>
          <w:rFonts w:ascii="Book Antiqua" w:hAnsi="Book Antiqua"/>
          <w:b/>
          <w:bCs/>
        </w:rPr>
        <w:t>3. —</w:t>
      </w:r>
      <w:r w:rsidR="00B63E1C" w:rsidRPr="00401EEE">
        <w:rPr>
          <w:rFonts w:ascii="Book Antiqua" w:hAnsi="Book Antiqua"/>
          <w:b/>
          <w:bCs/>
        </w:rPr>
        <w:t>Definiciones</w:t>
      </w:r>
    </w:p>
    <w:p w14:paraId="0C3231E5" w14:textId="77777777" w:rsidR="00B63E1C" w:rsidRPr="00B63E1C" w:rsidRDefault="00B63E1C" w:rsidP="00B63E1C">
      <w:pPr>
        <w:pStyle w:val="Sinespaciado"/>
        <w:spacing w:line="480" w:lineRule="auto"/>
        <w:ind w:firstLine="720"/>
        <w:jc w:val="both"/>
        <w:rPr>
          <w:rFonts w:ascii="Book Antiqua" w:hAnsi="Book Antiqua"/>
        </w:rPr>
      </w:pPr>
      <w:r w:rsidRPr="00B63E1C">
        <w:rPr>
          <w:rFonts w:ascii="Book Antiqua" w:hAnsi="Book Antiqua"/>
        </w:rPr>
        <w:t>Para efectos de esta Ley:</w:t>
      </w:r>
    </w:p>
    <w:p w14:paraId="0C649E48" w14:textId="2DD812C5" w:rsidR="00B63E1C" w:rsidRDefault="00B63E1C" w:rsidP="00B63E1C">
      <w:pPr>
        <w:pStyle w:val="Sinespaciado"/>
        <w:numPr>
          <w:ilvl w:val="0"/>
          <w:numId w:val="64"/>
        </w:numPr>
        <w:spacing w:line="480" w:lineRule="auto"/>
        <w:jc w:val="both"/>
        <w:rPr>
          <w:rFonts w:ascii="Book Antiqua" w:hAnsi="Book Antiqua"/>
        </w:rPr>
      </w:pPr>
      <w:r w:rsidRPr="00B63E1C">
        <w:rPr>
          <w:rFonts w:ascii="Book Antiqua" w:hAnsi="Book Antiqua"/>
          <w:b/>
          <w:bCs/>
        </w:rPr>
        <w:t>Servicios de Salud Basados en el Hogar y la Comunidad “HCBS”</w:t>
      </w:r>
      <w:r>
        <w:rPr>
          <w:rFonts w:ascii="Book Antiqua" w:hAnsi="Book Antiqua"/>
          <w:b/>
          <w:bCs/>
        </w:rPr>
        <w:t xml:space="preserve"> (por sus</w:t>
      </w:r>
      <w:r w:rsidR="00401EEE">
        <w:rPr>
          <w:rFonts w:ascii="Book Antiqua" w:hAnsi="Book Antiqua"/>
          <w:b/>
          <w:bCs/>
        </w:rPr>
        <w:t xml:space="preserve"> </w:t>
      </w:r>
      <w:r>
        <w:rPr>
          <w:rFonts w:ascii="Book Antiqua" w:hAnsi="Book Antiqua"/>
          <w:b/>
          <w:bCs/>
        </w:rPr>
        <w:t>siglas en inglés)</w:t>
      </w:r>
      <w:r w:rsidRPr="00B63E1C">
        <w:rPr>
          <w:rFonts w:ascii="Book Antiqua" w:hAnsi="Book Antiqua"/>
        </w:rPr>
        <w:t xml:space="preserve">: Conjunto de servicios autorizados bajo Medicaid dirigidos a proveer cuidados en entornos no institucionales. </w:t>
      </w:r>
    </w:p>
    <w:p w14:paraId="2518131A" w14:textId="4D93A2C7" w:rsidR="00B63E1C" w:rsidRDefault="00025E75" w:rsidP="00B63E1C">
      <w:pPr>
        <w:pStyle w:val="Sinespaciado"/>
        <w:numPr>
          <w:ilvl w:val="0"/>
          <w:numId w:val="64"/>
        </w:numPr>
        <w:spacing w:line="480" w:lineRule="auto"/>
        <w:jc w:val="both"/>
        <w:rPr>
          <w:rFonts w:ascii="Book Antiqua" w:hAnsi="Book Antiqua"/>
        </w:rPr>
      </w:pPr>
      <w:r w:rsidRPr="00025E75">
        <w:rPr>
          <w:rFonts w:ascii="Book Antiqua" w:hAnsi="Book Antiqua"/>
          <w:b/>
          <w:bCs/>
        </w:rPr>
        <w:t xml:space="preserve">Neutralidad de </w:t>
      </w:r>
      <w:r w:rsidR="009778EC" w:rsidRPr="00025E75">
        <w:rPr>
          <w:rFonts w:ascii="Book Antiqua" w:hAnsi="Book Antiqua"/>
          <w:b/>
          <w:bCs/>
        </w:rPr>
        <w:t>Costos “</w:t>
      </w:r>
      <w:r w:rsidR="00B63E1C" w:rsidRPr="00B63E1C">
        <w:rPr>
          <w:rFonts w:ascii="Book Antiqua" w:hAnsi="Book Antiqua"/>
          <w:b/>
          <w:bCs/>
        </w:rPr>
        <w:t>Cost Neutrality”</w:t>
      </w:r>
      <w:r w:rsidR="00B63E1C" w:rsidRPr="00B63E1C">
        <w:rPr>
          <w:rFonts w:ascii="Book Antiqua" w:hAnsi="Book Antiqua"/>
        </w:rPr>
        <w:t xml:space="preserve">: Requisito actuarial federal que establece </w:t>
      </w:r>
      <w:r w:rsidRPr="00025E75">
        <w:rPr>
          <w:rFonts w:ascii="Book Antiqua" w:hAnsi="Book Antiqua"/>
        </w:rPr>
        <w:t>que los costos de los programas de exención (waivers) de servicios basados en el hogar y la comunidad (HCBS) no superen el costo de la atención institucional para la misma población</w:t>
      </w:r>
      <w:r w:rsidR="00B63E1C" w:rsidRPr="00B63E1C">
        <w:rPr>
          <w:rFonts w:ascii="Book Antiqua" w:hAnsi="Book Antiqua"/>
        </w:rPr>
        <w:t xml:space="preserve">. </w:t>
      </w:r>
    </w:p>
    <w:p w14:paraId="14E17D1B" w14:textId="3252F040" w:rsidR="00B63E1C" w:rsidRDefault="009778EC" w:rsidP="00B63E1C">
      <w:pPr>
        <w:pStyle w:val="Sinespaciado"/>
        <w:numPr>
          <w:ilvl w:val="0"/>
          <w:numId w:val="64"/>
        </w:numPr>
        <w:spacing w:line="480" w:lineRule="auto"/>
        <w:jc w:val="both"/>
        <w:rPr>
          <w:rFonts w:ascii="Book Antiqua" w:hAnsi="Book Antiqua"/>
        </w:rPr>
      </w:pPr>
      <w:r w:rsidRPr="009778EC">
        <w:rPr>
          <w:rFonts w:ascii="Book Antiqua" w:hAnsi="Book Antiqua"/>
          <w:b/>
          <w:bCs/>
        </w:rPr>
        <w:lastRenderedPageBreak/>
        <w:t xml:space="preserve">Planificación Centrada en la Persona </w:t>
      </w:r>
      <w:r w:rsidR="00B63E1C" w:rsidRPr="00B63E1C">
        <w:rPr>
          <w:rFonts w:ascii="Book Antiqua" w:hAnsi="Book Antiqua"/>
          <w:b/>
          <w:bCs/>
        </w:rPr>
        <w:t>“Person-Centered Planning</w:t>
      </w:r>
      <w:r>
        <w:rPr>
          <w:rFonts w:ascii="Book Antiqua" w:hAnsi="Book Antiqua"/>
          <w:b/>
          <w:bCs/>
        </w:rPr>
        <w:t xml:space="preserve"> </w:t>
      </w:r>
      <w:r w:rsidRPr="009778EC">
        <w:rPr>
          <w:rFonts w:ascii="Book Antiqua" w:hAnsi="Book Antiqua"/>
          <w:b/>
          <w:bCs/>
        </w:rPr>
        <w:t>(PCP)</w:t>
      </w:r>
      <w:r w:rsidR="00B63E1C" w:rsidRPr="00B63E1C">
        <w:rPr>
          <w:rFonts w:ascii="Book Antiqua" w:hAnsi="Book Antiqua"/>
          <w:b/>
          <w:bCs/>
        </w:rPr>
        <w:t>”</w:t>
      </w:r>
      <w:r w:rsidR="00B63E1C" w:rsidRPr="00B63E1C">
        <w:rPr>
          <w:rFonts w:ascii="Book Antiqua" w:hAnsi="Book Antiqua"/>
        </w:rPr>
        <w:t xml:space="preserve">: Proceso de planificación individualizada basado en las necesidades, preferencias y metas del beneficiario. </w:t>
      </w:r>
    </w:p>
    <w:p w14:paraId="43BA27A3" w14:textId="20FCFA6D" w:rsidR="00B63E1C" w:rsidRDefault="009778EC" w:rsidP="00B63E1C">
      <w:pPr>
        <w:pStyle w:val="Sinespaciado"/>
        <w:numPr>
          <w:ilvl w:val="0"/>
          <w:numId w:val="64"/>
        </w:numPr>
        <w:spacing w:line="480" w:lineRule="auto"/>
        <w:jc w:val="both"/>
        <w:rPr>
          <w:rFonts w:ascii="Book Antiqua" w:hAnsi="Book Antiqua"/>
        </w:rPr>
      </w:pPr>
      <w:r w:rsidRPr="009778EC">
        <w:rPr>
          <w:rFonts w:ascii="Book Antiqua" w:hAnsi="Book Antiqua"/>
          <w:b/>
          <w:bCs/>
        </w:rPr>
        <w:t xml:space="preserve">Organización de Cuidado Administrado </w:t>
      </w:r>
      <w:r w:rsidR="00B63E1C" w:rsidRPr="00B63E1C">
        <w:rPr>
          <w:rFonts w:ascii="Book Antiqua" w:hAnsi="Book Antiqua"/>
          <w:b/>
          <w:bCs/>
        </w:rPr>
        <w:t>“Managed Care Organization (MCO</w:t>
      </w:r>
      <w:r>
        <w:rPr>
          <w:rFonts w:ascii="Book Antiqua" w:hAnsi="Book Antiqua"/>
          <w:b/>
          <w:bCs/>
        </w:rPr>
        <w:t>,</w:t>
      </w:r>
      <w:r w:rsidRPr="009778EC">
        <w:rPr>
          <w:rFonts w:ascii="Book Antiqua" w:hAnsi="Book Antiqua"/>
          <w:b/>
          <w:bCs/>
        </w:rPr>
        <w:t xml:space="preserve"> por sus siglas en inglés</w:t>
      </w:r>
      <w:r w:rsidR="00B63E1C" w:rsidRPr="00B63E1C">
        <w:rPr>
          <w:rFonts w:ascii="Book Antiqua" w:hAnsi="Book Antiqua"/>
          <w:b/>
          <w:bCs/>
        </w:rPr>
        <w:t>)”</w:t>
      </w:r>
      <w:r w:rsidR="00B63E1C" w:rsidRPr="00B63E1C">
        <w:rPr>
          <w:rFonts w:ascii="Book Antiqua" w:hAnsi="Book Antiqua"/>
        </w:rPr>
        <w:t xml:space="preserve">: Entidad contratada para administrar beneficios de salud bajo un modelo capitado. </w:t>
      </w:r>
    </w:p>
    <w:p w14:paraId="7488CF8D" w14:textId="35AE300C" w:rsidR="00B63E1C" w:rsidRPr="00B63E1C" w:rsidRDefault="009778EC" w:rsidP="00B63E1C">
      <w:pPr>
        <w:pStyle w:val="Sinespaciado"/>
        <w:numPr>
          <w:ilvl w:val="0"/>
          <w:numId w:val="64"/>
        </w:numPr>
        <w:spacing w:line="480" w:lineRule="auto"/>
        <w:jc w:val="both"/>
        <w:rPr>
          <w:rFonts w:ascii="Book Antiqua" w:hAnsi="Book Antiqua"/>
        </w:rPr>
      </w:pPr>
      <w:r w:rsidRPr="009778EC">
        <w:rPr>
          <w:rFonts w:ascii="Book Antiqua" w:hAnsi="Book Antiqua"/>
          <w:b/>
          <w:bCs/>
        </w:rPr>
        <w:t xml:space="preserve">Servicios y Apoyos a Largo Plazo </w:t>
      </w:r>
      <w:r w:rsidR="00B63E1C" w:rsidRPr="00B63E1C">
        <w:rPr>
          <w:rFonts w:ascii="Book Antiqua" w:hAnsi="Book Antiqua"/>
          <w:b/>
          <w:bCs/>
        </w:rPr>
        <w:t>“</w:t>
      </w:r>
      <w:r>
        <w:rPr>
          <w:rFonts w:ascii="Book Antiqua" w:hAnsi="Book Antiqua"/>
          <w:b/>
          <w:bCs/>
        </w:rPr>
        <w:t>(</w:t>
      </w:r>
      <w:r w:rsidR="00B63E1C" w:rsidRPr="00B63E1C">
        <w:rPr>
          <w:rFonts w:ascii="Book Antiqua" w:hAnsi="Book Antiqua"/>
          <w:b/>
          <w:bCs/>
        </w:rPr>
        <w:t>LTSS</w:t>
      </w:r>
      <w:r>
        <w:rPr>
          <w:rFonts w:ascii="Book Antiqua" w:hAnsi="Book Antiqua"/>
          <w:b/>
          <w:bCs/>
        </w:rPr>
        <w:t xml:space="preserve">, </w:t>
      </w:r>
      <w:r w:rsidRPr="009778EC">
        <w:rPr>
          <w:rFonts w:ascii="Book Antiqua" w:hAnsi="Book Antiqua"/>
          <w:b/>
          <w:bCs/>
        </w:rPr>
        <w:t>por sus siglas en inglés</w:t>
      </w:r>
      <w:r>
        <w:rPr>
          <w:rFonts w:ascii="Book Antiqua" w:hAnsi="Book Antiqua"/>
          <w:b/>
          <w:bCs/>
        </w:rPr>
        <w:t>)</w:t>
      </w:r>
      <w:r w:rsidR="00B63E1C" w:rsidRPr="00B63E1C">
        <w:rPr>
          <w:rFonts w:ascii="Book Antiqua" w:hAnsi="Book Antiqua"/>
          <w:b/>
          <w:bCs/>
        </w:rPr>
        <w:t>”</w:t>
      </w:r>
      <w:r w:rsidR="00B63E1C" w:rsidRPr="00B63E1C">
        <w:rPr>
          <w:rFonts w:ascii="Book Antiqua" w:hAnsi="Book Antiqua"/>
        </w:rPr>
        <w:t xml:space="preserve">: </w:t>
      </w:r>
      <w:r w:rsidRPr="009778EC">
        <w:rPr>
          <w:rFonts w:ascii="Book Antiqua" w:hAnsi="Book Antiqua"/>
        </w:rPr>
        <w:t>asistencia médica y de cuidado personal, remunerada y no remunerada, que las personas pueden necesitar durante varias semanas, meses o años cuando experimentan dificultades para realizar tareas de autocuidado debido al envejecimiento, una enfermedad crónica o una discapacida</w:t>
      </w:r>
      <w:r>
        <w:rPr>
          <w:rFonts w:ascii="Book Antiqua" w:hAnsi="Book Antiqua"/>
        </w:rPr>
        <w:t>d</w:t>
      </w:r>
      <w:r w:rsidR="00B63E1C" w:rsidRPr="00B63E1C">
        <w:rPr>
          <w:rFonts w:ascii="Book Antiqua" w:hAnsi="Book Antiqua"/>
        </w:rPr>
        <w:t>.</w:t>
      </w:r>
    </w:p>
    <w:p w14:paraId="149015A7" w14:textId="22F28FCB" w:rsidR="00E4572F" w:rsidRPr="00E4572F" w:rsidRDefault="000F2699" w:rsidP="00E4572F">
      <w:pPr>
        <w:pStyle w:val="Sinespaciado"/>
        <w:spacing w:line="480" w:lineRule="auto"/>
        <w:ind w:firstLine="720"/>
        <w:jc w:val="both"/>
        <w:rPr>
          <w:rFonts w:ascii="Book Antiqua" w:hAnsi="Book Antiqua"/>
          <w:b/>
          <w:bCs/>
        </w:rPr>
      </w:pPr>
      <w:r w:rsidRPr="00401EEE">
        <w:rPr>
          <w:rFonts w:ascii="Book Antiqua" w:hAnsi="Book Antiqua"/>
          <w:b/>
          <w:bCs/>
        </w:rPr>
        <w:t xml:space="preserve">Artículo </w:t>
      </w:r>
      <w:r w:rsidR="00423E29" w:rsidRPr="00401EEE">
        <w:rPr>
          <w:rFonts w:ascii="Book Antiqua" w:hAnsi="Book Antiqua"/>
          <w:b/>
          <w:bCs/>
        </w:rPr>
        <w:t>4. —</w:t>
      </w:r>
      <w:r w:rsidR="00E4572F" w:rsidRPr="00E4572F">
        <w:rPr>
          <w:rFonts w:ascii="Times New Roman" w:eastAsia="Times New Roman" w:hAnsi="Times New Roman"/>
          <w:b/>
          <w:bCs/>
          <w:sz w:val="36"/>
          <w:szCs w:val="36"/>
          <w:lang w:eastAsia="es-PR"/>
        </w:rPr>
        <w:t xml:space="preserve"> </w:t>
      </w:r>
      <w:r w:rsidR="00E4572F" w:rsidRPr="00E4572F">
        <w:rPr>
          <w:rFonts w:ascii="Book Antiqua" w:hAnsi="Book Antiqua"/>
          <w:b/>
          <w:bCs/>
        </w:rPr>
        <w:t>Mandato de Solicitud y Negociación Federal</w:t>
      </w:r>
    </w:p>
    <w:p w14:paraId="0AB3C4AA" w14:textId="77777777" w:rsidR="00E4572F" w:rsidRDefault="00E4572F" w:rsidP="00E4572F">
      <w:pPr>
        <w:pStyle w:val="Sinespaciado"/>
        <w:spacing w:line="480" w:lineRule="auto"/>
        <w:ind w:firstLine="720"/>
        <w:jc w:val="both"/>
        <w:rPr>
          <w:rFonts w:ascii="Book Antiqua" w:hAnsi="Book Antiqua"/>
        </w:rPr>
      </w:pPr>
      <w:r w:rsidRPr="00E4572F">
        <w:rPr>
          <w:rFonts w:ascii="Book Antiqua" w:hAnsi="Book Antiqua"/>
        </w:rPr>
        <w:t xml:space="preserve">Se ordena al Departamento de Salud de Puerto Rico y a la Administración de Seguros de Salud (ASES) a que, en un término no mayor de ciento ochenta (180) días contados a partir de la vigencia de esta Ley, sometan formalmente ante el Centers for Medicare &amp; Medicaid Services las solicitudes correspondientes para la implantación de programas de Servicios Basados en el Hogar y la Comunidad (HCBS), conforme a las autoridades conferidas por las Secciones 1915(c), 1915(i), 1915(k) y/o 1115 del Título XIX del Social Security Act. </w:t>
      </w:r>
    </w:p>
    <w:p w14:paraId="769B524D" w14:textId="7BAAF59D" w:rsidR="00E4572F" w:rsidRPr="00E4572F" w:rsidRDefault="00E4572F" w:rsidP="00E4572F">
      <w:pPr>
        <w:pStyle w:val="Sinespaciado"/>
        <w:spacing w:line="480" w:lineRule="auto"/>
        <w:ind w:firstLine="720"/>
        <w:jc w:val="both"/>
        <w:rPr>
          <w:rFonts w:ascii="Book Antiqua" w:hAnsi="Book Antiqua"/>
        </w:rPr>
      </w:pPr>
      <w:r w:rsidRPr="00E4572F">
        <w:rPr>
          <w:rFonts w:ascii="Book Antiqua" w:hAnsi="Book Antiqua"/>
        </w:rPr>
        <w:t xml:space="preserve">Dichas solicitudes deberán estar sustentadas por análisis técnicos rigurosos, incluyendo, sin limitarse a, proyecciones actuariales certificadas por profesionales cualificados, modelos de estratificación de riesgo poblacional, metodologías de ajuste de </w:t>
      </w:r>
      <w:r w:rsidRPr="00E4572F">
        <w:rPr>
          <w:rFonts w:ascii="Book Antiqua" w:hAnsi="Book Antiqua"/>
        </w:rPr>
        <w:lastRenderedPageBreak/>
        <w:t xml:space="preserve">riesgo (“risk adjustment”) clínico y financiero, así como un análisis de impacto fiscal multianual que evidencie el cumplimiento con los requisitos federales de </w:t>
      </w:r>
      <w:r w:rsidR="00401EEE" w:rsidRPr="00401EEE">
        <w:rPr>
          <w:rFonts w:ascii="Book Antiqua" w:hAnsi="Book Antiqua"/>
        </w:rPr>
        <w:t>neutralidad de costos</w:t>
      </w:r>
      <w:r w:rsidRPr="00E4572F">
        <w:rPr>
          <w:rFonts w:ascii="Book Antiqua" w:hAnsi="Book Antiqua"/>
        </w:rPr>
        <w:t xml:space="preserve"> y sostenibilidad programática.</w:t>
      </w:r>
    </w:p>
    <w:p w14:paraId="38424C7D" w14:textId="7D076518" w:rsidR="00E4572F" w:rsidRPr="00E4572F" w:rsidRDefault="000F2699" w:rsidP="00E4572F">
      <w:pPr>
        <w:pStyle w:val="Sinespaciado"/>
        <w:spacing w:line="480" w:lineRule="auto"/>
        <w:ind w:firstLine="720"/>
        <w:jc w:val="both"/>
        <w:rPr>
          <w:rFonts w:ascii="Book Antiqua" w:hAnsi="Book Antiqua"/>
          <w:b/>
          <w:bCs/>
        </w:rPr>
      </w:pPr>
      <w:r w:rsidRPr="00401EEE">
        <w:rPr>
          <w:rFonts w:ascii="Book Antiqua" w:hAnsi="Book Antiqua"/>
          <w:b/>
          <w:bCs/>
        </w:rPr>
        <w:t xml:space="preserve">Artículo </w:t>
      </w:r>
      <w:r w:rsidR="00423E29" w:rsidRPr="00401EEE">
        <w:rPr>
          <w:rFonts w:ascii="Book Antiqua" w:hAnsi="Book Antiqua"/>
          <w:b/>
          <w:bCs/>
        </w:rPr>
        <w:t>5. —</w:t>
      </w:r>
      <w:r w:rsidR="00E4572F" w:rsidRPr="00E4572F">
        <w:rPr>
          <w:rFonts w:ascii="Times New Roman" w:eastAsia="Times New Roman" w:hAnsi="Times New Roman"/>
          <w:b/>
          <w:bCs/>
          <w:sz w:val="36"/>
          <w:szCs w:val="36"/>
          <w:lang w:eastAsia="es-PR"/>
        </w:rPr>
        <w:t xml:space="preserve"> </w:t>
      </w:r>
      <w:r w:rsidR="00E4572F" w:rsidRPr="00E4572F">
        <w:rPr>
          <w:rFonts w:ascii="Book Antiqua" w:hAnsi="Book Antiqua"/>
          <w:b/>
          <w:bCs/>
        </w:rPr>
        <w:t>Diseño Programático</w:t>
      </w:r>
    </w:p>
    <w:p w14:paraId="627D20D7" w14:textId="26A1FB9A" w:rsidR="00E4572F" w:rsidRPr="00E4572F" w:rsidRDefault="00E4572F" w:rsidP="00E4572F">
      <w:pPr>
        <w:pStyle w:val="Sinespaciado"/>
        <w:spacing w:line="480" w:lineRule="auto"/>
        <w:ind w:firstLine="720"/>
        <w:jc w:val="both"/>
        <w:rPr>
          <w:rFonts w:ascii="Book Antiqua" w:hAnsi="Book Antiqua"/>
        </w:rPr>
      </w:pPr>
      <w:r w:rsidRPr="00E4572F">
        <w:rPr>
          <w:rFonts w:ascii="Book Antiqua" w:hAnsi="Book Antiqua"/>
        </w:rPr>
        <w:t>El programa de Servicios Basados en el Hogar y la Comunidad (HCBS) deberá estructurarse conforme a un modelo de prestación de servicios centrado en la persona, incorporando instrumentos estandarizados de evaluación funcional y clínica para la determinación de elegibilidad y nivel de cuidado requerido. Asimismo, deberá contemplar la elaboración de planes individualizados de servicios (“person-centered service plans”), diseñados conforme a las necesidades, preferencias y condiciones del beneficiario. El diseño programático incluirá sistemas integrados de coordinación de cuidado (“care coordination”), que aseguren la continuidad y calidad en la prestación de servicios</w:t>
      </w:r>
      <w:r w:rsidR="00B83189">
        <w:rPr>
          <w:rFonts w:ascii="Book Antiqua" w:hAnsi="Book Antiqua"/>
        </w:rPr>
        <w:t xml:space="preserve"> en el hogar</w:t>
      </w:r>
      <w:r w:rsidR="00B83189" w:rsidRPr="00B83189">
        <w:rPr>
          <w:rFonts w:ascii="Book Antiqua" w:eastAsia="Calibri" w:hAnsi="Book Antiqua"/>
        </w:rPr>
        <w:t xml:space="preserve"> </w:t>
      </w:r>
      <w:r w:rsidR="00B83189" w:rsidRPr="00B83189">
        <w:rPr>
          <w:rFonts w:ascii="Book Antiqua" w:hAnsi="Book Antiqua"/>
        </w:rPr>
        <w:t>con participación directa de cuidadores</w:t>
      </w:r>
      <w:r w:rsidR="00B83189">
        <w:rPr>
          <w:rFonts w:ascii="Book Antiqua" w:hAnsi="Book Antiqua"/>
        </w:rPr>
        <w:t xml:space="preserve"> formales o informales, según definido en la Ley 147-2025. Manteniendo</w:t>
      </w:r>
      <w:r w:rsidRPr="00E4572F">
        <w:rPr>
          <w:rFonts w:ascii="Book Antiqua" w:hAnsi="Book Antiqua"/>
        </w:rPr>
        <w:t xml:space="preserve"> la integración efectiva de servicios de salud física, salud mental y servicios sociales, promoviendo un enfoque holístico e interdisciplinario en la atención.</w:t>
      </w:r>
    </w:p>
    <w:p w14:paraId="7FF8DFBE" w14:textId="731960C3" w:rsidR="00E4572F" w:rsidRPr="00E4572F" w:rsidRDefault="000F2699" w:rsidP="00E4572F">
      <w:pPr>
        <w:pStyle w:val="Sinespaciado"/>
        <w:spacing w:line="480" w:lineRule="auto"/>
        <w:ind w:firstLine="720"/>
        <w:jc w:val="both"/>
        <w:rPr>
          <w:rFonts w:ascii="Book Antiqua" w:hAnsi="Book Antiqua"/>
          <w:b/>
          <w:bCs/>
        </w:rPr>
      </w:pPr>
      <w:r w:rsidRPr="00401EEE">
        <w:rPr>
          <w:rFonts w:ascii="Book Antiqua" w:hAnsi="Book Antiqua"/>
          <w:b/>
          <w:bCs/>
        </w:rPr>
        <w:t xml:space="preserve">Artículo </w:t>
      </w:r>
      <w:r w:rsidR="00423E29" w:rsidRPr="00401EEE">
        <w:rPr>
          <w:rFonts w:ascii="Book Antiqua" w:hAnsi="Book Antiqua"/>
          <w:b/>
          <w:bCs/>
        </w:rPr>
        <w:t>6. —</w:t>
      </w:r>
      <w:r w:rsidR="00E4572F" w:rsidRPr="00E4572F">
        <w:rPr>
          <w:rFonts w:ascii="Times New Roman" w:eastAsia="Times New Roman" w:hAnsi="Times New Roman"/>
          <w:b/>
          <w:bCs/>
          <w:sz w:val="36"/>
          <w:szCs w:val="36"/>
          <w:lang w:eastAsia="es-PR"/>
        </w:rPr>
        <w:t xml:space="preserve"> </w:t>
      </w:r>
      <w:r w:rsidR="00E4572F" w:rsidRPr="00E4572F">
        <w:rPr>
          <w:rFonts w:ascii="Book Antiqua" w:hAnsi="Book Antiqua"/>
          <w:b/>
          <w:bCs/>
        </w:rPr>
        <w:t>Red de Proveedores</w:t>
      </w:r>
    </w:p>
    <w:p w14:paraId="09AC7CFB" w14:textId="7AA45321" w:rsidR="00E4572F" w:rsidRPr="00401EEE" w:rsidRDefault="00E4572F" w:rsidP="00E4572F">
      <w:pPr>
        <w:pStyle w:val="Sinespaciado"/>
        <w:spacing w:line="480" w:lineRule="auto"/>
        <w:ind w:firstLine="720"/>
        <w:jc w:val="both"/>
        <w:rPr>
          <w:rFonts w:ascii="Book Antiqua" w:hAnsi="Book Antiqua"/>
        </w:rPr>
      </w:pPr>
      <w:r w:rsidRPr="00E4572F">
        <w:rPr>
          <w:rFonts w:ascii="Book Antiqua" w:hAnsi="Book Antiqua"/>
        </w:rPr>
        <w:t xml:space="preserve">Se establece la obligación de desarrollar y mantener una red de proveedores debidamente certificada, acreditada y supervisada, conforme a los estándares federales aplicables a los programas HCBS establecidos por el Centers for Medicare &amp; Medicaid Services. Dicha red deberá cumplir con requisitos rigurosos de licenciamiento, cumplimiento regulatorio y capacidad operacional, e incluirá mecanismos de auditoría </w:t>
      </w:r>
      <w:r w:rsidRPr="00E4572F">
        <w:rPr>
          <w:rFonts w:ascii="Book Antiqua" w:hAnsi="Book Antiqua"/>
        </w:rPr>
        <w:lastRenderedPageBreak/>
        <w:t>periódica, evaluación de desempeño y monitoreo continuo de calidad. Además, se deberán implantar programas de capacitación continua y desarrollo profesional para garantizar la competencia técnica del personal y la prestación de servicios conforme a las mejores prácticas clínicas y administrativas.</w:t>
      </w:r>
      <w:r w:rsidR="00401EEE">
        <w:rPr>
          <w:rFonts w:ascii="Book Antiqua" w:hAnsi="Book Antiqua"/>
        </w:rPr>
        <w:t xml:space="preserve"> Incluyendo la profesionalización del </w:t>
      </w:r>
      <w:r w:rsidR="00401EEE" w:rsidRPr="00401EEE">
        <w:rPr>
          <w:rFonts w:ascii="Book Antiqua" w:hAnsi="Book Antiqua"/>
        </w:rPr>
        <w:t>cuidado domiciliario con participación directa de familiares.</w:t>
      </w:r>
    </w:p>
    <w:p w14:paraId="44C02533" w14:textId="47D2ACFA" w:rsidR="00E4572F" w:rsidRPr="00E4572F" w:rsidRDefault="00E4572F" w:rsidP="00E4572F">
      <w:pPr>
        <w:pStyle w:val="Sinespaciado"/>
        <w:spacing w:line="480" w:lineRule="auto"/>
        <w:ind w:firstLine="720"/>
        <w:jc w:val="both"/>
        <w:rPr>
          <w:rFonts w:ascii="Book Antiqua" w:hAnsi="Book Antiqua"/>
          <w:b/>
          <w:bCs/>
        </w:rPr>
      </w:pPr>
      <w:r w:rsidRPr="00401EEE">
        <w:rPr>
          <w:rFonts w:ascii="Book Antiqua" w:hAnsi="Book Antiqua"/>
          <w:b/>
          <w:bCs/>
        </w:rPr>
        <w:t xml:space="preserve">Artículo </w:t>
      </w:r>
      <w:r w:rsidR="00401EEE">
        <w:rPr>
          <w:rFonts w:ascii="Book Antiqua" w:hAnsi="Book Antiqua"/>
          <w:b/>
          <w:bCs/>
        </w:rPr>
        <w:t>7</w:t>
      </w:r>
      <w:r w:rsidRPr="00401EEE">
        <w:rPr>
          <w:rFonts w:ascii="Book Antiqua" w:hAnsi="Book Antiqua"/>
          <w:b/>
          <w:bCs/>
        </w:rPr>
        <w:t>. —</w:t>
      </w:r>
      <w:r w:rsidRPr="00E4572F">
        <w:rPr>
          <w:rFonts w:ascii="Times New Roman" w:eastAsia="Times New Roman" w:hAnsi="Times New Roman"/>
          <w:b/>
          <w:bCs/>
          <w:sz w:val="36"/>
          <w:szCs w:val="36"/>
          <w:lang w:eastAsia="es-PR"/>
        </w:rPr>
        <w:t xml:space="preserve"> </w:t>
      </w:r>
      <w:r w:rsidRPr="00E4572F">
        <w:rPr>
          <w:rFonts w:ascii="Book Antiqua" w:hAnsi="Book Antiqua"/>
          <w:b/>
          <w:bCs/>
        </w:rPr>
        <w:t>Integridad Programática</w:t>
      </w:r>
    </w:p>
    <w:p w14:paraId="1A5FF13E" w14:textId="77777777" w:rsidR="00E4572F" w:rsidRPr="00E4572F" w:rsidRDefault="00E4572F" w:rsidP="00E4572F">
      <w:pPr>
        <w:pStyle w:val="Sinespaciado"/>
        <w:spacing w:line="480" w:lineRule="auto"/>
        <w:ind w:firstLine="720"/>
        <w:jc w:val="both"/>
        <w:rPr>
          <w:rFonts w:ascii="Book Antiqua" w:hAnsi="Book Antiqua"/>
        </w:rPr>
      </w:pPr>
      <w:r w:rsidRPr="00E4572F">
        <w:rPr>
          <w:rFonts w:ascii="Book Antiqua" w:hAnsi="Book Antiqua"/>
        </w:rPr>
        <w:t>El Departamento de Salud y ASES deberán establecer e implementar un marco integral de integridad programática dirigido a prevenir, detectar y atender el fraude, desperdicio y abuso (“fraud, waste and abuse”) en la prestación de servicios. A tales efectos, se incorporarán sistemas avanzados de monitoreo electrónico, validación de servicios prestados, auditorías clínicas y financieras, así como mecanismos de coordinación efectiva con unidades antifraude estatales y federales. Este marco deberá garantizar el uso adecuado de fondos públicos y el cumplimiento con las normativas federales y estatales aplicables.</w:t>
      </w:r>
    </w:p>
    <w:p w14:paraId="74F18372" w14:textId="26085447" w:rsidR="00E4572F" w:rsidRPr="00E4572F" w:rsidRDefault="00E4572F" w:rsidP="00E4572F">
      <w:pPr>
        <w:pStyle w:val="Sinespaciado"/>
        <w:spacing w:line="480" w:lineRule="auto"/>
        <w:ind w:firstLine="720"/>
        <w:jc w:val="both"/>
        <w:rPr>
          <w:rFonts w:ascii="Book Antiqua" w:hAnsi="Book Antiqua"/>
          <w:b/>
          <w:bCs/>
        </w:rPr>
      </w:pPr>
      <w:r w:rsidRPr="00401EEE">
        <w:rPr>
          <w:rFonts w:ascii="Book Antiqua" w:hAnsi="Book Antiqua"/>
          <w:b/>
          <w:bCs/>
        </w:rPr>
        <w:t xml:space="preserve">Artículo </w:t>
      </w:r>
      <w:r w:rsidR="00401EEE" w:rsidRPr="00401EEE">
        <w:rPr>
          <w:rFonts w:ascii="Book Antiqua" w:hAnsi="Book Antiqua"/>
          <w:b/>
          <w:bCs/>
        </w:rPr>
        <w:t>8</w:t>
      </w:r>
      <w:r w:rsidRPr="00401EEE">
        <w:rPr>
          <w:rFonts w:ascii="Book Antiqua" w:hAnsi="Book Antiqua"/>
          <w:b/>
          <w:bCs/>
        </w:rPr>
        <w:t>. —</w:t>
      </w:r>
      <w:r w:rsidRPr="00E4572F">
        <w:rPr>
          <w:rFonts w:ascii="Times New Roman" w:eastAsia="Times New Roman" w:hAnsi="Times New Roman"/>
          <w:b/>
          <w:bCs/>
          <w:sz w:val="36"/>
          <w:szCs w:val="36"/>
          <w:lang w:eastAsia="es-PR"/>
        </w:rPr>
        <w:t xml:space="preserve"> </w:t>
      </w:r>
      <w:r>
        <w:rPr>
          <w:rFonts w:ascii="Book Antiqua" w:hAnsi="Book Antiqua"/>
          <w:b/>
          <w:bCs/>
        </w:rPr>
        <w:t>Pa</w:t>
      </w:r>
      <w:r w:rsidRPr="00E4572F">
        <w:rPr>
          <w:rFonts w:ascii="Book Antiqua" w:hAnsi="Book Antiqua"/>
          <w:b/>
          <w:bCs/>
        </w:rPr>
        <w:t>rticipación Municipal</w:t>
      </w:r>
    </w:p>
    <w:p w14:paraId="704C9948" w14:textId="77777777" w:rsidR="00E4572F" w:rsidRPr="00E4572F" w:rsidRDefault="00E4572F" w:rsidP="00E4572F">
      <w:pPr>
        <w:pStyle w:val="Sinespaciado"/>
        <w:spacing w:line="480" w:lineRule="auto"/>
        <w:ind w:firstLine="720"/>
        <w:jc w:val="both"/>
        <w:rPr>
          <w:rFonts w:ascii="Book Antiqua" w:hAnsi="Book Antiqua"/>
        </w:rPr>
      </w:pPr>
      <w:r w:rsidRPr="00E4572F">
        <w:rPr>
          <w:rFonts w:ascii="Book Antiqua" w:hAnsi="Book Antiqua"/>
        </w:rPr>
        <w:t>Los gobiernos municipales podrán participar como entidades colaboradoras en la implantación del programa HCBS, desempeñando funciones de apoyo en la identificación de poblaciones elegibles, la coordinación de servicios comunitarios y la implementación de programas complementarios alineados con los objetivos de esta Ley. Asimismo, se fomentará la integración de los municipios como componentes estratégicos en la red de prestación de servicios, reconociendo su proximidad a las comunidades y su capacidad de respuesta a necesidades locales.</w:t>
      </w:r>
    </w:p>
    <w:p w14:paraId="2C89A499" w14:textId="689ED924" w:rsidR="00E4572F" w:rsidRPr="00E4572F" w:rsidRDefault="00E4572F" w:rsidP="00E4572F">
      <w:pPr>
        <w:pStyle w:val="Sinespaciado"/>
        <w:spacing w:line="480" w:lineRule="auto"/>
        <w:ind w:firstLine="720"/>
        <w:jc w:val="both"/>
        <w:rPr>
          <w:rFonts w:ascii="Book Antiqua" w:hAnsi="Book Antiqua"/>
          <w:b/>
          <w:bCs/>
        </w:rPr>
      </w:pPr>
      <w:r w:rsidRPr="00401EEE">
        <w:rPr>
          <w:rFonts w:ascii="Book Antiqua" w:hAnsi="Book Antiqua"/>
          <w:b/>
          <w:bCs/>
        </w:rPr>
        <w:lastRenderedPageBreak/>
        <w:t xml:space="preserve">Artículo </w:t>
      </w:r>
      <w:r w:rsidR="00401EEE" w:rsidRPr="00401EEE">
        <w:rPr>
          <w:rFonts w:ascii="Book Antiqua" w:hAnsi="Book Antiqua"/>
          <w:b/>
          <w:bCs/>
        </w:rPr>
        <w:t>9</w:t>
      </w:r>
      <w:r w:rsidRPr="00401EEE">
        <w:rPr>
          <w:rFonts w:ascii="Book Antiqua" w:hAnsi="Book Antiqua"/>
          <w:b/>
          <w:bCs/>
        </w:rPr>
        <w:t>. —</w:t>
      </w:r>
      <w:r w:rsidRPr="00E4572F">
        <w:rPr>
          <w:rFonts w:ascii="Times New Roman" w:eastAsia="Times New Roman" w:hAnsi="Times New Roman"/>
          <w:b/>
          <w:bCs/>
          <w:sz w:val="36"/>
          <w:szCs w:val="36"/>
          <w:lang w:eastAsia="es-PR"/>
        </w:rPr>
        <w:t xml:space="preserve"> </w:t>
      </w:r>
      <w:r w:rsidRPr="00E4572F">
        <w:rPr>
          <w:rFonts w:ascii="Book Antiqua" w:hAnsi="Book Antiqua"/>
          <w:b/>
          <w:bCs/>
        </w:rPr>
        <w:t>Evaluación y Métricas</w:t>
      </w:r>
    </w:p>
    <w:p w14:paraId="377C4219" w14:textId="77777777" w:rsidR="00E4572F" w:rsidRPr="00E4572F" w:rsidRDefault="00E4572F" w:rsidP="00E4572F">
      <w:pPr>
        <w:pStyle w:val="Sinespaciado"/>
        <w:spacing w:line="480" w:lineRule="auto"/>
        <w:ind w:firstLine="720"/>
        <w:jc w:val="both"/>
        <w:rPr>
          <w:rFonts w:ascii="Book Antiqua" w:hAnsi="Book Antiqua"/>
        </w:rPr>
      </w:pPr>
      <w:r w:rsidRPr="00E4572F">
        <w:rPr>
          <w:rFonts w:ascii="Book Antiqua" w:hAnsi="Book Antiqua"/>
        </w:rPr>
        <w:t>El programa deberá incorporar un sistema robusto de evaluación y medición de desempeño, que incluya indicadores de calidad clínica, métricas de costo-efectividad y parámetros de eficiencia operacional. Se requerirá la realización de evaluaciones independientes y periódicas, con el propósito de validar los resultados del programa, medir su impacto en la reducción de institucionalización y hospitalizaciones evitables, y asegurar el cumplimiento con los estándares federales y las metas de política pública establecidas en esta Ley.</w:t>
      </w:r>
    </w:p>
    <w:p w14:paraId="71782FF6" w14:textId="30911261" w:rsidR="00E4572F" w:rsidRPr="00E4572F" w:rsidRDefault="00E4572F" w:rsidP="00E4572F">
      <w:pPr>
        <w:pStyle w:val="Sinespaciado"/>
        <w:spacing w:line="480" w:lineRule="auto"/>
        <w:ind w:firstLine="720"/>
        <w:jc w:val="both"/>
        <w:rPr>
          <w:rFonts w:ascii="Book Antiqua" w:hAnsi="Book Antiqua"/>
          <w:b/>
          <w:bCs/>
        </w:rPr>
      </w:pPr>
      <w:r w:rsidRPr="00401EEE">
        <w:rPr>
          <w:rFonts w:ascii="Book Antiqua" w:hAnsi="Book Antiqua"/>
          <w:b/>
          <w:bCs/>
        </w:rPr>
        <w:t xml:space="preserve">Artículo </w:t>
      </w:r>
      <w:r w:rsidR="00401EEE" w:rsidRPr="00401EEE">
        <w:rPr>
          <w:rFonts w:ascii="Book Antiqua" w:hAnsi="Book Antiqua"/>
          <w:b/>
          <w:bCs/>
        </w:rPr>
        <w:t>10</w:t>
      </w:r>
      <w:r w:rsidRPr="00401EEE">
        <w:rPr>
          <w:rFonts w:ascii="Book Antiqua" w:hAnsi="Book Antiqua"/>
          <w:b/>
          <w:bCs/>
        </w:rPr>
        <w:t>. —</w:t>
      </w:r>
      <w:r w:rsidRPr="00E4572F">
        <w:rPr>
          <w:rFonts w:ascii="Book Antiqua" w:hAnsi="Book Antiqua"/>
          <w:b/>
          <w:bCs/>
        </w:rPr>
        <w:t>Separabilidad</w:t>
      </w:r>
    </w:p>
    <w:p w14:paraId="2AD4E5EE" w14:textId="77777777" w:rsidR="00E4572F" w:rsidRPr="000F2699" w:rsidRDefault="00E4572F" w:rsidP="00E4572F">
      <w:pPr>
        <w:pStyle w:val="Sinespaciado"/>
        <w:spacing w:line="480" w:lineRule="auto"/>
        <w:ind w:firstLine="720"/>
        <w:jc w:val="both"/>
        <w:rPr>
          <w:rFonts w:ascii="Book Antiqua" w:hAnsi="Book Antiqua"/>
        </w:rPr>
      </w:pPr>
      <w:r w:rsidRPr="000F2699">
        <w:rPr>
          <w:rFonts w:ascii="Book Antiqua" w:hAnsi="Book Antiqua"/>
        </w:rPr>
        <w:t>Si cualquier disposición de esta Ley fuera declarada inconstitucional o inválida por un tribunal con jurisdicción competente, dicha determinación no afectará las demás disposiciones de la Ley.</w:t>
      </w:r>
    </w:p>
    <w:p w14:paraId="1BBB9442" w14:textId="0A38B397" w:rsidR="000F2699" w:rsidRPr="000F2699" w:rsidRDefault="000F2699" w:rsidP="000F2699">
      <w:pPr>
        <w:pStyle w:val="Sinespaciado"/>
        <w:spacing w:line="480" w:lineRule="auto"/>
        <w:ind w:firstLine="720"/>
        <w:jc w:val="both"/>
        <w:rPr>
          <w:rFonts w:ascii="Book Antiqua" w:hAnsi="Book Antiqua"/>
        </w:rPr>
      </w:pPr>
      <w:r w:rsidRPr="00401EEE">
        <w:rPr>
          <w:rFonts w:ascii="Book Antiqua" w:hAnsi="Book Antiqua"/>
          <w:b/>
          <w:bCs/>
        </w:rPr>
        <w:t>Artículo</w:t>
      </w:r>
      <w:r w:rsidR="00401EEE" w:rsidRPr="00401EEE">
        <w:rPr>
          <w:rFonts w:ascii="Book Antiqua" w:hAnsi="Book Antiqua"/>
          <w:b/>
          <w:bCs/>
        </w:rPr>
        <w:t xml:space="preserve"> 11</w:t>
      </w:r>
      <w:r w:rsidR="00423E29" w:rsidRPr="00401EEE">
        <w:rPr>
          <w:rFonts w:ascii="Book Antiqua" w:hAnsi="Book Antiqua"/>
          <w:b/>
          <w:bCs/>
        </w:rPr>
        <w:t>. —</w:t>
      </w:r>
      <w:r w:rsidRPr="00E4572F">
        <w:rPr>
          <w:rFonts w:ascii="Book Antiqua" w:hAnsi="Book Antiqua"/>
          <w:b/>
          <w:bCs/>
        </w:rPr>
        <w:t>Vigencia</w:t>
      </w:r>
    </w:p>
    <w:p w14:paraId="7A3A82E8" w14:textId="2A7CE181" w:rsidR="001F1C8B" w:rsidRPr="00DD1AAB" w:rsidRDefault="000F2699" w:rsidP="000F2699">
      <w:pPr>
        <w:pStyle w:val="Sinespaciado"/>
        <w:spacing w:line="480" w:lineRule="auto"/>
        <w:ind w:firstLine="720"/>
        <w:jc w:val="both"/>
        <w:rPr>
          <w:rFonts w:ascii="Book Antiqua" w:hAnsi="Book Antiqua"/>
        </w:rPr>
      </w:pPr>
      <w:r w:rsidRPr="000F2699">
        <w:rPr>
          <w:rFonts w:ascii="Book Antiqua" w:hAnsi="Book Antiqua"/>
        </w:rPr>
        <w:t>Esta Ley entrará en vigor inmediatamente después de su aprobación.</w:t>
      </w:r>
    </w:p>
    <w:sectPr w:rsidR="001F1C8B" w:rsidRPr="00DD1AAB" w:rsidSect="00A4364B">
      <w:headerReference w:type="even" r:id="rId12"/>
      <w:headerReference w:type="default" r:id="rId13"/>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14F46" w14:textId="77777777" w:rsidR="0040237E" w:rsidRDefault="0040237E">
      <w:r>
        <w:separator/>
      </w:r>
    </w:p>
  </w:endnote>
  <w:endnote w:type="continuationSeparator" w:id="0">
    <w:p w14:paraId="4ED8836D" w14:textId="77777777" w:rsidR="0040237E" w:rsidRDefault="00402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8E231" w14:textId="77777777" w:rsidR="0040237E" w:rsidRDefault="0040237E">
      <w:r>
        <w:separator/>
      </w:r>
    </w:p>
  </w:footnote>
  <w:footnote w:type="continuationSeparator" w:id="0">
    <w:p w14:paraId="41B27CD2" w14:textId="77777777" w:rsidR="0040237E" w:rsidRDefault="004023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D3B0A" w14:textId="77777777" w:rsidR="005515A0" w:rsidRDefault="005515A0" w:rsidP="00CF0F7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660FC">
      <w:rPr>
        <w:rStyle w:val="Nmerodepgina"/>
        <w:noProof/>
      </w:rPr>
      <w:t>3</w:t>
    </w:r>
    <w:r>
      <w:rPr>
        <w:rStyle w:val="Nmerodepgina"/>
      </w:rPr>
      <w:fldChar w:fldCharType="end"/>
    </w:r>
  </w:p>
  <w:p w14:paraId="7ABEE1B8" w14:textId="77777777" w:rsidR="005515A0" w:rsidRDefault="005515A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9AE1C" w14:textId="77777777" w:rsidR="005515A0" w:rsidRDefault="005515A0" w:rsidP="00CF0F7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07F5">
      <w:rPr>
        <w:rStyle w:val="Nmerodepgina"/>
        <w:noProof/>
      </w:rPr>
      <w:t>3</w:t>
    </w:r>
    <w:r>
      <w:rPr>
        <w:rStyle w:val="Nmerodepgina"/>
      </w:rPr>
      <w:fldChar w:fldCharType="end"/>
    </w:r>
  </w:p>
  <w:p w14:paraId="07B9222C" w14:textId="77777777" w:rsidR="005515A0" w:rsidRDefault="005515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354"/>
    <w:multiLevelType w:val="multilevel"/>
    <w:tmpl w:val="F52C2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E3DB4"/>
    <w:multiLevelType w:val="multilevel"/>
    <w:tmpl w:val="D95C2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B2750"/>
    <w:multiLevelType w:val="multilevel"/>
    <w:tmpl w:val="ADA08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118F6"/>
    <w:multiLevelType w:val="hybridMultilevel"/>
    <w:tmpl w:val="338621D8"/>
    <w:lvl w:ilvl="0" w:tplc="C274517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B6C1C"/>
    <w:multiLevelType w:val="multilevel"/>
    <w:tmpl w:val="6D3E3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0921F2"/>
    <w:multiLevelType w:val="hybridMultilevel"/>
    <w:tmpl w:val="01E05EF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0A59292F"/>
    <w:multiLevelType w:val="multilevel"/>
    <w:tmpl w:val="75B05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F02967"/>
    <w:multiLevelType w:val="hybridMultilevel"/>
    <w:tmpl w:val="1716E842"/>
    <w:lvl w:ilvl="0" w:tplc="DD20B9E4">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D855DF"/>
    <w:multiLevelType w:val="hybridMultilevel"/>
    <w:tmpl w:val="39CA6E7C"/>
    <w:lvl w:ilvl="0" w:tplc="76BEDFA4">
      <w:start w:val="1"/>
      <w:numFmt w:val="lowerLetter"/>
      <w:lvlText w:val="(%1)"/>
      <w:lvlJc w:val="left"/>
      <w:pPr>
        <w:tabs>
          <w:tab w:val="num" w:pos="2280"/>
        </w:tabs>
        <w:ind w:left="2280" w:hanging="84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15:restartNumberingAfterBreak="0">
    <w:nsid w:val="114827DF"/>
    <w:multiLevelType w:val="hybridMultilevel"/>
    <w:tmpl w:val="98E65904"/>
    <w:lvl w:ilvl="0" w:tplc="AF4689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18B3119"/>
    <w:multiLevelType w:val="hybridMultilevel"/>
    <w:tmpl w:val="32DC8650"/>
    <w:lvl w:ilvl="0" w:tplc="9D8C8ED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122F37F1"/>
    <w:multiLevelType w:val="hybridMultilevel"/>
    <w:tmpl w:val="B3DEF864"/>
    <w:lvl w:ilvl="0" w:tplc="9D8C8EDC">
      <w:start w:val="1"/>
      <w:numFmt w:val="lowerLetter"/>
      <w:lvlText w:val="(%1)"/>
      <w:lvlJc w:val="left"/>
      <w:pPr>
        <w:tabs>
          <w:tab w:val="num" w:pos="1800"/>
        </w:tabs>
        <w:ind w:left="180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168D663C"/>
    <w:multiLevelType w:val="hybridMultilevel"/>
    <w:tmpl w:val="D17C2BB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3" w15:restartNumberingAfterBreak="0">
    <w:nsid w:val="16DC194B"/>
    <w:multiLevelType w:val="hybridMultilevel"/>
    <w:tmpl w:val="5BB81FFC"/>
    <w:lvl w:ilvl="0" w:tplc="5096F32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DC3132"/>
    <w:multiLevelType w:val="multilevel"/>
    <w:tmpl w:val="24D8D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A379D0"/>
    <w:multiLevelType w:val="multilevel"/>
    <w:tmpl w:val="ED2A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A64E2B"/>
    <w:multiLevelType w:val="multilevel"/>
    <w:tmpl w:val="0C5C7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AA4135"/>
    <w:multiLevelType w:val="multilevel"/>
    <w:tmpl w:val="8AF2F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EE09F8"/>
    <w:multiLevelType w:val="multilevel"/>
    <w:tmpl w:val="2410BF92"/>
    <w:lvl w:ilvl="0">
      <w:start w:val="1"/>
      <w:numFmt w:val="bullet"/>
      <w:lvlText w:val=""/>
      <w:lvlJc w:val="left"/>
      <w:pPr>
        <w:tabs>
          <w:tab w:val="num" w:pos="3960"/>
        </w:tabs>
        <w:ind w:left="3960" w:hanging="360"/>
      </w:pPr>
      <w:rPr>
        <w:rFonts w:ascii="Symbol" w:hAnsi="Symbol" w:hint="default"/>
        <w:sz w:val="20"/>
      </w:rPr>
    </w:lvl>
    <w:lvl w:ilvl="1">
      <w:start w:val="1"/>
      <w:numFmt w:val="bullet"/>
      <w:lvlText w:val="o"/>
      <w:lvlJc w:val="left"/>
      <w:pPr>
        <w:tabs>
          <w:tab w:val="num" w:pos="4680"/>
        </w:tabs>
        <w:ind w:left="4680" w:hanging="360"/>
      </w:pPr>
      <w:rPr>
        <w:rFonts w:ascii="Courier New" w:hAnsi="Courier New" w:hint="default"/>
        <w:sz w:val="20"/>
      </w:rPr>
    </w:lvl>
    <w:lvl w:ilvl="2">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19" w15:restartNumberingAfterBreak="0">
    <w:nsid w:val="2CF2074F"/>
    <w:multiLevelType w:val="hybridMultilevel"/>
    <w:tmpl w:val="8936574C"/>
    <w:lvl w:ilvl="0" w:tplc="188E43F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E384687"/>
    <w:multiLevelType w:val="hybridMultilevel"/>
    <w:tmpl w:val="48BCE09C"/>
    <w:lvl w:ilvl="0" w:tplc="6C9287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F2967E1"/>
    <w:multiLevelType w:val="hybridMultilevel"/>
    <w:tmpl w:val="600406EC"/>
    <w:lvl w:ilvl="0" w:tplc="07E08F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1584104"/>
    <w:multiLevelType w:val="multilevel"/>
    <w:tmpl w:val="ECC4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A94B79"/>
    <w:multiLevelType w:val="multilevel"/>
    <w:tmpl w:val="6C2AF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BE5136"/>
    <w:multiLevelType w:val="hybridMultilevel"/>
    <w:tmpl w:val="2D9AD8E4"/>
    <w:lvl w:ilvl="0" w:tplc="B7E2ED54">
      <w:start w:val="1"/>
      <w:numFmt w:val="lowerLetter"/>
      <w:lvlText w:val="(%1)"/>
      <w:lvlJc w:val="left"/>
      <w:pPr>
        <w:ind w:left="1116" w:hanging="39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7377F18"/>
    <w:multiLevelType w:val="hybridMultilevel"/>
    <w:tmpl w:val="6020459C"/>
    <w:lvl w:ilvl="0" w:tplc="04881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91513BA"/>
    <w:multiLevelType w:val="hybridMultilevel"/>
    <w:tmpl w:val="33DCD974"/>
    <w:lvl w:ilvl="0" w:tplc="0C86F6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244D83"/>
    <w:multiLevelType w:val="hybridMultilevel"/>
    <w:tmpl w:val="40EAD8E8"/>
    <w:lvl w:ilvl="0" w:tplc="E51ADB52">
      <w:start w:val="1"/>
      <w:numFmt w:val="lowerLetter"/>
      <w:lvlText w:val="(%1)"/>
      <w:lvlJc w:val="left"/>
      <w:pPr>
        <w:ind w:left="780" w:hanging="42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9C6856"/>
    <w:multiLevelType w:val="hybridMultilevel"/>
    <w:tmpl w:val="F5927164"/>
    <w:lvl w:ilvl="0" w:tplc="48206E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A581290"/>
    <w:multiLevelType w:val="multilevel"/>
    <w:tmpl w:val="BEC05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1636B0"/>
    <w:multiLevelType w:val="hybridMultilevel"/>
    <w:tmpl w:val="2356FC36"/>
    <w:lvl w:ilvl="0" w:tplc="0E72AA7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FEB6CF7"/>
    <w:multiLevelType w:val="multilevel"/>
    <w:tmpl w:val="FCB42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081CCD"/>
    <w:multiLevelType w:val="hybridMultilevel"/>
    <w:tmpl w:val="5B96F95E"/>
    <w:lvl w:ilvl="0" w:tplc="C33C65FE">
      <w:start w:val="1"/>
      <w:numFmt w:val="lowerLetter"/>
      <w:lvlText w:val="(%1)"/>
      <w:lvlJc w:val="left"/>
      <w:pPr>
        <w:ind w:left="888" w:hanging="52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10B1526"/>
    <w:multiLevelType w:val="multilevel"/>
    <w:tmpl w:val="F4F289D0"/>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34" w15:restartNumberingAfterBreak="0">
    <w:nsid w:val="42EB7C9E"/>
    <w:multiLevelType w:val="multilevel"/>
    <w:tmpl w:val="22B04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9461EC"/>
    <w:multiLevelType w:val="hybridMultilevel"/>
    <w:tmpl w:val="57AA65FE"/>
    <w:lvl w:ilvl="0" w:tplc="BFDE47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9B14D86"/>
    <w:multiLevelType w:val="hybridMultilevel"/>
    <w:tmpl w:val="8B387BD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7" w15:restartNumberingAfterBreak="0">
    <w:nsid w:val="4A2F2921"/>
    <w:multiLevelType w:val="hybridMultilevel"/>
    <w:tmpl w:val="1CA437E6"/>
    <w:lvl w:ilvl="0" w:tplc="44C222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4AAB59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B070D5E"/>
    <w:multiLevelType w:val="multilevel"/>
    <w:tmpl w:val="FF90E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B2507CD"/>
    <w:multiLevelType w:val="hybridMultilevel"/>
    <w:tmpl w:val="CCA69670"/>
    <w:lvl w:ilvl="0" w:tplc="48D8E9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B720C45"/>
    <w:multiLevelType w:val="multilevel"/>
    <w:tmpl w:val="BC8E34CE"/>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2" w15:restartNumberingAfterBreak="0">
    <w:nsid w:val="4C494F67"/>
    <w:multiLevelType w:val="hybridMultilevel"/>
    <w:tmpl w:val="241817B6"/>
    <w:lvl w:ilvl="0" w:tplc="D02E10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E73694D"/>
    <w:multiLevelType w:val="hybridMultilevel"/>
    <w:tmpl w:val="04188028"/>
    <w:lvl w:ilvl="0" w:tplc="3E1631AC">
      <w:start w:val="1"/>
      <w:numFmt w:val="lowerLetter"/>
      <w:lvlText w:val="(%1)"/>
      <w:lvlJc w:val="left"/>
      <w:pPr>
        <w:ind w:left="1116" w:hanging="39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4F10585B"/>
    <w:multiLevelType w:val="hybridMultilevel"/>
    <w:tmpl w:val="DBEEBC80"/>
    <w:lvl w:ilvl="0" w:tplc="CA00D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500D4C13"/>
    <w:multiLevelType w:val="hybridMultilevel"/>
    <w:tmpl w:val="05E81526"/>
    <w:lvl w:ilvl="0" w:tplc="CB60A634">
      <w:start w:val="1"/>
      <w:numFmt w:val="lowerLetter"/>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12F4305"/>
    <w:multiLevelType w:val="hybridMultilevel"/>
    <w:tmpl w:val="BCE06DEC"/>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47" w15:restartNumberingAfterBreak="0">
    <w:nsid w:val="54EC18EE"/>
    <w:multiLevelType w:val="hybridMultilevel"/>
    <w:tmpl w:val="0C5CA3B4"/>
    <w:lvl w:ilvl="0" w:tplc="34F639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3B1158"/>
    <w:multiLevelType w:val="hybridMultilevel"/>
    <w:tmpl w:val="FB348FDE"/>
    <w:lvl w:ilvl="0" w:tplc="9D8C8ED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9" w15:restartNumberingAfterBreak="0">
    <w:nsid w:val="560953C3"/>
    <w:multiLevelType w:val="hybridMultilevel"/>
    <w:tmpl w:val="291C5B6A"/>
    <w:lvl w:ilvl="0" w:tplc="500A0017">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0" w15:restartNumberingAfterBreak="0">
    <w:nsid w:val="56AD72F7"/>
    <w:multiLevelType w:val="hybridMultilevel"/>
    <w:tmpl w:val="202CC21A"/>
    <w:lvl w:ilvl="0" w:tplc="DA740F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58AA462E"/>
    <w:multiLevelType w:val="hybridMultilevel"/>
    <w:tmpl w:val="F0664318"/>
    <w:lvl w:ilvl="0" w:tplc="4110934C">
      <w:start w:val="1"/>
      <w:numFmt w:val="decimal"/>
      <w:lvlText w:val="%1)"/>
      <w:lvlJc w:val="left"/>
      <w:pPr>
        <w:ind w:left="720" w:hanging="360"/>
      </w:pPr>
      <w:rPr>
        <w:rFonts w:hint="default"/>
        <w:i w:val="0"/>
        <w:iCs/>
        <w:u w:val="none"/>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2" w15:restartNumberingAfterBreak="0">
    <w:nsid w:val="59BA77E8"/>
    <w:multiLevelType w:val="multilevel"/>
    <w:tmpl w:val="C7FA6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0249F3"/>
    <w:multiLevelType w:val="multilevel"/>
    <w:tmpl w:val="6D56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DE4A3B"/>
    <w:multiLevelType w:val="hybridMultilevel"/>
    <w:tmpl w:val="61767A88"/>
    <w:lvl w:ilvl="0" w:tplc="58701232">
      <w:start w:val="1"/>
      <w:numFmt w:val="lowerLetter"/>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C44784"/>
    <w:multiLevelType w:val="multilevel"/>
    <w:tmpl w:val="B296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D8B787A"/>
    <w:multiLevelType w:val="multilevel"/>
    <w:tmpl w:val="6F50E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2581A9F"/>
    <w:multiLevelType w:val="hybridMultilevel"/>
    <w:tmpl w:val="DFEC0E6C"/>
    <w:lvl w:ilvl="0" w:tplc="4F723C5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535697B"/>
    <w:multiLevelType w:val="hybridMultilevel"/>
    <w:tmpl w:val="1CE83042"/>
    <w:lvl w:ilvl="0" w:tplc="44920CD2">
      <w:start w:val="4"/>
      <w:numFmt w:val="bullet"/>
      <w:lvlText w:val="-"/>
      <w:lvlJc w:val="left"/>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BF3169B"/>
    <w:multiLevelType w:val="hybridMultilevel"/>
    <w:tmpl w:val="BA143BC2"/>
    <w:lvl w:ilvl="0" w:tplc="9D8C8ED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6C331C47"/>
    <w:multiLevelType w:val="hybridMultilevel"/>
    <w:tmpl w:val="47F86DEA"/>
    <w:lvl w:ilvl="0" w:tplc="3E26940E">
      <w:start w:val="1"/>
      <w:numFmt w:val="lowerLetter"/>
      <w:lvlText w:val="(%1)"/>
      <w:lvlJc w:val="left"/>
      <w:pPr>
        <w:ind w:left="63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46632E5"/>
    <w:multiLevelType w:val="hybridMultilevel"/>
    <w:tmpl w:val="BA76E572"/>
    <w:lvl w:ilvl="0" w:tplc="4B2435A0">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7B1400AD"/>
    <w:multiLevelType w:val="hybridMultilevel"/>
    <w:tmpl w:val="20526474"/>
    <w:lvl w:ilvl="0" w:tplc="76BEDFA4">
      <w:start w:val="1"/>
      <w:numFmt w:val="lowerLetter"/>
      <w:lvlText w:val="(%1)"/>
      <w:lvlJc w:val="left"/>
      <w:pPr>
        <w:tabs>
          <w:tab w:val="num" w:pos="1560"/>
        </w:tabs>
        <w:ind w:left="1560" w:hanging="8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3" w15:restartNumberingAfterBreak="0">
    <w:nsid w:val="7C884082"/>
    <w:multiLevelType w:val="hybridMultilevel"/>
    <w:tmpl w:val="818095EA"/>
    <w:lvl w:ilvl="0" w:tplc="BC8240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7605949">
    <w:abstractNumId w:val="36"/>
  </w:num>
  <w:num w:numId="2" w16cid:durableId="2045323502">
    <w:abstractNumId w:val="62"/>
  </w:num>
  <w:num w:numId="3" w16cid:durableId="2075927186">
    <w:abstractNumId w:val="8"/>
  </w:num>
  <w:num w:numId="4" w16cid:durableId="2036734115">
    <w:abstractNumId w:val="10"/>
  </w:num>
  <w:num w:numId="5" w16cid:durableId="1228031105">
    <w:abstractNumId w:val="11"/>
  </w:num>
  <w:num w:numId="6" w16cid:durableId="1094745544">
    <w:abstractNumId w:val="48"/>
  </w:num>
  <w:num w:numId="7" w16cid:durableId="940145244">
    <w:abstractNumId w:val="59"/>
  </w:num>
  <w:num w:numId="8" w16cid:durableId="1637761656">
    <w:abstractNumId w:val="47"/>
  </w:num>
  <w:num w:numId="9" w16cid:durableId="1163618986">
    <w:abstractNumId w:val="35"/>
  </w:num>
  <w:num w:numId="10" w16cid:durableId="1455564683">
    <w:abstractNumId w:val="44"/>
  </w:num>
  <w:num w:numId="11" w16cid:durableId="1261600225">
    <w:abstractNumId w:val="25"/>
  </w:num>
  <w:num w:numId="12" w16cid:durableId="2127692191">
    <w:abstractNumId w:val="26"/>
  </w:num>
  <w:num w:numId="13" w16cid:durableId="1816289041">
    <w:abstractNumId w:val="37"/>
  </w:num>
  <w:num w:numId="14" w16cid:durableId="1753697283">
    <w:abstractNumId w:val="57"/>
  </w:num>
  <w:num w:numId="15" w16cid:durableId="1284651321">
    <w:abstractNumId w:val="40"/>
  </w:num>
  <w:num w:numId="16" w16cid:durableId="147090643">
    <w:abstractNumId w:val="42"/>
  </w:num>
  <w:num w:numId="17" w16cid:durableId="544410323">
    <w:abstractNumId w:val="3"/>
  </w:num>
  <w:num w:numId="18" w16cid:durableId="1954702719">
    <w:abstractNumId w:val="13"/>
  </w:num>
  <w:num w:numId="19" w16cid:durableId="52049849">
    <w:abstractNumId w:val="45"/>
  </w:num>
  <w:num w:numId="20" w16cid:durableId="2107774289">
    <w:abstractNumId w:val="7"/>
  </w:num>
  <w:num w:numId="21" w16cid:durableId="1819566636">
    <w:abstractNumId w:val="43"/>
  </w:num>
  <w:num w:numId="22" w16cid:durableId="279263562">
    <w:abstractNumId w:val="24"/>
  </w:num>
  <w:num w:numId="23" w16cid:durableId="12417386">
    <w:abstractNumId w:val="54"/>
  </w:num>
  <w:num w:numId="24" w16cid:durableId="682633271">
    <w:abstractNumId w:val="32"/>
  </w:num>
  <w:num w:numId="25" w16cid:durableId="37516477">
    <w:abstractNumId w:val="28"/>
  </w:num>
  <w:num w:numId="26" w16cid:durableId="1103379529">
    <w:abstractNumId w:val="27"/>
  </w:num>
  <w:num w:numId="27" w16cid:durableId="1930505998">
    <w:abstractNumId w:val="63"/>
  </w:num>
  <w:num w:numId="28" w16cid:durableId="1701930623">
    <w:abstractNumId w:val="60"/>
  </w:num>
  <w:num w:numId="29" w16cid:durableId="1718898349">
    <w:abstractNumId w:val="21"/>
  </w:num>
  <w:num w:numId="30" w16cid:durableId="1996493317">
    <w:abstractNumId w:val="19"/>
  </w:num>
  <w:num w:numId="31" w16cid:durableId="1800949525">
    <w:abstractNumId w:val="30"/>
  </w:num>
  <w:num w:numId="32" w16cid:durableId="755440145">
    <w:abstractNumId w:val="58"/>
  </w:num>
  <w:num w:numId="33" w16cid:durableId="1150097776">
    <w:abstractNumId w:val="50"/>
  </w:num>
  <w:num w:numId="34" w16cid:durableId="197860480">
    <w:abstractNumId w:val="61"/>
  </w:num>
  <w:num w:numId="35" w16cid:durableId="266281487">
    <w:abstractNumId w:val="20"/>
  </w:num>
  <w:num w:numId="36" w16cid:durableId="1692873450">
    <w:abstractNumId w:val="9"/>
  </w:num>
  <w:num w:numId="37" w16cid:durableId="2778948">
    <w:abstractNumId w:val="38"/>
  </w:num>
  <w:num w:numId="38" w16cid:durableId="1443912220">
    <w:abstractNumId w:val="49"/>
  </w:num>
  <w:num w:numId="39" w16cid:durableId="110713261">
    <w:abstractNumId w:val="5"/>
  </w:num>
  <w:num w:numId="40" w16cid:durableId="1415278752">
    <w:abstractNumId w:val="51"/>
  </w:num>
  <w:num w:numId="41" w16cid:durableId="405764489">
    <w:abstractNumId w:val="39"/>
  </w:num>
  <w:num w:numId="42" w16cid:durableId="139739580">
    <w:abstractNumId w:val="56"/>
  </w:num>
  <w:num w:numId="43" w16cid:durableId="1259941802">
    <w:abstractNumId w:val="22"/>
  </w:num>
  <w:num w:numId="44" w16cid:durableId="1030885506">
    <w:abstractNumId w:val="33"/>
  </w:num>
  <w:num w:numId="45" w16cid:durableId="446899367">
    <w:abstractNumId w:val="0"/>
  </w:num>
  <w:num w:numId="46" w16cid:durableId="813375596">
    <w:abstractNumId w:val="34"/>
  </w:num>
  <w:num w:numId="47" w16cid:durableId="1464614069">
    <w:abstractNumId w:val="52"/>
  </w:num>
  <w:num w:numId="48" w16cid:durableId="1944728482">
    <w:abstractNumId w:val="15"/>
  </w:num>
  <w:num w:numId="49" w16cid:durableId="1963883328">
    <w:abstractNumId w:val="1"/>
  </w:num>
  <w:num w:numId="50" w16cid:durableId="1733119020">
    <w:abstractNumId w:val="18"/>
  </w:num>
  <w:num w:numId="51" w16cid:durableId="134369888">
    <w:abstractNumId w:val="6"/>
  </w:num>
  <w:num w:numId="52" w16cid:durableId="852497972">
    <w:abstractNumId w:val="53"/>
  </w:num>
  <w:num w:numId="53" w16cid:durableId="490760185">
    <w:abstractNumId w:val="4"/>
  </w:num>
  <w:num w:numId="54" w16cid:durableId="1876966617">
    <w:abstractNumId w:val="2"/>
  </w:num>
  <w:num w:numId="55" w16cid:durableId="188879900">
    <w:abstractNumId w:val="41"/>
  </w:num>
  <w:num w:numId="56" w16cid:durableId="972559555">
    <w:abstractNumId w:val="16"/>
  </w:num>
  <w:num w:numId="57" w16cid:durableId="892156683">
    <w:abstractNumId w:val="29"/>
  </w:num>
  <w:num w:numId="58" w16cid:durableId="745414746">
    <w:abstractNumId w:val="31"/>
  </w:num>
  <w:num w:numId="59" w16cid:durableId="1824396930">
    <w:abstractNumId w:val="17"/>
  </w:num>
  <w:num w:numId="60" w16cid:durableId="2008972320">
    <w:abstractNumId w:val="14"/>
  </w:num>
  <w:num w:numId="61" w16cid:durableId="1122500647">
    <w:abstractNumId w:val="23"/>
  </w:num>
  <w:num w:numId="62" w16cid:durableId="342781592">
    <w:abstractNumId w:val="12"/>
  </w:num>
  <w:num w:numId="63" w16cid:durableId="1573077358">
    <w:abstractNumId w:val="55"/>
  </w:num>
  <w:num w:numId="64" w16cid:durableId="35411420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F75"/>
    <w:rsid w:val="00005DDA"/>
    <w:rsid w:val="00010F5E"/>
    <w:rsid w:val="00025E75"/>
    <w:rsid w:val="00032A05"/>
    <w:rsid w:val="00033042"/>
    <w:rsid w:val="000410D4"/>
    <w:rsid w:val="000568E4"/>
    <w:rsid w:val="00057AFB"/>
    <w:rsid w:val="000653E7"/>
    <w:rsid w:val="00066341"/>
    <w:rsid w:val="000703EF"/>
    <w:rsid w:val="00073B25"/>
    <w:rsid w:val="000817E3"/>
    <w:rsid w:val="00085408"/>
    <w:rsid w:val="000855FB"/>
    <w:rsid w:val="00090657"/>
    <w:rsid w:val="00095202"/>
    <w:rsid w:val="0009654C"/>
    <w:rsid w:val="000A1870"/>
    <w:rsid w:val="000A3C74"/>
    <w:rsid w:val="000A5934"/>
    <w:rsid w:val="000A6B40"/>
    <w:rsid w:val="000B4C70"/>
    <w:rsid w:val="000B6331"/>
    <w:rsid w:val="000C08C2"/>
    <w:rsid w:val="000C5DB5"/>
    <w:rsid w:val="000C6FC9"/>
    <w:rsid w:val="000D11E4"/>
    <w:rsid w:val="000D13C9"/>
    <w:rsid w:val="000D2032"/>
    <w:rsid w:val="000D48D5"/>
    <w:rsid w:val="000D61B1"/>
    <w:rsid w:val="000E1FA5"/>
    <w:rsid w:val="000E3F50"/>
    <w:rsid w:val="000E5308"/>
    <w:rsid w:val="000E5CCC"/>
    <w:rsid w:val="000F2699"/>
    <w:rsid w:val="000F4295"/>
    <w:rsid w:val="000F568F"/>
    <w:rsid w:val="000F6977"/>
    <w:rsid w:val="000F716D"/>
    <w:rsid w:val="00100920"/>
    <w:rsid w:val="00103945"/>
    <w:rsid w:val="00113122"/>
    <w:rsid w:val="001172B5"/>
    <w:rsid w:val="00117A5A"/>
    <w:rsid w:val="00126CFA"/>
    <w:rsid w:val="00132642"/>
    <w:rsid w:val="00132904"/>
    <w:rsid w:val="00134120"/>
    <w:rsid w:val="001355F1"/>
    <w:rsid w:val="0013657F"/>
    <w:rsid w:val="00137EA4"/>
    <w:rsid w:val="0014171C"/>
    <w:rsid w:val="00143669"/>
    <w:rsid w:val="00145778"/>
    <w:rsid w:val="00145FCF"/>
    <w:rsid w:val="00150859"/>
    <w:rsid w:val="001542CF"/>
    <w:rsid w:val="00160650"/>
    <w:rsid w:val="001626FB"/>
    <w:rsid w:val="00170436"/>
    <w:rsid w:val="00174D5C"/>
    <w:rsid w:val="00180B55"/>
    <w:rsid w:val="00183CE1"/>
    <w:rsid w:val="00194569"/>
    <w:rsid w:val="00194EA4"/>
    <w:rsid w:val="001959CE"/>
    <w:rsid w:val="00195BF1"/>
    <w:rsid w:val="001A02C7"/>
    <w:rsid w:val="001B0B16"/>
    <w:rsid w:val="001C5F27"/>
    <w:rsid w:val="001D02E8"/>
    <w:rsid w:val="001D2FBC"/>
    <w:rsid w:val="001E17CA"/>
    <w:rsid w:val="001E312A"/>
    <w:rsid w:val="001E478A"/>
    <w:rsid w:val="001E76C3"/>
    <w:rsid w:val="001F1C8B"/>
    <w:rsid w:val="001F1E72"/>
    <w:rsid w:val="001F33FA"/>
    <w:rsid w:val="001F7D0D"/>
    <w:rsid w:val="00202671"/>
    <w:rsid w:val="00210656"/>
    <w:rsid w:val="00210F9E"/>
    <w:rsid w:val="002119CB"/>
    <w:rsid w:val="002152AF"/>
    <w:rsid w:val="00215920"/>
    <w:rsid w:val="00216F33"/>
    <w:rsid w:val="002404F6"/>
    <w:rsid w:val="0024738B"/>
    <w:rsid w:val="00251BFA"/>
    <w:rsid w:val="00251D73"/>
    <w:rsid w:val="00265FE9"/>
    <w:rsid w:val="00267D5B"/>
    <w:rsid w:val="00267EDB"/>
    <w:rsid w:val="002735A0"/>
    <w:rsid w:val="002739B8"/>
    <w:rsid w:val="00277A0E"/>
    <w:rsid w:val="002806E5"/>
    <w:rsid w:val="00281D0D"/>
    <w:rsid w:val="00283D96"/>
    <w:rsid w:val="002868EB"/>
    <w:rsid w:val="002918AA"/>
    <w:rsid w:val="0029569A"/>
    <w:rsid w:val="00295F03"/>
    <w:rsid w:val="002A39FC"/>
    <w:rsid w:val="002A7122"/>
    <w:rsid w:val="002B1630"/>
    <w:rsid w:val="002C150A"/>
    <w:rsid w:val="002C2CB4"/>
    <w:rsid w:val="002C538E"/>
    <w:rsid w:val="002D230C"/>
    <w:rsid w:val="002D5BAF"/>
    <w:rsid w:val="002D6EDB"/>
    <w:rsid w:val="002E315D"/>
    <w:rsid w:val="002E72EF"/>
    <w:rsid w:val="002F064C"/>
    <w:rsid w:val="002F1EA1"/>
    <w:rsid w:val="002F664F"/>
    <w:rsid w:val="003018DE"/>
    <w:rsid w:val="0030616B"/>
    <w:rsid w:val="00306663"/>
    <w:rsid w:val="00310099"/>
    <w:rsid w:val="003208C6"/>
    <w:rsid w:val="00322B38"/>
    <w:rsid w:val="00323075"/>
    <w:rsid w:val="00336984"/>
    <w:rsid w:val="003419BA"/>
    <w:rsid w:val="0034508F"/>
    <w:rsid w:val="003461C8"/>
    <w:rsid w:val="00347893"/>
    <w:rsid w:val="00347A39"/>
    <w:rsid w:val="00351F07"/>
    <w:rsid w:val="00357706"/>
    <w:rsid w:val="003634A8"/>
    <w:rsid w:val="00364EA3"/>
    <w:rsid w:val="00366394"/>
    <w:rsid w:val="0037030F"/>
    <w:rsid w:val="00371717"/>
    <w:rsid w:val="00380581"/>
    <w:rsid w:val="00381789"/>
    <w:rsid w:val="003837CD"/>
    <w:rsid w:val="00397812"/>
    <w:rsid w:val="003A55D7"/>
    <w:rsid w:val="003A752D"/>
    <w:rsid w:val="003C1CCD"/>
    <w:rsid w:val="003D5BDE"/>
    <w:rsid w:val="003D681C"/>
    <w:rsid w:val="003D717B"/>
    <w:rsid w:val="003E07F5"/>
    <w:rsid w:val="003E1974"/>
    <w:rsid w:val="003E4484"/>
    <w:rsid w:val="003F0825"/>
    <w:rsid w:val="003F171B"/>
    <w:rsid w:val="0040145F"/>
    <w:rsid w:val="00401EEE"/>
    <w:rsid w:val="0040237E"/>
    <w:rsid w:val="004029C0"/>
    <w:rsid w:val="0040753A"/>
    <w:rsid w:val="00413840"/>
    <w:rsid w:val="004145BC"/>
    <w:rsid w:val="004167CE"/>
    <w:rsid w:val="0041765A"/>
    <w:rsid w:val="00423E29"/>
    <w:rsid w:val="00425AB1"/>
    <w:rsid w:val="0043094F"/>
    <w:rsid w:val="00433526"/>
    <w:rsid w:val="0043431B"/>
    <w:rsid w:val="00441FF2"/>
    <w:rsid w:val="004420E4"/>
    <w:rsid w:val="0045300A"/>
    <w:rsid w:val="00465DF8"/>
    <w:rsid w:val="0046688F"/>
    <w:rsid w:val="00470222"/>
    <w:rsid w:val="00472A79"/>
    <w:rsid w:val="00476AF6"/>
    <w:rsid w:val="004828E8"/>
    <w:rsid w:val="004866AC"/>
    <w:rsid w:val="0049347A"/>
    <w:rsid w:val="00493807"/>
    <w:rsid w:val="004965A3"/>
    <w:rsid w:val="00496D71"/>
    <w:rsid w:val="004A0973"/>
    <w:rsid w:val="004A18C8"/>
    <w:rsid w:val="004A27D6"/>
    <w:rsid w:val="004A6D1A"/>
    <w:rsid w:val="004B0303"/>
    <w:rsid w:val="004B052F"/>
    <w:rsid w:val="004C1A2A"/>
    <w:rsid w:val="004C1FE1"/>
    <w:rsid w:val="004C6029"/>
    <w:rsid w:val="004C751C"/>
    <w:rsid w:val="004D2134"/>
    <w:rsid w:val="004D2AFE"/>
    <w:rsid w:val="004D3591"/>
    <w:rsid w:val="004D61AD"/>
    <w:rsid w:val="004E18E0"/>
    <w:rsid w:val="004E2DB1"/>
    <w:rsid w:val="004E2E2A"/>
    <w:rsid w:val="004E7773"/>
    <w:rsid w:val="004E7CB7"/>
    <w:rsid w:val="004F2A70"/>
    <w:rsid w:val="004F4C48"/>
    <w:rsid w:val="004F5BA2"/>
    <w:rsid w:val="00504367"/>
    <w:rsid w:val="00512848"/>
    <w:rsid w:val="00515C84"/>
    <w:rsid w:val="0052487B"/>
    <w:rsid w:val="0052538E"/>
    <w:rsid w:val="005273B0"/>
    <w:rsid w:val="005313C5"/>
    <w:rsid w:val="005442C0"/>
    <w:rsid w:val="005458F2"/>
    <w:rsid w:val="005515A0"/>
    <w:rsid w:val="00552CF9"/>
    <w:rsid w:val="005550BB"/>
    <w:rsid w:val="0056201D"/>
    <w:rsid w:val="00563825"/>
    <w:rsid w:val="00566172"/>
    <w:rsid w:val="00566863"/>
    <w:rsid w:val="0057346F"/>
    <w:rsid w:val="00573734"/>
    <w:rsid w:val="00574C84"/>
    <w:rsid w:val="00577888"/>
    <w:rsid w:val="00580E46"/>
    <w:rsid w:val="00584C7B"/>
    <w:rsid w:val="005939DF"/>
    <w:rsid w:val="00593CB0"/>
    <w:rsid w:val="005A1ADF"/>
    <w:rsid w:val="005A3F3D"/>
    <w:rsid w:val="005B24D7"/>
    <w:rsid w:val="005C27D6"/>
    <w:rsid w:val="005C316E"/>
    <w:rsid w:val="005C719D"/>
    <w:rsid w:val="005E2A27"/>
    <w:rsid w:val="005E4150"/>
    <w:rsid w:val="005E57E3"/>
    <w:rsid w:val="005E5959"/>
    <w:rsid w:val="005E5E4F"/>
    <w:rsid w:val="005F1122"/>
    <w:rsid w:val="005F41FE"/>
    <w:rsid w:val="00625A00"/>
    <w:rsid w:val="00634BA0"/>
    <w:rsid w:val="0063508F"/>
    <w:rsid w:val="00644B1B"/>
    <w:rsid w:val="00645698"/>
    <w:rsid w:val="006464B2"/>
    <w:rsid w:val="00650923"/>
    <w:rsid w:val="00653B15"/>
    <w:rsid w:val="006556CC"/>
    <w:rsid w:val="00657A44"/>
    <w:rsid w:val="0066049C"/>
    <w:rsid w:val="006779C0"/>
    <w:rsid w:val="00677C29"/>
    <w:rsid w:val="00684467"/>
    <w:rsid w:val="006857BD"/>
    <w:rsid w:val="00685D72"/>
    <w:rsid w:val="006865D5"/>
    <w:rsid w:val="00690E4A"/>
    <w:rsid w:val="00694848"/>
    <w:rsid w:val="00696FBD"/>
    <w:rsid w:val="006A13D1"/>
    <w:rsid w:val="006A5E76"/>
    <w:rsid w:val="006B420D"/>
    <w:rsid w:val="006C069A"/>
    <w:rsid w:val="006D0D9C"/>
    <w:rsid w:val="006E6A96"/>
    <w:rsid w:val="006F5A2F"/>
    <w:rsid w:val="00704E79"/>
    <w:rsid w:val="0070792F"/>
    <w:rsid w:val="00707EB6"/>
    <w:rsid w:val="00712058"/>
    <w:rsid w:val="00723891"/>
    <w:rsid w:val="007239CE"/>
    <w:rsid w:val="007321E9"/>
    <w:rsid w:val="0073345F"/>
    <w:rsid w:val="00735AFD"/>
    <w:rsid w:val="00736786"/>
    <w:rsid w:val="007406B3"/>
    <w:rsid w:val="00741517"/>
    <w:rsid w:val="00743844"/>
    <w:rsid w:val="00746696"/>
    <w:rsid w:val="007521CE"/>
    <w:rsid w:val="007544A7"/>
    <w:rsid w:val="00757ED9"/>
    <w:rsid w:val="007615D7"/>
    <w:rsid w:val="0076382D"/>
    <w:rsid w:val="00765AF3"/>
    <w:rsid w:val="0076673B"/>
    <w:rsid w:val="00767A57"/>
    <w:rsid w:val="00774A7E"/>
    <w:rsid w:val="007750D5"/>
    <w:rsid w:val="007835E8"/>
    <w:rsid w:val="0079315A"/>
    <w:rsid w:val="007933EA"/>
    <w:rsid w:val="0079736B"/>
    <w:rsid w:val="007A465A"/>
    <w:rsid w:val="007A6663"/>
    <w:rsid w:val="007B4DCE"/>
    <w:rsid w:val="007C345D"/>
    <w:rsid w:val="007C40BA"/>
    <w:rsid w:val="007D23B5"/>
    <w:rsid w:val="007D2976"/>
    <w:rsid w:val="007D31DD"/>
    <w:rsid w:val="007D6533"/>
    <w:rsid w:val="007E0F90"/>
    <w:rsid w:val="007E13E3"/>
    <w:rsid w:val="007E3610"/>
    <w:rsid w:val="007F2EAB"/>
    <w:rsid w:val="008006EF"/>
    <w:rsid w:val="00803BFF"/>
    <w:rsid w:val="00804D18"/>
    <w:rsid w:val="00807756"/>
    <w:rsid w:val="00810A55"/>
    <w:rsid w:val="00824C35"/>
    <w:rsid w:val="00831CAD"/>
    <w:rsid w:val="00832BDE"/>
    <w:rsid w:val="008345E4"/>
    <w:rsid w:val="00837887"/>
    <w:rsid w:val="008427F3"/>
    <w:rsid w:val="00843A0C"/>
    <w:rsid w:val="0084758F"/>
    <w:rsid w:val="00854FC9"/>
    <w:rsid w:val="008570FF"/>
    <w:rsid w:val="00862F7C"/>
    <w:rsid w:val="00866538"/>
    <w:rsid w:val="008738F3"/>
    <w:rsid w:val="00873FC7"/>
    <w:rsid w:val="008769A3"/>
    <w:rsid w:val="008773F6"/>
    <w:rsid w:val="008922B8"/>
    <w:rsid w:val="008A01FD"/>
    <w:rsid w:val="008C3DE4"/>
    <w:rsid w:val="008C5B2B"/>
    <w:rsid w:val="008D380C"/>
    <w:rsid w:val="008D6A78"/>
    <w:rsid w:val="008E2ED5"/>
    <w:rsid w:val="008F02BC"/>
    <w:rsid w:val="008F0D52"/>
    <w:rsid w:val="008F1645"/>
    <w:rsid w:val="008F388A"/>
    <w:rsid w:val="008F5196"/>
    <w:rsid w:val="00900D3A"/>
    <w:rsid w:val="00910FAD"/>
    <w:rsid w:val="00913471"/>
    <w:rsid w:val="00915D3E"/>
    <w:rsid w:val="009209E7"/>
    <w:rsid w:val="009217D7"/>
    <w:rsid w:val="009226EC"/>
    <w:rsid w:val="009240B7"/>
    <w:rsid w:val="00926E4A"/>
    <w:rsid w:val="00927A51"/>
    <w:rsid w:val="0094179D"/>
    <w:rsid w:val="009425FE"/>
    <w:rsid w:val="00942AB3"/>
    <w:rsid w:val="00951EB7"/>
    <w:rsid w:val="0095202A"/>
    <w:rsid w:val="009557E0"/>
    <w:rsid w:val="009557F8"/>
    <w:rsid w:val="0095721B"/>
    <w:rsid w:val="00961107"/>
    <w:rsid w:val="00961D1B"/>
    <w:rsid w:val="00966955"/>
    <w:rsid w:val="0096715D"/>
    <w:rsid w:val="00970FA7"/>
    <w:rsid w:val="00971A17"/>
    <w:rsid w:val="00971BB9"/>
    <w:rsid w:val="00973AB5"/>
    <w:rsid w:val="00976683"/>
    <w:rsid w:val="009778EC"/>
    <w:rsid w:val="00980CEB"/>
    <w:rsid w:val="00983EA3"/>
    <w:rsid w:val="0098631D"/>
    <w:rsid w:val="00991B3D"/>
    <w:rsid w:val="0099295F"/>
    <w:rsid w:val="00994DF4"/>
    <w:rsid w:val="009A0A1B"/>
    <w:rsid w:val="009A4E6F"/>
    <w:rsid w:val="009A53DF"/>
    <w:rsid w:val="009B4A54"/>
    <w:rsid w:val="009B56C7"/>
    <w:rsid w:val="009B76E3"/>
    <w:rsid w:val="009B77E4"/>
    <w:rsid w:val="009C20D6"/>
    <w:rsid w:val="009D27FD"/>
    <w:rsid w:val="009D49FB"/>
    <w:rsid w:val="009E493E"/>
    <w:rsid w:val="009F04E0"/>
    <w:rsid w:val="009F2149"/>
    <w:rsid w:val="009F4043"/>
    <w:rsid w:val="009F4A7C"/>
    <w:rsid w:val="009F6C29"/>
    <w:rsid w:val="009F76AA"/>
    <w:rsid w:val="00A01314"/>
    <w:rsid w:val="00A02131"/>
    <w:rsid w:val="00A06938"/>
    <w:rsid w:val="00A07D04"/>
    <w:rsid w:val="00A1060E"/>
    <w:rsid w:val="00A10E1E"/>
    <w:rsid w:val="00A10F18"/>
    <w:rsid w:val="00A11B86"/>
    <w:rsid w:val="00A135FF"/>
    <w:rsid w:val="00A14C7F"/>
    <w:rsid w:val="00A203B2"/>
    <w:rsid w:val="00A264CF"/>
    <w:rsid w:val="00A27583"/>
    <w:rsid w:val="00A27952"/>
    <w:rsid w:val="00A30C4D"/>
    <w:rsid w:val="00A341C4"/>
    <w:rsid w:val="00A362DE"/>
    <w:rsid w:val="00A37651"/>
    <w:rsid w:val="00A37964"/>
    <w:rsid w:val="00A4364B"/>
    <w:rsid w:val="00A43EFA"/>
    <w:rsid w:val="00A44FD0"/>
    <w:rsid w:val="00A45AE2"/>
    <w:rsid w:val="00A5218F"/>
    <w:rsid w:val="00A521F1"/>
    <w:rsid w:val="00A529EA"/>
    <w:rsid w:val="00A5715B"/>
    <w:rsid w:val="00A60553"/>
    <w:rsid w:val="00A618A4"/>
    <w:rsid w:val="00A61D06"/>
    <w:rsid w:val="00A65714"/>
    <w:rsid w:val="00A70025"/>
    <w:rsid w:val="00A7014E"/>
    <w:rsid w:val="00A71A68"/>
    <w:rsid w:val="00A72C22"/>
    <w:rsid w:val="00A76E80"/>
    <w:rsid w:val="00A80B8F"/>
    <w:rsid w:val="00A82BE0"/>
    <w:rsid w:val="00A901A8"/>
    <w:rsid w:val="00A947C7"/>
    <w:rsid w:val="00A96CDD"/>
    <w:rsid w:val="00AA18E0"/>
    <w:rsid w:val="00AA2752"/>
    <w:rsid w:val="00AA3152"/>
    <w:rsid w:val="00AA40BF"/>
    <w:rsid w:val="00AA6B3A"/>
    <w:rsid w:val="00AB1116"/>
    <w:rsid w:val="00AB157B"/>
    <w:rsid w:val="00AB1A17"/>
    <w:rsid w:val="00AB420B"/>
    <w:rsid w:val="00AB5DB1"/>
    <w:rsid w:val="00AB7BF8"/>
    <w:rsid w:val="00AC2817"/>
    <w:rsid w:val="00AC29D5"/>
    <w:rsid w:val="00AC6958"/>
    <w:rsid w:val="00AC6E76"/>
    <w:rsid w:val="00AC70CB"/>
    <w:rsid w:val="00AD548F"/>
    <w:rsid w:val="00AD5CBC"/>
    <w:rsid w:val="00AD5F38"/>
    <w:rsid w:val="00AD6183"/>
    <w:rsid w:val="00AE377C"/>
    <w:rsid w:val="00AE7C29"/>
    <w:rsid w:val="00AF18C5"/>
    <w:rsid w:val="00B037C8"/>
    <w:rsid w:val="00B126C1"/>
    <w:rsid w:val="00B20BBD"/>
    <w:rsid w:val="00B20E32"/>
    <w:rsid w:val="00B255A4"/>
    <w:rsid w:val="00B33CB0"/>
    <w:rsid w:val="00B37FA6"/>
    <w:rsid w:val="00B4120D"/>
    <w:rsid w:val="00B43551"/>
    <w:rsid w:val="00B4616B"/>
    <w:rsid w:val="00B4717D"/>
    <w:rsid w:val="00B51517"/>
    <w:rsid w:val="00B5151A"/>
    <w:rsid w:val="00B53178"/>
    <w:rsid w:val="00B53FBC"/>
    <w:rsid w:val="00B55F86"/>
    <w:rsid w:val="00B63E1C"/>
    <w:rsid w:val="00B806EF"/>
    <w:rsid w:val="00B83189"/>
    <w:rsid w:val="00B90502"/>
    <w:rsid w:val="00BA2480"/>
    <w:rsid w:val="00BA3A22"/>
    <w:rsid w:val="00BA765B"/>
    <w:rsid w:val="00BB1E66"/>
    <w:rsid w:val="00BB2C15"/>
    <w:rsid w:val="00BB43A6"/>
    <w:rsid w:val="00BC2F4D"/>
    <w:rsid w:val="00BC480A"/>
    <w:rsid w:val="00BC7F9B"/>
    <w:rsid w:val="00BD7AAA"/>
    <w:rsid w:val="00BE6046"/>
    <w:rsid w:val="00BE6473"/>
    <w:rsid w:val="00BE71DA"/>
    <w:rsid w:val="00BF4249"/>
    <w:rsid w:val="00BF592E"/>
    <w:rsid w:val="00BF5983"/>
    <w:rsid w:val="00C036D5"/>
    <w:rsid w:val="00C04568"/>
    <w:rsid w:val="00C046C5"/>
    <w:rsid w:val="00C158C9"/>
    <w:rsid w:val="00C15CED"/>
    <w:rsid w:val="00C162E4"/>
    <w:rsid w:val="00C202D1"/>
    <w:rsid w:val="00C2359B"/>
    <w:rsid w:val="00C40DEF"/>
    <w:rsid w:val="00C4482C"/>
    <w:rsid w:val="00C4531D"/>
    <w:rsid w:val="00C50DA9"/>
    <w:rsid w:val="00C57EB9"/>
    <w:rsid w:val="00C61957"/>
    <w:rsid w:val="00C62378"/>
    <w:rsid w:val="00C64F86"/>
    <w:rsid w:val="00C660FC"/>
    <w:rsid w:val="00C808F3"/>
    <w:rsid w:val="00C81CCD"/>
    <w:rsid w:val="00C92780"/>
    <w:rsid w:val="00C92E52"/>
    <w:rsid w:val="00C9358D"/>
    <w:rsid w:val="00C9776D"/>
    <w:rsid w:val="00CA18F1"/>
    <w:rsid w:val="00CA717E"/>
    <w:rsid w:val="00CB29B5"/>
    <w:rsid w:val="00CC21EC"/>
    <w:rsid w:val="00CC3E85"/>
    <w:rsid w:val="00CC4375"/>
    <w:rsid w:val="00CE7A39"/>
    <w:rsid w:val="00CF0F75"/>
    <w:rsid w:val="00CF58D4"/>
    <w:rsid w:val="00D02553"/>
    <w:rsid w:val="00D0499C"/>
    <w:rsid w:val="00D1073E"/>
    <w:rsid w:val="00D10BD8"/>
    <w:rsid w:val="00D13DA8"/>
    <w:rsid w:val="00D20A0D"/>
    <w:rsid w:val="00D2604E"/>
    <w:rsid w:val="00D37BC6"/>
    <w:rsid w:val="00D41990"/>
    <w:rsid w:val="00D41C81"/>
    <w:rsid w:val="00D44069"/>
    <w:rsid w:val="00D5520B"/>
    <w:rsid w:val="00D61CA2"/>
    <w:rsid w:val="00D64176"/>
    <w:rsid w:val="00D706A6"/>
    <w:rsid w:val="00D70794"/>
    <w:rsid w:val="00D729FE"/>
    <w:rsid w:val="00D74E90"/>
    <w:rsid w:val="00D757A9"/>
    <w:rsid w:val="00D8156A"/>
    <w:rsid w:val="00D84A28"/>
    <w:rsid w:val="00D90D60"/>
    <w:rsid w:val="00D92B41"/>
    <w:rsid w:val="00D92EAD"/>
    <w:rsid w:val="00D9535D"/>
    <w:rsid w:val="00DA0028"/>
    <w:rsid w:val="00DA7494"/>
    <w:rsid w:val="00DC5EF8"/>
    <w:rsid w:val="00DD0958"/>
    <w:rsid w:val="00DD1AAB"/>
    <w:rsid w:val="00DD6FA9"/>
    <w:rsid w:val="00DE0D26"/>
    <w:rsid w:val="00DE0E83"/>
    <w:rsid w:val="00DF4C57"/>
    <w:rsid w:val="00DF594B"/>
    <w:rsid w:val="00DF65AC"/>
    <w:rsid w:val="00E0099E"/>
    <w:rsid w:val="00E00D9D"/>
    <w:rsid w:val="00E0278A"/>
    <w:rsid w:val="00E05E58"/>
    <w:rsid w:val="00E14313"/>
    <w:rsid w:val="00E15726"/>
    <w:rsid w:val="00E250A8"/>
    <w:rsid w:val="00E26C0C"/>
    <w:rsid w:val="00E27714"/>
    <w:rsid w:val="00E32E51"/>
    <w:rsid w:val="00E370D1"/>
    <w:rsid w:val="00E42F14"/>
    <w:rsid w:val="00E437F7"/>
    <w:rsid w:val="00E451F8"/>
    <w:rsid w:val="00E4572F"/>
    <w:rsid w:val="00E47CC3"/>
    <w:rsid w:val="00E51258"/>
    <w:rsid w:val="00E52E36"/>
    <w:rsid w:val="00E569B8"/>
    <w:rsid w:val="00E71A4C"/>
    <w:rsid w:val="00E71D8E"/>
    <w:rsid w:val="00E71F15"/>
    <w:rsid w:val="00E765C1"/>
    <w:rsid w:val="00E8040B"/>
    <w:rsid w:val="00E82CFE"/>
    <w:rsid w:val="00E8389B"/>
    <w:rsid w:val="00E85F9D"/>
    <w:rsid w:val="00E869ED"/>
    <w:rsid w:val="00E86A66"/>
    <w:rsid w:val="00E90307"/>
    <w:rsid w:val="00EA13EA"/>
    <w:rsid w:val="00EA17F0"/>
    <w:rsid w:val="00EA1C1C"/>
    <w:rsid w:val="00EA36EC"/>
    <w:rsid w:val="00EA3B58"/>
    <w:rsid w:val="00EA6FE7"/>
    <w:rsid w:val="00EB26F4"/>
    <w:rsid w:val="00EB2EEB"/>
    <w:rsid w:val="00EB31EC"/>
    <w:rsid w:val="00EC4BF6"/>
    <w:rsid w:val="00ED0276"/>
    <w:rsid w:val="00ED487A"/>
    <w:rsid w:val="00EE0469"/>
    <w:rsid w:val="00EE0A99"/>
    <w:rsid w:val="00EE6144"/>
    <w:rsid w:val="00EF11A2"/>
    <w:rsid w:val="00EF17A6"/>
    <w:rsid w:val="00EF3CB2"/>
    <w:rsid w:val="00EF3E58"/>
    <w:rsid w:val="00EF4D17"/>
    <w:rsid w:val="00F0248A"/>
    <w:rsid w:val="00F02570"/>
    <w:rsid w:val="00F049A9"/>
    <w:rsid w:val="00F06F00"/>
    <w:rsid w:val="00F07689"/>
    <w:rsid w:val="00F11040"/>
    <w:rsid w:val="00F112B2"/>
    <w:rsid w:val="00F1194C"/>
    <w:rsid w:val="00F1206C"/>
    <w:rsid w:val="00F15393"/>
    <w:rsid w:val="00F33774"/>
    <w:rsid w:val="00F34F66"/>
    <w:rsid w:val="00F407C4"/>
    <w:rsid w:val="00F43377"/>
    <w:rsid w:val="00F442FF"/>
    <w:rsid w:val="00F52535"/>
    <w:rsid w:val="00F526DA"/>
    <w:rsid w:val="00F53342"/>
    <w:rsid w:val="00F54C24"/>
    <w:rsid w:val="00F57412"/>
    <w:rsid w:val="00F64CD1"/>
    <w:rsid w:val="00F6510C"/>
    <w:rsid w:val="00F73DAF"/>
    <w:rsid w:val="00F80591"/>
    <w:rsid w:val="00F806C4"/>
    <w:rsid w:val="00F81A79"/>
    <w:rsid w:val="00F85FE9"/>
    <w:rsid w:val="00F912D5"/>
    <w:rsid w:val="00F92328"/>
    <w:rsid w:val="00FA0E97"/>
    <w:rsid w:val="00FB27AC"/>
    <w:rsid w:val="00FC5DE9"/>
    <w:rsid w:val="00FC5EB6"/>
    <w:rsid w:val="00FE193F"/>
    <w:rsid w:val="00FE228D"/>
    <w:rsid w:val="00FE3C9A"/>
    <w:rsid w:val="00FE5D09"/>
    <w:rsid w:val="00FE64C2"/>
    <w:rsid w:val="00FE6A0F"/>
    <w:rsid w:val="00FF0118"/>
    <w:rsid w:val="00FF0346"/>
    <w:rsid w:val="00FF09C0"/>
    <w:rsid w:val="00FF2DA1"/>
    <w:rsid w:val="00FF51CB"/>
    <w:rsid w:val="00FF5EE2"/>
    <w:rsid w:val="00FF6C5F"/>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CDC54"/>
  <w15:chartTrackingRefBased/>
  <w15:docId w15:val="{CB937479-85A6-A149-BE94-E36CB0306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0F75"/>
    <w:rPr>
      <w:sz w:val="24"/>
      <w:szCs w:val="24"/>
      <w:lang w:val="en-US"/>
    </w:rPr>
  </w:style>
  <w:style w:type="paragraph" w:styleId="Ttulo1">
    <w:name w:val="heading 1"/>
    <w:basedOn w:val="Normal"/>
    <w:next w:val="Normal"/>
    <w:link w:val="Ttulo1Car"/>
    <w:qFormat/>
    <w:rsid w:val="00195BF1"/>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semiHidden/>
    <w:unhideWhenUsed/>
    <w:qFormat/>
    <w:rsid w:val="00AC70CB"/>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ar"/>
    <w:semiHidden/>
    <w:unhideWhenUsed/>
    <w:qFormat/>
    <w:rsid w:val="00AC70CB"/>
    <w:pPr>
      <w:keepNext/>
      <w:keepLines/>
      <w:spacing w:before="40"/>
      <w:outlineLvl w:val="2"/>
    </w:pPr>
    <w:rPr>
      <w:rFonts w:asciiTheme="majorHAnsi" w:eastAsiaTheme="majorEastAsia" w:hAnsiTheme="majorHAnsi" w:cstheme="majorBidi"/>
      <w:color w:val="0A2F4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rsid w:val="00CF0F75"/>
  </w:style>
  <w:style w:type="paragraph" w:styleId="Encabezado">
    <w:name w:val="header"/>
    <w:basedOn w:val="Normal"/>
    <w:rsid w:val="00CF0F75"/>
    <w:pPr>
      <w:tabs>
        <w:tab w:val="center" w:pos="4320"/>
        <w:tab w:val="right" w:pos="8640"/>
      </w:tabs>
    </w:pPr>
  </w:style>
  <w:style w:type="character" w:styleId="Nmerodepgina">
    <w:name w:val="page number"/>
    <w:basedOn w:val="Fuentedeprrafopredeter"/>
    <w:rsid w:val="00CF0F75"/>
  </w:style>
  <w:style w:type="character" w:styleId="Nmerodelnea">
    <w:name w:val="line number"/>
    <w:basedOn w:val="Fuentedeprrafopredeter"/>
    <w:rsid w:val="00C15CED"/>
  </w:style>
  <w:style w:type="paragraph" w:customStyle="1" w:styleId="Title20">
    <w:name w:val="Title2"/>
    <w:basedOn w:val="Normal"/>
    <w:next w:val="Normal"/>
    <w:rsid w:val="003C1CCD"/>
    <w:pPr>
      <w:tabs>
        <w:tab w:val="left" w:pos="648"/>
        <w:tab w:val="right" w:pos="7776"/>
        <w:tab w:val="left" w:pos="7848"/>
      </w:tabs>
    </w:pPr>
    <w:rPr>
      <w:szCs w:val="20"/>
    </w:rPr>
  </w:style>
  <w:style w:type="paragraph" w:styleId="Textodeglobo">
    <w:name w:val="Balloon Text"/>
    <w:basedOn w:val="Normal"/>
    <w:semiHidden/>
    <w:rsid w:val="00900D3A"/>
    <w:rPr>
      <w:rFonts w:ascii="Tahoma" w:hAnsi="Tahoma" w:cs="Tahoma"/>
      <w:sz w:val="16"/>
      <w:szCs w:val="16"/>
    </w:rPr>
  </w:style>
  <w:style w:type="character" w:customStyle="1" w:styleId="foliohitie4">
    <w:name w:val="foliohitie4"/>
    <w:rsid w:val="005550BB"/>
    <w:rPr>
      <w:b/>
      <w:bCs/>
      <w:color w:val="FFFFFF"/>
      <w:shd w:val="clear" w:color="auto" w:fill="000066"/>
    </w:rPr>
  </w:style>
  <w:style w:type="paragraph" w:styleId="Subttulo">
    <w:name w:val="Subtitle"/>
    <w:basedOn w:val="Normal"/>
    <w:link w:val="SubttuloCar"/>
    <w:qFormat/>
    <w:rsid w:val="00D706A6"/>
    <w:rPr>
      <w:rFonts w:ascii="Arial" w:hAnsi="Arial"/>
      <w:b/>
      <w:szCs w:val="20"/>
      <w:lang w:val="en-029"/>
    </w:rPr>
  </w:style>
  <w:style w:type="character" w:customStyle="1" w:styleId="SubttuloCar">
    <w:name w:val="Subtítulo Car"/>
    <w:link w:val="Subttulo"/>
    <w:rsid w:val="00D706A6"/>
    <w:rPr>
      <w:rFonts w:ascii="Arial" w:hAnsi="Arial"/>
      <w:b/>
      <w:sz w:val="24"/>
      <w:lang w:val="en-029" w:eastAsia="en-US"/>
    </w:rPr>
  </w:style>
  <w:style w:type="paragraph" w:styleId="HTMLconformatoprevio">
    <w:name w:val="HTML Preformatted"/>
    <w:basedOn w:val="Normal"/>
    <w:link w:val="HTMLconformatoprevioCar"/>
    <w:rsid w:val="00BD7AAA"/>
    <w:rPr>
      <w:rFonts w:ascii="Courier New" w:hAnsi="Courier New" w:cs="Courier New"/>
      <w:sz w:val="20"/>
      <w:szCs w:val="20"/>
    </w:rPr>
  </w:style>
  <w:style w:type="character" w:customStyle="1" w:styleId="HTMLconformatoprevioCar">
    <w:name w:val="HTML con formato previo Car"/>
    <w:link w:val="HTMLconformatoprevio"/>
    <w:rsid w:val="00BD7AAA"/>
    <w:rPr>
      <w:rFonts w:ascii="Courier New" w:hAnsi="Courier New" w:cs="Courier New"/>
    </w:rPr>
  </w:style>
  <w:style w:type="character" w:styleId="nfasis">
    <w:name w:val="Emphasis"/>
    <w:qFormat/>
    <w:rsid w:val="00195BF1"/>
    <w:rPr>
      <w:i/>
      <w:iCs/>
    </w:rPr>
  </w:style>
  <w:style w:type="character" w:customStyle="1" w:styleId="Ttulo1Car">
    <w:name w:val="Título 1 Car"/>
    <w:link w:val="Ttulo1"/>
    <w:rsid w:val="00195BF1"/>
    <w:rPr>
      <w:rFonts w:ascii="Calibri Light" w:eastAsia="Times New Roman" w:hAnsi="Calibri Light" w:cs="Times New Roman"/>
      <w:b/>
      <w:bCs/>
      <w:kern w:val="32"/>
      <w:sz w:val="32"/>
      <w:szCs w:val="32"/>
    </w:rPr>
  </w:style>
  <w:style w:type="character" w:styleId="Hipervnculo">
    <w:name w:val="Hyperlink"/>
    <w:rsid w:val="001F1C8B"/>
    <w:rPr>
      <w:color w:val="0563C1"/>
      <w:u w:val="single"/>
    </w:rPr>
  </w:style>
  <w:style w:type="character" w:styleId="Mencinsinresolver">
    <w:name w:val="Unresolved Mention"/>
    <w:uiPriority w:val="99"/>
    <w:semiHidden/>
    <w:unhideWhenUsed/>
    <w:rsid w:val="001F1C8B"/>
    <w:rPr>
      <w:color w:val="605E5C"/>
      <w:shd w:val="clear" w:color="auto" w:fill="E1DFDD"/>
    </w:rPr>
  </w:style>
  <w:style w:type="paragraph" w:styleId="Prrafodelista">
    <w:name w:val="List Paragraph"/>
    <w:basedOn w:val="Normal"/>
    <w:uiPriority w:val="34"/>
    <w:qFormat/>
    <w:rsid w:val="000A5934"/>
    <w:pPr>
      <w:spacing w:after="160" w:line="259" w:lineRule="auto"/>
      <w:ind w:left="720"/>
      <w:contextualSpacing/>
    </w:pPr>
    <w:rPr>
      <w:rFonts w:ascii="Calibri" w:eastAsia="Calibri" w:hAnsi="Calibri"/>
      <w:kern w:val="2"/>
      <w:sz w:val="22"/>
      <w:szCs w:val="22"/>
    </w:rPr>
  </w:style>
  <w:style w:type="paragraph" w:styleId="Textonotapie">
    <w:name w:val="footnote text"/>
    <w:basedOn w:val="Normal"/>
    <w:link w:val="TextonotapieCar"/>
    <w:rsid w:val="00371717"/>
    <w:rPr>
      <w:sz w:val="20"/>
      <w:szCs w:val="20"/>
    </w:rPr>
  </w:style>
  <w:style w:type="character" w:customStyle="1" w:styleId="TextonotapieCar">
    <w:name w:val="Texto nota pie Car"/>
    <w:basedOn w:val="Fuentedeprrafopredeter"/>
    <w:link w:val="Textonotapie"/>
    <w:rsid w:val="00371717"/>
  </w:style>
  <w:style w:type="character" w:styleId="Refdenotaalpie">
    <w:name w:val="footnote reference"/>
    <w:rsid w:val="00371717"/>
    <w:rPr>
      <w:vertAlign w:val="superscript"/>
    </w:rPr>
  </w:style>
  <w:style w:type="character" w:styleId="Hipervnculovisitado">
    <w:name w:val="FollowedHyperlink"/>
    <w:rsid w:val="00D61CA2"/>
    <w:rPr>
      <w:color w:val="954F72"/>
      <w:u w:val="single"/>
    </w:rPr>
  </w:style>
  <w:style w:type="character" w:styleId="Refdecomentario">
    <w:name w:val="annotation reference"/>
    <w:rsid w:val="00B5151A"/>
    <w:rPr>
      <w:sz w:val="16"/>
      <w:szCs w:val="16"/>
    </w:rPr>
  </w:style>
  <w:style w:type="paragraph" w:styleId="Textocomentario">
    <w:name w:val="annotation text"/>
    <w:basedOn w:val="Normal"/>
    <w:link w:val="TextocomentarioCar"/>
    <w:rsid w:val="00B5151A"/>
    <w:rPr>
      <w:sz w:val="20"/>
      <w:szCs w:val="20"/>
    </w:rPr>
  </w:style>
  <w:style w:type="character" w:customStyle="1" w:styleId="TextocomentarioCar">
    <w:name w:val="Texto comentario Car"/>
    <w:basedOn w:val="Fuentedeprrafopredeter"/>
    <w:link w:val="Textocomentario"/>
    <w:rsid w:val="00B5151A"/>
  </w:style>
  <w:style w:type="paragraph" w:styleId="Asuntodelcomentario">
    <w:name w:val="annotation subject"/>
    <w:basedOn w:val="Textocomentario"/>
    <w:next w:val="Textocomentario"/>
    <w:link w:val="AsuntodelcomentarioCar"/>
    <w:rsid w:val="00B5151A"/>
    <w:rPr>
      <w:b/>
      <w:bCs/>
    </w:rPr>
  </w:style>
  <w:style w:type="character" w:customStyle="1" w:styleId="AsuntodelcomentarioCar">
    <w:name w:val="Asunto del comentario Car"/>
    <w:link w:val="Asuntodelcomentario"/>
    <w:rsid w:val="00B5151A"/>
    <w:rPr>
      <w:b/>
      <w:bCs/>
    </w:rPr>
  </w:style>
  <w:style w:type="paragraph" w:styleId="Sinespaciado">
    <w:name w:val="No Spacing"/>
    <w:uiPriority w:val="1"/>
    <w:qFormat/>
    <w:rsid w:val="00DE0E83"/>
    <w:rPr>
      <w:rFonts w:ascii="Aptos" w:eastAsia="Aptos" w:hAnsi="Aptos"/>
      <w:kern w:val="2"/>
      <w:sz w:val="24"/>
      <w:szCs w:val="24"/>
    </w:rPr>
  </w:style>
  <w:style w:type="character" w:styleId="Fuerte">
    <w:name w:val="Strong"/>
    <w:uiPriority w:val="22"/>
    <w:qFormat/>
    <w:rsid w:val="00DE0E83"/>
    <w:rPr>
      <w:b/>
      <w:bCs/>
    </w:rPr>
  </w:style>
  <w:style w:type="character" w:customStyle="1" w:styleId="Ttulo2Car">
    <w:name w:val="Título 2 Car"/>
    <w:basedOn w:val="Fuentedeprrafopredeter"/>
    <w:link w:val="Ttulo2"/>
    <w:semiHidden/>
    <w:rsid w:val="00AC70CB"/>
    <w:rPr>
      <w:rFonts w:asciiTheme="majorHAnsi" w:eastAsiaTheme="majorEastAsia" w:hAnsiTheme="majorHAnsi" w:cstheme="majorBidi"/>
      <w:color w:val="0F4761" w:themeColor="accent1" w:themeShade="BF"/>
      <w:sz w:val="26"/>
      <w:szCs w:val="26"/>
      <w:lang w:val="en-US"/>
    </w:rPr>
  </w:style>
  <w:style w:type="character" w:customStyle="1" w:styleId="Ttulo3Car">
    <w:name w:val="Título 3 Car"/>
    <w:basedOn w:val="Fuentedeprrafopredeter"/>
    <w:link w:val="Ttulo3"/>
    <w:semiHidden/>
    <w:rsid w:val="00AC70CB"/>
    <w:rPr>
      <w:rFonts w:asciiTheme="majorHAnsi" w:eastAsiaTheme="majorEastAsia" w:hAnsiTheme="majorHAnsi" w:cstheme="majorBidi"/>
      <w:color w:val="0A2F40" w:themeColor="accent1" w:themeShade="7F"/>
      <w:sz w:val="24"/>
      <w:szCs w:val="24"/>
      <w:lang w:val="en-US"/>
    </w:rPr>
  </w:style>
  <w:style w:type="paragraph" w:styleId="NormalWeb">
    <w:name w:val="Normal (Web)"/>
    <w:basedOn w:val="Normal"/>
    <w:rsid w:val="00FF0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03295">
      <w:bodyDiv w:val="1"/>
      <w:marLeft w:val="0"/>
      <w:marRight w:val="0"/>
      <w:marTop w:val="0"/>
      <w:marBottom w:val="0"/>
      <w:divBdr>
        <w:top w:val="none" w:sz="0" w:space="0" w:color="auto"/>
        <w:left w:val="none" w:sz="0" w:space="0" w:color="auto"/>
        <w:bottom w:val="none" w:sz="0" w:space="0" w:color="auto"/>
        <w:right w:val="none" w:sz="0" w:space="0" w:color="auto"/>
      </w:divBdr>
    </w:div>
    <w:div w:id="125781539">
      <w:bodyDiv w:val="1"/>
      <w:marLeft w:val="0"/>
      <w:marRight w:val="0"/>
      <w:marTop w:val="0"/>
      <w:marBottom w:val="0"/>
      <w:divBdr>
        <w:top w:val="none" w:sz="0" w:space="0" w:color="auto"/>
        <w:left w:val="none" w:sz="0" w:space="0" w:color="auto"/>
        <w:bottom w:val="none" w:sz="0" w:space="0" w:color="auto"/>
        <w:right w:val="none" w:sz="0" w:space="0" w:color="auto"/>
      </w:divBdr>
    </w:div>
    <w:div w:id="262226081">
      <w:bodyDiv w:val="1"/>
      <w:marLeft w:val="0"/>
      <w:marRight w:val="0"/>
      <w:marTop w:val="0"/>
      <w:marBottom w:val="0"/>
      <w:divBdr>
        <w:top w:val="none" w:sz="0" w:space="0" w:color="auto"/>
        <w:left w:val="none" w:sz="0" w:space="0" w:color="auto"/>
        <w:bottom w:val="none" w:sz="0" w:space="0" w:color="auto"/>
        <w:right w:val="none" w:sz="0" w:space="0" w:color="auto"/>
      </w:divBdr>
    </w:div>
    <w:div w:id="279184313">
      <w:bodyDiv w:val="1"/>
      <w:marLeft w:val="0"/>
      <w:marRight w:val="0"/>
      <w:marTop w:val="0"/>
      <w:marBottom w:val="0"/>
      <w:divBdr>
        <w:top w:val="none" w:sz="0" w:space="0" w:color="auto"/>
        <w:left w:val="none" w:sz="0" w:space="0" w:color="auto"/>
        <w:bottom w:val="none" w:sz="0" w:space="0" w:color="auto"/>
        <w:right w:val="none" w:sz="0" w:space="0" w:color="auto"/>
      </w:divBdr>
    </w:div>
    <w:div w:id="335696918">
      <w:bodyDiv w:val="1"/>
      <w:marLeft w:val="0"/>
      <w:marRight w:val="0"/>
      <w:marTop w:val="0"/>
      <w:marBottom w:val="0"/>
      <w:divBdr>
        <w:top w:val="none" w:sz="0" w:space="0" w:color="auto"/>
        <w:left w:val="none" w:sz="0" w:space="0" w:color="auto"/>
        <w:bottom w:val="none" w:sz="0" w:space="0" w:color="auto"/>
        <w:right w:val="none" w:sz="0" w:space="0" w:color="auto"/>
      </w:divBdr>
    </w:div>
    <w:div w:id="341903263">
      <w:bodyDiv w:val="1"/>
      <w:marLeft w:val="0"/>
      <w:marRight w:val="0"/>
      <w:marTop w:val="0"/>
      <w:marBottom w:val="0"/>
      <w:divBdr>
        <w:top w:val="none" w:sz="0" w:space="0" w:color="auto"/>
        <w:left w:val="none" w:sz="0" w:space="0" w:color="auto"/>
        <w:bottom w:val="none" w:sz="0" w:space="0" w:color="auto"/>
        <w:right w:val="none" w:sz="0" w:space="0" w:color="auto"/>
      </w:divBdr>
    </w:div>
    <w:div w:id="369957119">
      <w:bodyDiv w:val="1"/>
      <w:marLeft w:val="0"/>
      <w:marRight w:val="0"/>
      <w:marTop w:val="0"/>
      <w:marBottom w:val="0"/>
      <w:divBdr>
        <w:top w:val="none" w:sz="0" w:space="0" w:color="auto"/>
        <w:left w:val="none" w:sz="0" w:space="0" w:color="auto"/>
        <w:bottom w:val="none" w:sz="0" w:space="0" w:color="auto"/>
        <w:right w:val="none" w:sz="0" w:space="0" w:color="auto"/>
      </w:divBdr>
    </w:div>
    <w:div w:id="519782283">
      <w:bodyDiv w:val="1"/>
      <w:marLeft w:val="0"/>
      <w:marRight w:val="0"/>
      <w:marTop w:val="0"/>
      <w:marBottom w:val="0"/>
      <w:divBdr>
        <w:top w:val="none" w:sz="0" w:space="0" w:color="auto"/>
        <w:left w:val="none" w:sz="0" w:space="0" w:color="auto"/>
        <w:bottom w:val="none" w:sz="0" w:space="0" w:color="auto"/>
        <w:right w:val="none" w:sz="0" w:space="0" w:color="auto"/>
      </w:divBdr>
    </w:div>
    <w:div w:id="624852211">
      <w:bodyDiv w:val="1"/>
      <w:marLeft w:val="0"/>
      <w:marRight w:val="0"/>
      <w:marTop w:val="0"/>
      <w:marBottom w:val="0"/>
      <w:divBdr>
        <w:top w:val="none" w:sz="0" w:space="0" w:color="auto"/>
        <w:left w:val="none" w:sz="0" w:space="0" w:color="auto"/>
        <w:bottom w:val="none" w:sz="0" w:space="0" w:color="auto"/>
        <w:right w:val="none" w:sz="0" w:space="0" w:color="auto"/>
      </w:divBdr>
    </w:div>
    <w:div w:id="805005202">
      <w:bodyDiv w:val="1"/>
      <w:marLeft w:val="0"/>
      <w:marRight w:val="0"/>
      <w:marTop w:val="0"/>
      <w:marBottom w:val="0"/>
      <w:divBdr>
        <w:top w:val="none" w:sz="0" w:space="0" w:color="auto"/>
        <w:left w:val="none" w:sz="0" w:space="0" w:color="auto"/>
        <w:bottom w:val="none" w:sz="0" w:space="0" w:color="auto"/>
        <w:right w:val="none" w:sz="0" w:space="0" w:color="auto"/>
      </w:divBdr>
    </w:div>
    <w:div w:id="814877072">
      <w:bodyDiv w:val="1"/>
      <w:marLeft w:val="0"/>
      <w:marRight w:val="0"/>
      <w:marTop w:val="0"/>
      <w:marBottom w:val="0"/>
      <w:divBdr>
        <w:top w:val="none" w:sz="0" w:space="0" w:color="auto"/>
        <w:left w:val="none" w:sz="0" w:space="0" w:color="auto"/>
        <w:bottom w:val="none" w:sz="0" w:space="0" w:color="auto"/>
        <w:right w:val="none" w:sz="0" w:space="0" w:color="auto"/>
      </w:divBdr>
    </w:div>
    <w:div w:id="828787059">
      <w:bodyDiv w:val="1"/>
      <w:marLeft w:val="0"/>
      <w:marRight w:val="0"/>
      <w:marTop w:val="0"/>
      <w:marBottom w:val="0"/>
      <w:divBdr>
        <w:top w:val="none" w:sz="0" w:space="0" w:color="auto"/>
        <w:left w:val="none" w:sz="0" w:space="0" w:color="auto"/>
        <w:bottom w:val="none" w:sz="0" w:space="0" w:color="auto"/>
        <w:right w:val="none" w:sz="0" w:space="0" w:color="auto"/>
      </w:divBdr>
    </w:div>
    <w:div w:id="852963813">
      <w:bodyDiv w:val="1"/>
      <w:marLeft w:val="0"/>
      <w:marRight w:val="0"/>
      <w:marTop w:val="0"/>
      <w:marBottom w:val="0"/>
      <w:divBdr>
        <w:top w:val="none" w:sz="0" w:space="0" w:color="auto"/>
        <w:left w:val="none" w:sz="0" w:space="0" w:color="auto"/>
        <w:bottom w:val="none" w:sz="0" w:space="0" w:color="auto"/>
        <w:right w:val="none" w:sz="0" w:space="0" w:color="auto"/>
      </w:divBdr>
    </w:div>
    <w:div w:id="873082028">
      <w:bodyDiv w:val="1"/>
      <w:marLeft w:val="0"/>
      <w:marRight w:val="0"/>
      <w:marTop w:val="0"/>
      <w:marBottom w:val="0"/>
      <w:divBdr>
        <w:top w:val="none" w:sz="0" w:space="0" w:color="auto"/>
        <w:left w:val="none" w:sz="0" w:space="0" w:color="auto"/>
        <w:bottom w:val="none" w:sz="0" w:space="0" w:color="auto"/>
        <w:right w:val="none" w:sz="0" w:space="0" w:color="auto"/>
      </w:divBdr>
    </w:div>
    <w:div w:id="903221704">
      <w:bodyDiv w:val="1"/>
      <w:marLeft w:val="0"/>
      <w:marRight w:val="0"/>
      <w:marTop w:val="0"/>
      <w:marBottom w:val="0"/>
      <w:divBdr>
        <w:top w:val="none" w:sz="0" w:space="0" w:color="auto"/>
        <w:left w:val="none" w:sz="0" w:space="0" w:color="auto"/>
        <w:bottom w:val="none" w:sz="0" w:space="0" w:color="auto"/>
        <w:right w:val="none" w:sz="0" w:space="0" w:color="auto"/>
      </w:divBdr>
    </w:div>
    <w:div w:id="934825062">
      <w:bodyDiv w:val="1"/>
      <w:marLeft w:val="0"/>
      <w:marRight w:val="0"/>
      <w:marTop w:val="0"/>
      <w:marBottom w:val="0"/>
      <w:divBdr>
        <w:top w:val="none" w:sz="0" w:space="0" w:color="auto"/>
        <w:left w:val="none" w:sz="0" w:space="0" w:color="auto"/>
        <w:bottom w:val="none" w:sz="0" w:space="0" w:color="auto"/>
        <w:right w:val="none" w:sz="0" w:space="0" w:color="auto"/>
      </w:divBdr>
    </w:div>
    <w:div w:id="942567644">
      <w:bodyDiv w:val="1"/>
      <w:marLeft w:val="0"/>
      <w:marRight w:val="0"/>
      <w:marTop w:val="0"/>
      <w:marBottom w:val="0"/>
      <w:divBdr>
        <w:top w:val="none" w:sz="0" w:space="0" w:color="auto"/>
        <w:left w:val="none" w:sz="0" w:space="0" w:color="auto"/>
        <w:bottom w:val="none" w:sz="0" w:space="0" w:color="auto"/>
        <w:right w:val="none" w:sz="0" w:space="0" w:color="auto"/>
      </w:divBdr>
    </w:div>
    <w:div w:id="976691054">
      <w:bodyDiv w:val="1"/>
      <w:marLeft w:val="0"/>
      <w:marRight w:val="0"/>
      <w:marTop w:val="0"/>
      <w:marBottom w:val="0"/>
      <w:divBdr>
        <w:top w:val="none" w:sz="0" w:space="0" w:color="auto"/>
        <w:left w:val="none" w:sz="0" w:space="0" w:color="auto"/>
        <w:bottom w:val="none" w:sz="0" w:space="0" w:color="auto"/>
        <w:right w:val="none" w:sz="0" w:space="0" w:color="auto"/>
      </w:divBdr>
    </w:div>
    <w:div w:id="1071006967">
      <w:bodyDiv w:val="1"/>
      <w:marLeft w:val="0"/>
      <w:marRight w:val="0"/>
      <w:marTop w:val="0"/>
      <w:marBottom w:val="0"/>
      <w:divBdr>
        <w:top w:val="none" w:sz="0" w:space="0" w:color="auto"/>
        <w:left w:val="none" w:sz="0" w:space="0" w:color="auto"/>
        <w:bottom w:val="none" w:sz="0" w:space="0" w:color="auto"/>
        <w:right w:val="none" w:sz="0" w:space="0" w:color="auto"/>
      </w:divBdr>
    </w:div>
    <w:div w:id="1095975996">
      <w:bodyDiv w:val="1"/>
      <w:marLeft w:val="0"/>
      <w:marRight w:val="0"/>
      <w:marTop w:val="0"/>
      <w:marBottom w:val="0"/>
      <w:divBdr>
        <w:top w:val="none" w:sz="0" w:space="0" w:color="auto"/>
        <w:left w:val="none" w:sz="0" w:space="0" w:color="auto"/>
        <w:bottom w:val="none" w:sz="0" w:space="0" w:color="auto"/>
        <w:right w:val="none" w:sz="0" w:space="0" w:color="auto"/>
      </w:divBdr>
    </w:div>
    <w:div w:id="1149595798">
      <w:bodyDiv w:val="1"/>
      <w:marLeft w:val="0"/>
      <w:marRight w:val="0"/>
      <w:marTop w:val="0"/>
      <w:marBottom w:val="0"/>
      <w:divBdr>
        <w:top w:val="none" w:sz="0" w:space="0" w:color="auto"/>
        <w:left w:val="none" w:sz="0" w:space="0" w:color="auto"/>
        <w:bottom w:val="none" w:sz="0" w:space="0" w:color="auto"/>
        <w:right w:val="none" w:sz="0" w:space="0" w:color="auto"/>
      </w:divBdr>
    </w:div>
    <w:div w:id="1156990632">
      <w:bodyDiv w:val="1"/>
      <w:marLeft w:val="0"/>
      <w:marRight w:val="0"/>
      <w:marTop w:val="0"/>
      <w:marBottom w:val="0"/>
      <w:divBdr>
        <w:top w:val="none" w:sz="0" w:space="0" w:color="auto"/>
        <w:left w:val="none" w:sz="0" w:space="0" w:color="auto"/>
        <w:bottom w:val="none" w:sz="0" w:space="0" w:color="auto"/>
        <w:right w:val="none" w:sz="0" w:space="0" w:color="auto"/>
      </w:divBdr>
    </w:div>
    <w:div w:id="1188369980">
      <w:bodyDiv w:val="1"/>
      <w:marLeft w:val="0"/>
      <w:marRight w:val="0"/>
      <w:marTop w:val="0"/>
      <w:marBottom w:val="0"/>
      <w:divBdr>
        <w:top w:val="none" w:sz="0" w:space="0" w:color="auto"/>
        <w:left w:val="none" w:sz="0" w:space="0" w:color="auto"/>
        <w:bottom w:val="none" w:sz="0" w:space="0" w:color="auto"/>
        <w:right w:val="none" w:sz="0" w:space="0" w:color="auto"/>
      </w:divBdr>
    </w:div>
    <w:div w:id="1219702486">
      <w:bodyDiv w:val="1"/>
      <w:marLeft w:val="0"/>
      <w:marRight w:val="0"/>
      <w:marTop w:val="0"/>
      <w:marBottom w:val="0"/>
      <w:divBdr>
        <w:top w:val="none" w:sz="0" w:space="0" w:color="auto"/>
        <w:left w:val="none" w:sz="0" w:space="0" w:color="auto"/>
        <w:bottom w:val="none" w:sz="0" w:space="0" w:color="auto"/>
        <w:right w:val="none" w:sz="0" w:space="0" w:color="auto"/>
      </w:divBdr>
    </w:div>
    <w:div w:id="1246064085">
      <w:bodyDiv w:val="1"/>
      <w:marLeft w:val="0"/>
      <w:marRight w:val="0"/>
      <w:marTop w:val="0"/>
      <w:marBottom w:val="0"/>
      <w:divBdr>
        <w:top w:val="none" w:sz="0" w:space="0" w:color="auto"/>
        <w:left w:val="none" w:sz="0" w:space="0" w:color="auto"/>
        <w:bottom w:val="none" w:sz="0" w:space="0" w:color="auto"/>
        <w:right w:val="none" w:sz="0" w:space="0" w:color="auto"/>
      </w:divBdr>
    </w:div>
    <w:div w:id="1246257187">
      <w:bodyDiv w:val="1"/>
      <w:marLeft w:val="0"/>
      <w:marRight w:val="0"/>
      <w:marTop w:val="0"/>
      <w:marBottom w:val="0"/>
      <w:divBdr>
        <w:top w:val="none" w:sz="0" w:space="0" w:color="auto"/>
        <w:left w:val="none" w:sz="0" w:space="0" w:color="auto"/>
        <w:bottom w:val="none" w:sz="0" w:space="0" w:color="auto"/>
        <w:right w:val="none" w:sz="0" w:space="0" w:color="auto"/>
      </w:divBdr>
    </w:div>
    <w:div w:id="1404571790">
      <w:bodyDiv w:val="1"/>
      <w:marLeft w:val="0"/>
      <w:marRight w:val="0"/>
      <w:marTop w:val="0"/>
      <w:marBottom w:val="0"/>
      <w:divBdr>
        <w:top w:val="none" w:sz="0" w:space="0" w:color="auto"/>
        <w:left w:val="none" w:sz="0" w:space="0" w:color="auto"/>
        <w:bottom w:val="none" w:sz="0" w:space="0" w:color="auto"/>
        <w:right w:val="none" w:sz="0" w:space="0" w:color="auto"/>
      </w:divBdr>
    </w:div>
    <w:div w:id="1446071059">
      <w:bodyDiv w:val="1"/>
      <w:marLeft w:val="0"/>
      <w:marRight w:val="0"/>
      <w:marTop w:val="0"/>
      <w:marBottom w:val="0"/>
      <w:divBdr>
        <w:top w:val="none" w:sz="0" w:space="0" w:color="auto"/>
        <w:left w:val="none" w:sz="0" w:space="0" w:color="auto"/>
        <w:bottom w:val="none" w:sz="0" w:space="0" w:color="auto"/>
        <w:right w:val="none" w:sz="0" w:space="0" w:color="auto"/>
      </w:divBdr>
    </w:div>
    <w:div w:id="1452438580">
      <w:bodyDiv w:val="1"/>
      <w:marLeft w:val="0"/>
      <w:marRight w:val="0"/>
      <w:marTop w:val="0"/>
      <w:marBottom w:val="0"/>
      <w:divBdr>
        <w:top w:val="none" w:sz="0" w:space="0" w:color="auto"/>
        <w:left w:val="none" w:sz="0" w:space="0" w:color="auto"/>
        <w:bottom w:val="none" w:sz="0" w:space="0" w:color="auto"/>
        <w:right w:val="none" w:sz="0" w:space="0" w:color="auto"/>
      </w:divBdr>
    </w:div>
    <w:div w:id="1453668129">
      <w:bodyDiv w:val="1"/>
      <w:marLeft w:val="0"/>
      <w:marRight w:val="0"/>
      <w:marTop w:val="0"/>
      <w:marBottom w:val="0"/>
      <w:divBdr>
        <w:top w:val="none" w:sz="0" w:space="0" w:color="auto"/>
        <w:left w:val="none" w:sz="0" w:space="0" w:color="auto"/>
        <w:bottom w:val="none" w:sz="0" w:space="0" w:color="auto"/>
        <w:right w:val="none" w:sz="0" w:space="0" w:color="auto"/>
      </w:divBdr>
    </w:div>
    <w:div w:id="1523470653">
      <w:bodyDiv w:val="1"/>
      <w:marLeft w:val="0"/>
      <w:marRight w:val="0"/>
      <w:marTop w:val="0"/>
      <w:marBottom w:val="0"/>
      <w:divBdr>
        <w:top w:val="none" w:sz="0" w:space="0" w:color="auto"/>
        <w:left w:val="none" w:sz="0" w:space="0" w:color="auto"/>
        <w:bottom w:val="none" w:sz="0" w:space="0" w:color="auto"/>
        <w:right w:val="none" w:sz="0" w:space="0" w:color="auto"/>
      </w:divBdr>
    </w:div>
    <w:div w:id="1532307159">
      <w:bodyDiv w:val="1"/>
      <w:marLeft w:val="0"/>
      <w:marRight w:val="0"/>
      <w:marTop w:val="0"/>
      <w:marBottom w:val="0"/>
      <w:divBdr>
        <w:top w:val="none" w:sz="0" w:space="0" w:color="auto"/>
        <w:left w:val="none" w:sz="0" w:space="0" w:color="auto"/>
        <w:bottom w:val="none" w:sz="0" w:space="0" w:color="auto"/>
        <w:right w:val="none" w:sz="0" w:space="0" w:color="auto"/>
      </w:divBdr>
    </w:div>
    <w:div w:id="1561332333">
      <w:bodyDiv w:val="1"/>
      <w:marLeft w:val="0"/>
      <w:marRight w:val="0"/>
      <w:marTop w:val="0"/>
      <w:marBottom w:val="0"/>
      <w:divBdr>
        <w:top w:val="none" w:sz="0" w:space="0" w:color="auto"/>
        <w:left w:val="none" w:sz="0" w:space="0" w:color="auto"/>
        <w:bottom w:val="none" w:sz="0" w:space="0" w:color="auto"/>
        <w:right w:val="none" w:sz="0" w:space="0" w:color="auto"/>
      </w:divBdr>
    </w:div>
    <w:div w:id="1566837459">
      <w:bodyDiv w:val="1"/>
      <w:marLeft w:val="0"/>
      <w:marRight w:val="0"/>
      <w:marTop w:val="0"/>
      <w:marBottom w:val="0"/>
      <w:divBdr>
        <w:top w:val="none" w:sz="0" w:space="0" w:color="auto"/>
        <w:left w:val="none" w:sz="0" w:space="0" w:color="auto"/>
        <w:bottom w:val="none" w:sz="0" w:space="0" w:color="auto"/>
        <w:right w:val="none" w:sz="0" w:space="0" w:color="auto"/>
      </w:divBdr>
    </w:div>
    <w:div w:id="1592425949">
      <w:bodyDiv w:val="1"/>
      <w:marLeft w:val="0"/>
      <w:marRight w:val="0"/>
      <w:marTop w:val="0"/>
      <w:marBottom w:val="0"/>
      <w:divBdr>
        <w:top w:val="none" w:sz="0" w:space="0" w:color="auto"/>
        <w:left w:val="none" w:sz="0" w:space="0" w:color="auto"/>
        <w:bottom w:val="none" w:sz="0" w:space="0" w:color="auto"/>
        <w:right w:val="none" w:sz="0" w:space="0" w:color="auto"/>
      </w:divBdr>
    </w:div>
    <w:div w:id="1601597925">
      <w:bodyDiv w:val="1"/>
      <w:marLeft w:val="0"/>
      <w:marRight w:val="0"/>
      <w:marTop w:val="0"/>
      <w:marBottom w:val="0"/>
      <w:divBdr>
        <w:top w:val="none" w:sz="0" w:space="0" w:color="auto"/>
        <w:left w:val="none" w:sz="0" w:space="0" w:color="auto"/>
        <w:bottom w:val="none" w:sz="0" w:space="0" w:color="auto"/>
        <w:right w:val="none" w:sz="0" w:space="0" w:color="auto"/>
      </w:divBdr>
    </w:div>
    <w:div w:id="1721830354">
      <w:bodyDiv w:val="1"/>
      <w:marLeft w:val="0"/>
      <w:marRight w:val="0"/>
      <w:marTop w:val="0"/>
      <w:marBottom w:val="0"/>
      <w:divBdr>
        <w:top w:val="none" w:sz="0" w:space="0" w:color="auto"/>
        <w:left w:val="none" w:sz="0" w:space="0" w:color="auto"/>
        <w:bottom w:val="none" w:sz="0" w:space="0" w:color="auto"/>
        <w:right w:val="none" w:sz="0" w:space="0" w:color="auto"/>
      </w:divBdr>
    </w:div>
    <w:div w:id="1766027063">
      <w:bodyDiv w:val="1"/>
      <w:marLeft w:val="0"/>
      <w:marRight w:val="0"/>
      <w:marTop w:val="0"/>
      <w:marBottom w:val="0"/>
      <w:divBdr>
        <w:top w:val="none" w:sz="0" w:space="0" w:color="auto"/>
        <w:left w:val="none" w:sz="0" w:space="0" w:color="auto"/>
        <w:bottom w:val="none" w:sz="0" w:space="0" w:color="auto"/>
        <w:right w:val="none" w:sz="0" w:space="0" w:color="auto"/>
      </w:divBdr>
    </w:div>
    <w:div w:id="1837257413">
      <w:bodyDiv w:val="1"/>
      <w:marLeft w:val="0"/>
      <w:marRight w:val="0"/>
      <w:marTop w:val="0"/>
      <w:marBottom w:val="0"/>
      <w:divBdr>
        <w:top w:val="none" w:sz="0" w:space="0" w:color="auto"/>
        <w:left w:val="none" w:sz="0" w:space="0" w:color="auto"/>
        <w:bottom w:val="none" w:sz="0" w:space="0" w:color="auto"/>
        <w:right w:val="none" w:sz="0" w:space="0" w:color="auto"/>
      </w:divBdr>
    </w:div>
    <w:div w:id="1873805860">
      <w:bodyDiv w:val="1"/>
      <w:marLeft w:val="0"/>
      <w:marRight w:val="0"/>
      <w:marTop w:val="0"/>
      <w:marBottom w:val="0"/>
      <w:divBdr>
        <w:top w:val="none" w:sz="0" w:space="0" w:color="auto"/>
        <w:left w:val="none" w:sz="0" w:space="0" w:color="auto"/>
        <w:bottom w:val="none" w:sz="0" w:space="0" w:color="auto"/>
        <w:right w:val="none" w:sz="0" w:space="0" w:color="auto"/>
      </w:divBdr>
    </w:div>
    <w:div w:id="1941402463">
      <w:bodyDiv w:val="1"/>
      <w:marLeft w:val="0"/>
      <w:marRight w:val="0"/>
      <w:marTop w:val="0"/>
      <w:marBottom w:val="0"/>
      <w:divBdr>
        <w:top w:val="none" w:sz="0" w:space="0" w:color="auto"/>
        <w:left w:val="none" w:sz="0" w:space="0" w:color="auto"/>
        <w:bottom w:val="none" w:sz="0" w:space="0" w:color="auto"/>
        <w:right w:val="none" w:sz="0" w:space="0" w:color="auto"/>
      </w:divBdr>
    </w:div>
    <w:div w:id="2029210519">
      <w:bodyDiv w:val="1"/>
      <w:marLeft w:val="0"/>
      <w:marRight w:val="0"/>
      <w:marTop w:val="0"/>
      <w:marBottom w:val="0"/>
      <w:divBdr>
        <w:top w:val="none" w:sz="0" w:space="0" w:color="auto"/>
        <w:left w:val="none" w:sz="0" w:space="0" w:color="auto"/>
        <w:bottom w:val="none" w:sz="0" w:space="0" w:color="auto"/>
        <w:right w:val="none" w:sz="0" w:space="0" w:color="auto"/>
      </w:divBdr>
    </w:div>
    <w:div w:id="2083214373">
      <w:bodyDiv w:val="1"/>
      <w:marLeft w:val="0"/>
      <w:marRight w:val="0"/>
      <w:marTop w:val="0"/>
      <w:marBottom w:val="0"/>
      <w:divBdr>
        <w:top w:val="none" w:sz="0" w:space="0" w:color="auto"/>
        <w:left w:val="none" w:sz="0" w:space="0" w:color="auto"/>
        <w:bottom w:val="none" w:sz="0" w:space="0" w:color="auto"/>
        <w:right w:val="none" w:sz="0" w:space="0" w:color="auto"/>
      </w:divBdr>
    </w:div>
    <w:div w:id="2097824335">
      <w:bodyDiv w:val="1"/>
      <w:marLeft w:val="0"/>
      <w:marRight w:val="0"/>
      <w:marTop w:val="0"/>
      <w:marBottom w:val="0"/>
      <w:divBdr>
        <w:top w:val="none" w:sz="0" w:space="0" w:color="auto"/>
        <w:left w:val="none" w:sz="0" w:space="0" w:color="auto"/>
        <w:bottom w:val="none" w:sz="0" w:space="0" w:color="auto"/>
        <w:right w:val="none" w:sz="0" w:space="0" w:color="auto"/>
      </w:divBdr>
    </w:div>
    <w:div w:id="213236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4SQX5P7U7WPY-958212181-795322</_dlc_DocId>
    <_dlc_DocIdUrl xmlns="c890fddd-4e87-4e08-8b51-545f2a3f7b06">
      <Url>https://senpr.sharepoint.com/sites/obralegislativa/_layouts/15/DocIdRedir.aspx?ID=4SQX5P7U7WPY-958212181-795322</Url>
      <Description>4SQX5P7U7WPY-958212181-795322</Description>
    </_dlc_DocIdUrl>
  </documentManagement>
</p:properties>
</file>

<file path=customXml/itemProps1.xml><?xml version="1.0" encoding="utf-8"?>
<ds:datastoreItem xmlns:ds="http://schemas.openxmlformats.org/officeDocument/2006/customXml" ds:itemID="{6DFA234C-FA07-4CF5-9C37-2D847D926E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1E1ABD-CC21-4758-9BBA-909A9F155CC6}">
  <ds:schemaRefs>
    <ds:schemaRef ds:uri="http://schemas.microsoft.com/sharepoint/v3/contenttype/forms"/>
  </ds:schemaRefs>
</ds:datastoreItem>
</file>

<file path=customXml/itemProps3.xml><?xml version="1.0" encoding="utf-8"?>
<ds:datastoreItem xmlns:ds="http://schemas.openxmlformats.org/officeDocument/2006/customXml" ds:itemID="{09D3D122-A9A7-4C9D-84DC-86BB56A72C0A}">
  <ds:schemaRefs>
    <ds:schemaRef ds:uri="http://schemas.openxmlformats.org/officeDocument/2006/bibliography"/>
  </ds:schemaRefs>
</ds:datastoreItem>
</file>

<file path=customXml/itemProps4.xml><?xml version="1.0" encoding="utf-8"?>
<ds:datastoreItem xmlns:ds="http://schemas.openxmlformats.org/officeDocument/2006/customXml" ds:itemID="{11AFB74F-39FC-40D3-9727-932C24BE2564}">
  <ds:schemaRefs>
    <ds:schemaRef ds:uri="http://schemas.microsoft.com/sharepoint/events"/>
  </ds:schemaRefs>
</ds:datastoreItem>
</file>

<file path=customXml/itemProps5.xml><?xml version="1.0" encoding="utf-8"?>
<ds:datastoreItem xmlns:ds="http://schemas.openxmlformats.org/officeDocument/2006/customXml" ds:itemID="{4BFBE4EB-AE2E-4EC4-AEDE-CA1AEE578B0D}">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2460</Words>
  <Characters>14028</Characters>
  <Application>Microsoft Office Word</Application>
  <DocSecurity>0</DocSecurity>
  <Lines>116</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LinksUpToDate>false</LinksUpToDate>
  <CharactersWithSpaces>16456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Izael O. Santiago (Sen. Trujillo Plumey)</dc:creator>
  <cp:keywords/>
  <cp:lastModifiedBy>Rocío Alayón Morell</cp:lastModifiedBy>
  <cp:revision>3</cp:revision>
  <cp:lastPrinted>2026-04-30T19:35:00Z</cp:lastPrinted>
  <dcterms:created xsi:type="dcterms:W3CDTF">2026-04-30T20:04:00Z</dcterms:created>
  <dcterms:modified xsi:type="dcterms:W3CDTF">2026-05-01T18:18:00Z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echayhora">
    <vt:lpwstr/>
  </property>
  <property fmtid="{D5CDD505-2E9C-101B-9397-08002B2CF9AE}" pid="3" name="ContentTypeId">
    <vt:lpwstr>0x0101008C58FC75B682744FB4A53C756BEDC3A3</vt:lpwstr>
  </property>
  <property fmtid="{D5CDD505-2E9C-101B-9397-08002B2CF9AE}" pid="4" name="_dlc_DocIdItemGuid">
    <vt:lpwstr>f6418ef9-22f7-4bc6-ad96-a380a9495241</vt:lpwstr>
  </property>
  <property fmtid="{D5CDD505-2E9C-101B-9397-08002B2CF9AE}" pid="5" name="MediaServiceImageTags">
    <vt:lpwstr/>
  </property>
</Properties>
</file>