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3B1BB4C6" w:rsidR="00981A6C" w:rsidRPr="0039078C" w:rsidRDefault="00431BE6" w:rsidP="00981A6C">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sidR="00DD3B91">
        <w:rPr>
          <w:rFonts w:ascii="Book Antiqua" w:hAnsi="Book Antiqua"/>
          <w:lang w:val="es-ES_tradnl"/>
        </w:rPr>
        <w:t>3</w:t>
      </w:r>
      <w:r w:rsidR="00DD3B91">
        <w:rPr>
          <w:rFonts w:ascii="Book Antiqua" w:hAnsi="Book Antiqua"/>
          <w:vertAlign w:val="superscript"/>
          <w:lang w:val="es-ES_tradnl"/>
        </w:rPr>
        <w:t>r</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6F32F68A"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5A32E7">
        <w:rPr>
          <w:rFonts w:ascii="Book Antiqua" w:hAnsi="Book Antiqua"/>
          <w:b/>
          <w:sz w:val="52"/>
          <w:szCs w:val="52"/>
          <w:lang w:val="es-ES_tradnl"/>
        </w:rPr>
        <w:t>1249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391F4CBD" w:rsidR="00981A6C" w:rsidRPr="0039078C" w:rsidRDefault="005A32E7" w:rsidP="00981A6C">
      <w:pPr>
        <w:jc w:val="center"/>
        <w:rPr>
          <w:rFonts w:ascii="Book Antiqua" w:hAnsi="Book Antiqua" w:cs="Arial"/>
          <w:caps/>
          <w:lang w:val="es-ES"/>
        </w:rPr>
      </w:pPr>
      <w:r>
        <w:rPr>
          <w:rFonts w:ascii="Book Antiqua" w:hAnsi="Book Antiqua" w:cs="Arial"/>
          <w:caps/>
          <w:lang w:val="es-ES"/>
        </w:rPr>
        <w:t xml:space="preserve">4 </w:t>
      </w:r>
      <w:r w:rsidR="00981A6C" w:rsidRPr="0039078C">
        <w:rPr>
          <w:rFonts w:ascii="Book Antiqua" w:hAnsi="Book Antiqua" w:cs="Arial"/>
          <w:caps/>
          <w:lang w:val="es-ES"/>
        </w:rPr>
        <w:t xml:space="preserve">DE </w:t>
      </w:r>
      <w:r w:rsidR="00DD3B91">
        <w:rPr>
          <w:rFonts w:ascii="Book Antiqua" w:hAnsi="Book Antiqua" w:cs="Arial"/>
          <w:caps/>
          <w:lang w:val="es-ES"/>
        </w:rPr>
        <w:t>MAYO</w:t>
      </w:r>
      <w:r w:rsidR="00981A6C" w:rsidRPr="0039078C">
        <w:rPr>
          <w:rFonts w:ascii="Book Antiqua" w:hAnsi="Book Antiqua" w:cs="Arial"/>
          <w:caps/>
          <w:lang w:val="es-ES"/>
        </w:rPr>
        <w:t xml:space="preserve"> DE 202</w:t>
      </w:r>
      <w:r w:rsidR="00DD3B91">
        <w:rPr>
          <w:rFonts w:ascii="Book Antiqua" w:hAnsi="Book Antiqua" w:cs="Arial"/>
          <w:caps/>
          <w:lang w:val="es-ES"/>
        </w:rPr>
        <w:t>6</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7EA1FD3E"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C07102">
        <w:rPr>
          <w:rFonts w:ascii="Book Antiqua" w:hAnsi="Book Antiqua"/>
          <w:lang w:val="es-ES"/>
        </w:rPr>
        <w:t>la Comisión de Asuntos del Consumidor</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C07102" w:rsidRDefault="00981A6C" w:rsidP="00981A6C">
      <w:pPr>
        <w:jc w:val="center"/>
        <w:rPr>
          <w:rFonts w:ascii="Book Antiqua" w:hAnsi="Book Antiqua"/>
          <w:b/>
          <w:sz w:val="28"/>
          <w:szCs w:val="28"/>
          <w:lang w:val="es-ES_tradnl"/>
        </w:rPr>
      </w:pPr>
      <w:r w:rsidRPr="00C07102">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21AB9CBC" w14:textId="77777777" w:rsidR="00DD3B91" w:rsidRPr="0039078C" w:rsidRDefault="00DD3B91" w:rsidP="00C07102">
      <w:pPr>
        <w:pStyle w:val="Textodebloque"/>
        <w:ind w:left="720" w:right="0"/>
        <w:rPr>
          <w:rFonts w:ascii="Book Antiqua" w:hAnsi="Book Antiqua"/>
          <w:sz w:val="24"/>
        </w:rPr>
      </w:pPr>
      <w:r>
        <w:rPr>
          <w:rFonts w:ascii="Book Antiqua" w:hAnsi="Book Antiqua"/>
          <w:sz w:val="24"/>
        </w:rPr>
        <w:t>Para crear la “Ley para la Uniformidad y Modernización de la Identificación Requerida para el Despacho de Combustible en Puerto Rico”; establecer criterios uniformes sobre las identificaciones válidas que podrán requerir las estaciones de gasolina al momento de despachar combustible; reconocer la validez de las identificaciones digitales oficiales emitidas por el Gobierno de Puerto Rico; promover el uso de herramientas tecnológicas seguras para la verificación de identidad; prohibir prácticas discriminatorias o inconsistentes en la aceptación de identificaciones oficiales; facultar al Departamento de Asuntos del Consumidor (DACO) y al Departamento de Transportación y Obras Públicas (DTOP) para reglamentar y fiscalizar el cumplimiento de esta Ley; y para otros fines relacionados.</w:t>
      </w:r>
    </w:p>
    <w:p w14:paraId="63D4D946" w14:textId="77777777" w:rsidR="00981A6C" w:rsidRPr="00C07102" w:rsidRDefault="00981A6C" w:rsidP="00D7743D">
      <w:pPr>
        <w:pStyle w:val="Ttulo1"/>
        <w:jc w:val="center"/>
        <w:rPr>
          <w:rFonts w:ascii="Book Antiqua" w:hAnsi="Book Antiqua"/>
          <w:caps/>
          <w:color w:val="auto"/>
          <w:sz w:val="24"/>
          <w:lang w:val="es-PR"/>
        </w:rPr>
      </w:pPr>
      <w:r w:rsidRPr="00C07102">
        <w:rPr>
          <w:rFonts w:ascii="Book Antiqua" w:hAnsi="Book Antiqua"/>
          <w:caps/>
          <w:color w:val="auto"/>
          <w:sz w:val="24"/>
          <w:lang w:val="es-PR"/>
        </w:rPr>
        <w:t>Exposición de Motivos</w:t>
      </w:r>
    </w:p>
    <w:p w14:paraId="77A0358F" w14:textId="77777777" w:rsidR="00981A6C" w:rsidRPr="0039078C" w:rsidRDefault="00981A6C" w:rsidP="00981A6C">
      <w:pPr>
        <w:jc w:val="center"/>
        <w:rPr>
          <w:rFonts w:ascii="Book Antiqua" w:hAnsi="Book Antiqua"/>
          <w:caps/>
          <w:lang w:val="es-PR"/>
        </w:rPr>
      </w:pPr>
    </w:p>
    <w:p w14:paraId="2B0701DC" w14:textId="7CE19AAA" w:rsidR="00DD3B91" w:rsidRPr="00DD3B91" w:rsidRDefault="005D05FD"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r>
      <w:r w:rsidR="00DD3B91" w:rsidRPr="00DD3B91">
        <w:rPr>
          <w:rFonts w:ascii="Book Antiqua" w:hAnsi="Book Antiqua" w:cs="Arial"/>
          <w:color w:val="000000"/>
          <w:lang w:val="es-ES"/>
        </w:rPr>
        <w:t xml:space="preserve">La transformación digital del Gobierno de Puerto Rico ha permitido que múltiples servicios y documentos oficiales puedan ser </w:t>
      </w:r>
      <w:r w:rsidR="0056024C">
        <w:rPr>
          <w:rFonts w:ascii="Book Antiqua" w:hAnsi="Book Antiqua" w:cs="Arial"/>
          <w:color w:val="000000"/>
          <w:lang w:val="es-ES"/>
        </w:rPr>
        <w:t>accedidos</w:t>
      </w:r>
      <w:r w:rsidR="00DD3B91" w:rsidRPr="00DD3B91">
        <w:rPr>
          <w:rFonts w:ascii="Book Antiqua" w:hAnsi="Book Antiqua" w:cs="Arial"/>
          <w:color w:val="000000"/>
          <w:lang w:val="es-ES"/>
        </w:rPr>
        <w:t xml:space="preserve"> de forma electrónica, brindando mayor agilidad, eficiencia y conveniencia a la ciudadanía. Entre estos avances se encuentra la implementación de licencias de conducir digitales y otros documentos oficiales accesibles mediante plataformas tecnológicas autorizadas por el Gobierno de Puerto Rico.</w:t>
      </w:r>
    </w:p>
    <w:p w14:paraId="46DF1908" w14:textId="77777777" w:rsidR="00DD3B91" w:rsidRP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77D02603" w14:textId="77777777" w:rsid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sidRPr="00DD3B91">
        <w:rPr>
          <w:rFonts w:ascii="Book Antiqua" w:hAnsi="Book Antiqua" w:cs="Arial"/>
          <w:color w:val="000000"/>
          <w:lang w:val="es-ES"/>
        </w:rPr>
        <w:tab/>
        <w:t xml:space="preserve">No obstante, en la práctica comercial diaria persisten inconsistencias y barreras que afectan a los consumidores. Actualmente, múltiples estaciones de gasolina requieren la presentación de una identificación para el despacho de combustible, particularmente cuando el consumidor solicita llenar el tanque previo al pago. Sin embargo, muchas de </w:t>
      </w:r>
      <w:r w:rsidRPr="00DD3B91">
        <w:rPr>
          <w:rFonts w:ascii="Book Antiqua" w:hAnsi="Book Antiqua" w:cs="Arial"/>
          <w:color w:val="000000"/>
          <w:lang w:val="es-ES"/>
        </w:rPr>
        <w:lastRenderedPageBreak/>
        <w:t>estas estaciones exigen exclusivamente la licencia de conducir en formato físico, aun cuando existen mecanismos oficiales de identificación digital válidamente reconocidos por el Estado.</w:t>
      </w:r>
    </w:p>
    <w:p w14:paraId="207808C4" w14:textId="77777777" w:rsidR="0056024C" w:rsidRPr="00DD3B91" w:rsidRDefault="0056024C"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074F46B1" w14:textId="77777777" w:rsidR="00DD3B91" w:rsidRP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sidRPr="00DD3B91">
        <w:rPr>
          <w:rFonts w:ascii="Book Antiqua" w:hAnsi="Book Antiqua" w:cs="Arial"/>
          <w:color w:val="000000"/>
          <w:lang w:val="es-ES"/>
        </w:rPr>
        <w:tab/>
        <w:t>De igual forma, se ha observado una falta de uniformidad en la aceptación de otras identificaciones oficiales emitidas por el Gobierno de Puerto Rico, tales como la tarjeta electoral, las identificaciones de veteranos u otras credenciales gubernamentales válidas. Esta disparidad de criterios provoca confusión, trato desigual y obstáculos innecesarios para los ciudadanos en el acceso a un servicio esencial.</w:t>
      </w:r>
    </w:p>
    <w:p w14:paraId="0757A2AF" w14:textId="77777777" w:rsidR="00DD3B91" w:rsidRP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4808D7C2" w14:textId="77777777" w:rsidR="00DD3B91" w:rsidRP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sidRPr="00DD3B91">
        <w:rPr>
          <w:rFonts w:ascii="Book Antiqua" w:hAnsi="Book Antiqua" w:cs="Arial"/>
          <w:color w:val="000000"/>
          <w:lang w:val="es-ES"/>
        </w:rPr>
        <w:tab/>
        <w:t>Si bien resulta razonable que los comercios adopten medidas de seguridad para proteger sus operaciones y reducir los riesgos de fraude o evasión de pago, dichas medidas deben implementarse de manera uniforme, razonable y acorde con la realidad tecnológica y legal vigente. Resulta necesario armonizar las prácticas comerciales con los avances digitales promovidos por el propio Gobierno de Puerto Rico.</w:t>
      </w:r>
    </w:p>
    <w:p w14:paraId="164A128F" w14:textId="77777777" w:rsidR="00DD3B91" w:rsidRPr="00DD3B91"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5980A97F" w14:textId="32B6ACB3" w:rsidR="00106947"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sidRPr="00DD3B91">
        <w:rPr>
          <w:rFonts w:ascii="Book Antiqua" w:hAnsi="Book Antiqua" w:cs="Arial"/>
          <w:color w:val="000000"/>
          <w:lang w:val="es-ES"/>
        </w:rPr>
        <w:tab/>
        <w:t>Esta Asamblea Legislativa entiende meritorio establecer mediante ley criterios claros y uniformes sobre las identificaciones válidas que podrán requerirse para el despacho de combustible, reconociendo tanto los documentos físicos como las versiones digitales oficiales emitidas o autorizadas por entidades gubernamentales competentes. Asimismo, esta legislación promueve el desarrollo e integración de mecanismos tecnológicos seguros, tales como sistemas de verificación mediante códigos QR u otras herramientas digitales equivalentes, que permitan corroborar la identidad del consumidor sin imponer cargas irrazonables ni limitar el acceso a servicios esenciales.</w:t>
      </w:r>
    </w:p>
    <w:p w14:paraId="74FA9163" w14:textId="77777777" w:rsidR="00DD3B91" w:rsidRPr="005A32E7" w:rsidRDefault="00DD3B91" w:rsidP="00C071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1"/>
          <w:szCs w:val="21"/>
          <w:lang w:val="es-ES"/>
        </w:rPr>
      </w:pPr>
    </w:p>
    <w:p w14:paraId="6C05D764" w14:textId="36609BC5" w:rsidR="00981A6C" w:rsidRDefault="00981A6C" w:rsidP="00C07102">
      <w:pPr>
        <w:jc w:val="both"/>
        <w:rPr>
          <w:rFonts w:ascii="Book Antiqua" w:hAnsi="Book Antiqua"/>
          <w:i/>
          <w:lang w:val="es-PR"/>
        </w:rPr>
      </w:pPr>
      <w:r w:rsidRPr="00C07102">
        <w:rPr>
          <w:rFonts w:ascii="Book Antiqua" w:hAnsi="Book Antiqua"/>
          <w:i/>
          <w:lang w:val="es-PR"/>
        </w:rPr>
        <w:t>DECRÉTASE POR LA ASAMBLEA LEGISLATIVA DE PUERTO RICO:</w:t>
      </w:r>
    </w:p>
    <w:p w14:paraId="5FE5B859" w14:textId="77777777" w:rsidR="00C07102" w:rsidRPr="00C07102" w:rsidRDefault="00C07102" w:rsidP="00C07102">
      <w:pPr>
        <w:jc w:val="both"/>
        <w:rPr>
          <w:rFonts w:ascii="Book Antiqua" w:hAnsi="Book Antiqua"/>
          <w:i/>
          <w:lang w:val="es-PR"/>
        </w:rPr>
      </w:pPr>
    </w:p>
    <w:p w14:paraId="40D0420F" w14:textId="77777777" w:rsidR="00C07102" w:rsidRPr="0039078C" w:rsidRDefault="00C07102" w:rsidP="00C07102">
      <w:pPr>
        <w:jc w:val="both"/>
        <w:rPr>
          <w:rFonts w:ascii="Book Antiqua" w:hAnsi="Book Antiqua"/>
          <w:lang w:val="es-PR"/>
        </w:rPr>
        <w:sectPr w:rsidR="00C07102"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6C065329" w14:textId="77777777" w:rsidR="00DD3B91" w:rsidRDefault="00981A6C" w:rsidP="00C07102">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00DD3B91">
        <w:rPr>
          <w:rFonts w:ascii="Book Antiqua" w:hAnsi="Book Antiqua"/>
          <w:lang w:val="es-PR"/>
        </w:rPr>
        <w:t>Título</w:t>
      </w:r>
    </w:p>
    <w:p w14:paraId="4EDDCE22" w14:textId="5CD7725B" w:rsidR="00525B73" w:rsidRPr="00DD3B91" w:rsidRDefault="00DD3B91" w:rsidP="00C07102">
      <w:pPr>
        <w:spacing w:line="480" w:lineRule="auto"/>
        <w:ind w:firstLine="720"/>
        <w:jc w:val="both"/>
        <w:rPr>
          <w:rFonts w:ascii="Book Antiqua" w:hAnsi="Book Antiqua"/>
          <w:lang w:val="es-PR"/>
        </w:rPr>
      </w:pPr>
      <w:r>
        <w:rPr>
          <w:rFonts w:ascii="Book Antiqua" w:hAnsi="Book Antiqua"/>
          <w:lang w:val="es-PR"/>
        </w:rPr>
        <w:t>Esta Ley se conocerá como la “Ley para la Uniformidad y Modernización de la Identificación Requerida para el Despacho de Combustible en Puerto Rico”.</w:t>
      </w:r>
    </w:p>
    <w:p w14:paraId="620A4E5B" w14:textId="58457244" w:rsidR="00DD3B91" w:rsidRDefault="00A80B42" w:rsidP="00C07102">
      <w:pPr>
        <w:spacing w:line="480" w:lineRule="auto"/>
        <w:ind w:firstLine="720"/>
        <w:jc w:val="both"/>
        <w:rPr>
          <w:rFonts w:ascii="Book Antiqua" w:hAnsi="Book Antiqua"/>
          <w:lang w:val="es-PR"/>
        </w:rPr>
      </w:pPr>
      <w:r>
        <w:rPr>
          <w:rFonts w:ascii="Book Antiqua" w:hAnsi="Book Antiqua"/>
          <w:lang w:val="es-PR"/>
        </w:rPr>
        <w:t>Artículo</w:t>
      </w:r>
      <w:r w:rsidR="00981A6C" w:rsidRPr="0039078C">
        <w:rPr>
          <w:rFonts w:ascii="Book Antiqua" w:hAnsi="Book Antiqua"/>
          <w:lang w:val="es-PR"/>
        </w:rPr>
        <w:t xml:space="preserve"> 2.-</w:t>
      </w:r>
      <w:r>
        <w:rPr>
          <w:rFonts w:ascii="Book Antiqua" w:hAnsi="Book Antiqua"/>
          <w:lang w:val="es-PR"/>
        </w:rPr>
        <w:t xml:space="preserve"> </w:t>
      </w:r>
      <w:r w:rsidR="00DD3B91">
        <w:rPr>
          <w:rFonts w:ascii="Book Antiqua" w:hAnsi="Book Antiqua"/>
          <w:lang w:val="es-PR"/>
        </w:rPr>
        <w:t>Política Pública</w:t>
      </w:r>
    </w:p>
    <w:p w14:paraId="31432AC7" w14:textId="77777777" w:rsidR="00DD3B91" w:rsidRPr="00DD3B91" w:rsidRDefault="00DD3B91" w:rsidP="00C07102">
      <w:pPr>
        <w:spacing w:line="480" w:lineRule="auto"/>
        <w:ind w:firstLine="720"/>
        <w:jc w:val="both"/>
        <w:rPr>
          <w:rFonts w:ascii="Book Antiqua" w:hAnsi="Book Antiqua"/>
          <w:lang w:val="es-PR"/>
        </w:rPr>
      </w:pPr>
      <w:r w:rsidRPr="00DD3B91">
        <w:rPr>
          <w:rFonts w:ascii="Book Antiqua" w:hAnsi="Book Antiqua"/>
          <w:lang w:val="es-PR"/>
        </w:rPr>
        <w:t xml:space="preserve">Será política pública del Gobierno de Puerto Rico garantizar que las prácticas comerciales relacionadas con el despacho de combustible sean uniformes, razonables, tecnológicamente actualizadas y respetuosas de los derechos de los consumidores, </w:t>
      </w:r>
      <w:r w:rsidRPr="00DD3B91">
        <w:rPr>
          <w:rFonts w:ascii="Book Antiqua" w:hAnsi="Book Antiqua"/>
          <w:lang w:val="es-PR"/>
        </w:rPr>
        <w:lastRenderedPageBreak/>
        <w:t>reconociendo la validez de las identificaciones oficiales, tanto físicas como digitales, emitidas por entidades gubernamentales competentes.</w:t>
      </w:r>
    </w:p>
    <w:p w14:paraId="2C57DE23" w14:textId="77777777" w:rsidR="00DD3B91" w:rsidRDefault="000E129B" w:rsidP="00C07102">
      <w:pPr>
        <w:spacing w:line="480" w:lineRule="auto"/>
        <w:ind w:firstLine="720"/>
        <w:jc w:val="both"/>
        <w:rPr>
          <w:rFonts w:ascii="Book Antiqua" w:hAnsi="Book Antiqua"/>
          <w:lang w:val="es-PR"/>
        </w:rPr>
      </w:pPr>
      <w:r>
        <w:rPr>
          <w:rFonts w:ascii="Book Antiqua" w:hAnsi="Book Antiqua"/>
          <w:lang w:val="es-PR"/>
        </w:rPr>
        <w:t>Art</w:t>
      </w:r>
      <w:r w:rsidR="00C02CFA">
        <w:rPr>
          <w:rFonts w:ascii="Book Antiqua" w:hAnsi="Book Antiqua"/>
          <w:lang w:val="es-PR"/>
        </w:rPr>
        <w:t xml:space="preserve">ículo 3. </w:t>
      </w:r>
      <w:r w:rsidR="00DD3B91">
        <w:rPr>
          <w:rFonts w:ascii="Book Antiqua" w:hAnsi="Book Antiqua"/>
          <w:lang w:val="es-PR"/>
        </w:rPr>
        <w:t>–</w:t>
      </w:r>
      <w:r w:rsidR="00C02CFA">
        <w:rPr>
          <w:rFonts w:ascii="Book Antiqua" w:hAnsi="Book Antiqua"/>
          <w:lang w:val="es-PR"/>
        </w:rPr>
        <w:t xml:space="preserve"> </w:t>
      </w:r>
      <w:r w:rsidR="00DD3B91">
        <w:rPr>
          <w:rFonts w:ascii="Book Antiqua" w:hAnsi="Book Antiqua"/>
          <w:lang w:val="es-PR"/>
        </w:rPr>
        <w:t>Toda estación de gasolina, detallista o comercio dedicado al despacho de combustible en Puerto Rico que requiera identificación al consumidor como condición para despachar combustible deberá aceptar cualquier identificación oficial vigente emitida por el Gobierno de Puerto Rico, el Gobierno de los Estados Unidos de América o cualquier jurisdicción estatal o federal reconocida oficialmente. Entre las identificaciones válidas se incluirán, sin limitarse a, las siguientes:</w:t>
      </w:r>
    </w:p>
    <w:p w14:paraId="41F1C24D"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(a) Licencia de conducir, en formato físico o digital, oficialmente reconocida;</w:t>
      </w:r>
    </w:p>
    <w:p w14:paraId="72B7D8CA"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(b) Tarjeta electoral;</w:t>
      </w:r>
    </w:p>
    <w:p w14:paraId="1204AEE7"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(c) Identificación de veterano;</w:t>
      </w:r>
    </w:p>
    <w:p w14:paraId="58B68E96"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(d) Pasaporte;</w:t>
      </w:r>
    </w:p>
    <w:p w14:paraId="6E88F2F2"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(e) Tarjeta de identificación oficial emitida por agencias gubernamentales; y</w:t>
      </w:r>
    </w:p>
    <w:p w14:paraId="16DD21AE" w14:textId="77777777" w:rsidR="00DD3B91" w:rsidRDefault="00DD3B91" w:rsidP="00C07102">
      <w:pPr>
        <w:spacing w:line="480" w:lineRule="auto"/>
        <w:ind w:left="1440" w:hanging="360"/>
        <w:jc w:val="both"/>
        <w:rPr>
          <w:rFonts w:ascii="Book Antiqua" w:hAnsi="Book Antiqua"/>
          <w:lang w:val="es-PR"/>
        </w:rPr>
      </w:pPr>
      <w:r>
        <w:rPr>
          <w:rFonts w:ascii="Book Antiqua" w:hAnsi="Book Antiqua"/>
          <w:lang w:val="es-PR"/>
        </w:rPr>
        <w:t>(f) Cualquier otra identificación oficial vigente, con fotografía, emitida por autoridad gubernamental competente.</w:t>
      </w:r>
    </w:p>
    <w:p w14:paraId="6168A7D7" w14:textId="77777777" w:rsidR="00DD3B91" w:rsidRPr="00DD3B91" w:rsidRDefault="00DD3B91" w:rsidP="00C07102">
      <w:pPr>
        <w:spacing w:line="480" w:lineRule="auto"/>
        <w:ind w:firstLine="720"/>
        <w:jc w:val="both"/>
        <w:rPr>
          <w:rFonts w:ascii="Book Antiqua" w:hAnsi="Book Antiqua"/>
          <w:lang w:val="es-PR"/>
        </w:rPr>
      </w:pPr>
      <w:r w:rsidRPr="00DD3B91">
        <w:rPr>
          <w:rFonts w:ascii="Book Antiqua" w:hAnsi="Book Antiqua"/>
          <w:lang w:val="es-PR"/>
        </w:rPr>
        <w:t>Se reconocerá como válida toda identificación digital emitida, certificada o autorizada oficialmente por el Gobierno de Puerto Rico o cualquier entidad gubernamental competente, incluyendo aquellas disponibles mediante aplicaciones oficiales del Gobierno. Ningún comercio podrá rechazar automáticamente una identificación digital válida únicamente por no presentarse en formato físico.</w:t>
      </w:r>
    </w:p>
    <w:p w14:paraId="5AEBA84C" w14:textId="77777777" w:rsidR="00DD3B91" w:rsidRDefault="00DD3B91" w:rsidP="00C07102">
      <w:pPr>
        <w:spacing w:line="480" w:lineRule="auto"/>
        <w:ind w:firstLine="720"/>
        <w:jc w:val="both"/>
        <w:rPr>
          <w:rFonts w:ascii="Book Antiqua" w:hAnsi="Book Antiqua"/>
          <w:lang w:val="es-PR"/>
        </w:rPr>
      </w:pPr>
      <w:r>
        <w:rPr>
          <w:rFonts w:ascii="Book Antiqua" w:hAnsi="Book Antiqua"/>
          <w:lang w:val="es-PR"/>
        </w:rPr>
        <w:t xml:space="preserve">El Departamento de Transportación y Obras Públicas (DTOP), en coordinación con el Departamento de Asuntos del Consumidor (DACO) y otras entidades pertinentes, </w:t>
      </w:r>
      <w:r>
        <w:rPr>
          <w:rFonts w:ascii="Book Antiqua" w:hAnsi="Book Antiqua"/>
          <w:lang w:val="es-PR"/>
        </w:rPr>
        <w:lastRenderedPageBreak/>
        <w:t>podrá desarrollar o autorizar mecanismos tecnológicos de verificación de identidad, incluyendo sistemas digitales mediante códigos QR u otras herramientas seguras y equivalentes, que permitan a los comercios corroborar la autenticidad de la identificación presentada, garantizando en todo momento la protección de la información personal de los consumidores conforme a las leyes y reglamentos aplicables sobre privacidad y manejo de datos.</w:t>
      </w:r>
    </w:p>
    <w:p w14:paraId="612CD75C" w14:textId="77777777" w:rsidR="00DD3B91" w:rsidRDefault="00DD3B91" w:rsidP="00C07102">
      <w:pPr>
        <w:spacing w:line="480" w:lineRule="auto"/>
        <w:ind w:firstLine="720"/>
        <w:jc w:val="both"/>
        <w:rPr>
          <w:rFonts w:ascii="Book Antiqua" w:hAnsi="Book Antiqua"/>
          <w:lang w:val="es-PR"/>
        </w:rPr>
      </w:pPr>
      <w:r>
        <w:rPr>
          <w:rFonts w:ascii="Book Antiqua" w:hAnsi="Book Antiqua"/>
          <w:lang w:val="es-PR"/>
        </w:rPr>
        <w:t>Artículo 4. –  Ninguna estación de gasolina, detallista o comercio dedicado al despacho de combustible podrá imponer requisitos arbitrarios, inconsistentes o discriminatorios respecto a las identificaciones aceptadas para el despacho de combustible. Toda política o práctica relacionada con la verificación de identidad deberá aplicarse de manera uniforme a todos los consumidores, sin distinción por razón de raza, color, sexo, edad, origen nacional, condición social, ideología política o religiosa, orientación sexual, identidad de género, condición de veterano o discapacidad.</w:t>
      </w:r>
    </w:p>
    <w:p w14:paraId="04BBADBE" w14:textId="2E384416" w:rsidR="000E129B" w:rsidRDefault="00DD3B91" w:rsidP="00C07102">
      <w:pPr>
        <w:spacing w:line="480" w:lineRule="auto"/>
        <w:ind w:firstLine="720"/>
        <w:jc w:val="both"/>
        <w:rPr>
          <w:rFonts w:ascii="Book Antiqua" w:hAnsi="Book Antiqua"/>
          <w:lang w:val="es-PR"/>
        </w:rPr>
      </w:pPr>
      <w:r>
        <w:rPr>
          <w:rFonts w:ascii="Book Antiqua" w:hAnsi="Book Antiqua"/>
          <w:lang w:val="es-PR"/>
        </w:rPr>
        <w:t>Artículo 5. – Reglamentación</w:t>
      </w:r>
    </w:p>
    <w:p w14:paraId="6BEDCA2F" w14:textId="77777777" w:rsidR="00DD3B91" w:rsidRDefault="00DD3B91" w:rsidP="00C07102">
      <w:pPr>
        <w:spacing w:line="480" w:lineRule="auto"/>
        <w:ind w:firstLine="720"/>
        <w:jc w:val="both"/>
        <w:rPr>
          <w:rFonts w:ascii="Book Antiqua" w:hAnsi="Book Antiqua"/>
          <w:lang w:val="es-PR"/>
        </w:rPr>
      </w:pPr>
      <w:r>
        <w:rPr>
          <w:rFonts w:ascii="Book Antiqua" w:hAnsi="Book Antiqua"/>
          <w:lang w:val="es-PR"/>
        </w:rPr>
        <w:t>El Departamento de Asuntos del Consumidor (DACO), en coordinación con el Departamento de Transportación y Obras Públicas (DTOP), adoptará la reglamentación necesaria para la implementación de las disposiciones de esta Ley dentro de un término no mayor de ciento veinte (120) días, contados a partir de la fecha de aprobación de la misma.</w:t>
      </w:r>
    </w:p>
    <w:p w14:paraId="1F6CA782" w14:textId="44018A11" w:rsidR="00DD3B91" w:rsidRDefault="00DD3B91" w:rsidP="00C07102">
      <w:pPr>
        <w:spacing w:line="480" w:lineRule="auto"/>
        <w:ind w:firstLine="720"/>
        <w:jc w:val="both"/>
        <w:rPr>
          <w:rFonts w:ascii="Book Antiqua" w:hAnsi="Book Antiqua"/>
          <w:lang w:val="es-PR"/>
        </w:rPr>
      </w:pPr>
      <w:r>
        <w:rPr>
          <w:rFonts w:ascii="Book Antiqua" w:hAnsi="Book Antiqua"/>
          <w:lang w:val="es-PR"/>
        </w:rPr>
        <w:t>Artículo 6. – Penalidades</w:t>
      </w:r>
    </w:p>
    <w:p w14:paraId="3D518F53" w14:textId="77777777" w:rsidR="00DD3B91" w:rsidRDefault="00DD3B91" w:rsidP="00C07102">
      <w:pPr>
        <w:spacing w:line="480" w:lineRule="auto"/>
        <w:ind w:firstLine="720"/>
        <w:jc w:val="both"/>
        <w:rPr>
          <w:rFonts w:ascii="Book Antiqua" w:hAnsi="Book Antiqua"/>
          <w:lang w:val="es-PR"/>
        </w:rPr>
      </w:pPr>
      <w:r>
        <w:rPr>
          <w:rFonts w:ascii="Book Antiqua" w:hAnsi="Book Antiqua"/>
          <w:lang w:val="es-PR"/>
        </w:rPr>
        <w:t xml:space="preserve">Cualquier estación de gasolina, detallista o comercio que incumpla con las disposiciones de esta Ley estará sujeto a las multas administrativas y sanciones que </w:t>
      </w:r>
      <w:r>
        <w:rPr>
          <w:rFonts w:ascii="Book Antiqua" w:hAnsi="Book Antiqua"/>
          <w:lang w:val="es-PR"/>
        </w:rPr>
        <w:lastRenderedPageBreak/>
        <w:t>establezca el Departamento de Asuntos del Consumidor (DACO) mediante reglamento, conforme a las facultades que le confiere su Ley Orgánica y la Ley Núm. 38-2017, según enmendada, conocida como “Ley de Procedimiento Administrativo Uniforme del Gobierno de Puerto Rico”.</w:t>
      </w:r>
    </w:p>
    <w:p w14:paraId="0D283B63" w14:textId="6D969D9E" w:rsidR="00DD3B91" w:rsidRDefault="00DD3B91" w:rsidP="00C07102">
      <w:pPr>
        <w:spacing w:line="480" w:lineRule="auto"/>
        <w:ind w:firstLine="720"/>
        <w:jc w:val="both"/>
        <w:rPr>
          <w:rFonts w:ascii="Book Antiqua" w:hAnsi="Book Antiqua"/>
          <w:lang w:val="es-PR"/>
        </w:rPr>
      </w:pPr>
      <w:r>
        <w:rPr>
          <w:rFonts w:ascii="Book Antiqua" w:hAnsi="Book Antiqua"/>
          <w:lang w:val="es-PR"/>
        </w:rPr>
        <w:t>Artículo 7. – Cláusula Separabilidad</w:t>
      </w:r>
    </w:p>
    <w:p w14:paraId="5650EB34" w14:textId="56E12E7D" w:rsidR="00C02CFA" w:rsidRPr="000E129B" w:rsidRDefault="00C02CFA" w:rsidP="00C07102">
      <w:pPr>
        <w:spacing w:line="480" w:lineRule="auto"/>
        <w:ind w:firstLine="720"/>
        <w:jc w:val="both"/>
        <w:rPr>
          <w:rFonts w:ascii="Book Antiqua" w:hAnsi="Book Antiqua"/>
          <w:lang w:val="es-PR"/>
        </w:rPr>
      </w:pPr>
      <w:r>
        <w:rPr>
          <w:rFonts w:ascii="Book Antiqua" w:hAnsi="Book Antiqua"/>
          <w:lang w:val="es-PR"/>
        </w:rPr>
        <w:t>Si cualquier artículo, inciso, parte, párrafo o cláusula de esta Ley o su aplicación a cualquier persona,</w:t>
      </w:r>
      <w:r w:rsidR="00297425">
        <w:rPr>
          <w:rFonts w:ascii="Book Antiqua" w:hAnsi="Book Antiqua"/>
          <w:lang w:val="es-PR"/>
        </w:rPr>
        <w:t xml:space="preserve"> </w:t>
      </w:r>
      <w:r>
        <w:rPr>
          <w:rFonts w:ascii="Book Antiqua" w:hAnsi="Book Antiqua"/>
          <w:lang w:val="es-PR"/>
        </w:rPr>
        <w:t xml:space="preserve">o circunstancia, fuera declarada inconstitucional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0CFF6391" w:rsidR="00C02CFA" w:rsidRDefault="00981A6C" w:rsidP="00C07102">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w:t>
      </w:r>
      <w:r w:rsidR="00DD3B91">
        <w:rPr>
          <w:rFonts w:ascii="Book Antiqua" w:hAnsi="Book Antiqua"/>
          <w:lang w:val="es-PR"/>
        </w:rPr>
        <w:t>8</w:t>
      </w:r>
      <w:r w:rsidRPr="0039078C">
        <w:rPr>
          <w:rFonts w:ascii="Book Antiqua" w:hAnsi="Book Antiqua"/>
          <w:lang w:val="es-PR"/>
        </w:rPr>
        <w:t>.-</w:t>
      </w:r>
      <w:r w:rsidR="00F52086">
        <w:rPr>
          <w:rFonts w:ascii="Book Antiqua" w:hAnsi="Book Antiqua"/>
          <w:lang w:val="es-PR"/>
        </w:rPr>
        <w:t xml:space="preserve"> </w:t>
      </w:r>
      <w:r w:rsidR="00C02CFA">
        <w:rPr>
          <w:rFonts w:ascii="Book Antiqua" w:hAnsi="Book Antiqua"/>
          <w:lang w:val="es-PR"/>
        </w:rPr>
        <w:t>Vigencia</w:t>
      </w:r>
    </w:p>
    <w:p w14:paraId="333BD2E7" w14:textId="24AD1648" w:rsidR="00362E50" w:rsidRPr="0039078C" w:rsidRDefault="00981A6C" w:rsidP="00C07102">
      <w:pPr>
        <w:spacing w:line="480" w:lineRule="auto"/>
        <w:ind w:firstLine="720"/>
        <w:jc w:val="both"/>
        <w:rPr>
          <w:rFonts w:ascii="Book Antiqua" w:hAnsi="Book Antiqua"/>
          <w:lang w:val="es-PR"/>
        </w:rPr>
      </w:pPr>
      <w:r w:rsidRPr="0039078C">
        <w:rPr>
          <w:rFonts w:ascii="Book Antiqua" w:hAnsi="Book Antiqua"/>
          <w:lang w:val="es-PR"/>
        </w:rPr>
        <w:t xml:space="preserve">Esta Ley comenzará a regir </w:t>
      </w:r>
      <w:r w:rsidR="00C02CFA">
        <w:rPr>
          <w:rFonts w:ascii="Book Antiqua" w:hAnsi="Book Antiqua"/>
          <w:lang w:val="es-PR"/>
        </w:rPr>
        <w:t xml:space="preserve">inmediatamente luego </w:t>
      </w:r>
      <w:r w:rsidRPr="0039078C">
        <w:rPr>
          <w:rFonts w:ascii="Book Antiqua" w:hAnsi="Book Antiqua"/>
          <w:lang w:val="es-PR"/>
        </w:rPr>
        <w:t>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1417B" w14:textId="77777777" w:rsidR="00D97EFF" w:rsidRDefault="00D97EFF">
      <w:r>
        <w:separator/>
      </w:r>
    </w:p>
  </w:endnote>
  <w:endnote w:type="continuationSeparator" w:id="0">
    <w:p w14:paraId="4BD33CE6" w14:textId="77777777" w:rsidR="00D97EFF" w:rsidRDefault="00D9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3FC1F" w14:textId="77777777" w:rsidR="00D97EFF" w:rsidRDefault="00D97EFF">
      <w:r>
        <w:separator/>
      </w:r>
    </w:p>
  </w:footnote>
  <w:footnote w:type="continuationSeparator" w:id="0">
    <w:p w14:paraId="62ABB726" w14:textId="77777777" w:rsidR="00D97EFF" w:rsidRDefault="00D97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3F97A5E" w14:textId="77777777" w:rsidR="000413FF" w:rsidRDefault="0004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4223E0D2" w14:textId="77777777" w:rsidR="000413FF" w:rsidRDefault="0004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5"/>
  </w:num>
  <w:num w:numId="2" w16cid:durableId="409888006">
    <w:abstractNumId w:val="0"/>
  </w:num>
  <w:num w:numId="3" w16cid:durableId="1468355395">
    <w:abstractNumId w:val="2"/>
  </w:num>
  <w:num w:numId="4" w16cid:durableId="806125417">
    <w:abstractNumId w:val="1"/>
  </w:num>
  <w:num w:numId="5" w16cid:durableId="1430537998">
    <w:abstractNumId w:val="4"/>
  </w:num>
  <w:num w:numId="6" w16cid:durableId="159783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40935"/>
    <w:rsid w:val="000413FF"/>
    <w:rsid w:val="00077079"/>
    <w:rsid w:val="00085468"/>
    <w:rsid w:val="000C06C5"/>
    <w:rsid w:val="000D1987"/>
    <w:rsid w:val="000D1C78"/>
    <w:rsid w:val="000D2584"/>
    <w:rsid w:val="000E129B"/>
    <w:rsid w:val="000F7171"/>
    <w:rsid w:val="00104844"/>
    <w:rsid w:val="00106947"/>
    <w:rsid w:val="001106C1"/>
    <w:rsid w:val="00153B62"/>
    <w:rsid w:val="0018397A"/>
    <w:rsid w:val="001C4D9D"/>
    <w:rsid w:val="001D21D0"/>
    <w:rsid w:val="001D35AA"/>
    <w:rsid w:val="001D416A"/>
    <w:rsid w:val="001E0EA2"/>
    <w:rsid w:val="0021009B"/>
    <w:rsid w:val="0021669F"/>
    <w:rsid w:val="00233B98"/>
    <w:rsid w:val="002809D4"/>
    <w:rsid w:val="002820D1"/>
    <w:rsid w:val="00297425"/>
    <w:rsid w:val="002B647F"/>
    <w:rsid w:val="002D506A"/>
    <w:rsid w:val="00333873"/>
    <w:rsid w:val="00362E50"/>
    <w:rsid w:val="0038737D"/>
    <w:rsid w:val="0039078C"/>
    <w:rsid w:val="00395699"/>
    <w:rsid w:val="003A24C5"/>
    <w:rsid w:val="003F021E"/>
    <w:rsid w:val="00422976"/>
    <w:rsid w:val="00425802"/>
    <w:rsid w:val="00431BE6"/>
    <w:rsid w:val="0044487C"/>
    <w:rsid w:val="0044722A"/>
    <w:rsid w:val="00452340"/>
    <w:rsid w:val="004569CE"/>
    <w:rsid w:val="00463314"/>
    <w:rsid w:val="004660D8"/>
    <w:rsid w:val="00490254"/>
    <w:rsid w:val="00497359"/>
    <w:rsid w:val="004B32D1"/>
    <w:rsid w:val="004F4059"/>
    <w:rsid w:val="00525B73"/>
    <w:rsid w:val="00555FE2"/>
    <w:rsid w:val="0056024C"/>
    <w:rsid w:val="00595CDB"/>
    <w:rsid w:val="005A32E7"/>
    <w:rsid w:val="005A332F"/>
    <w:rsid w:val="005A7EC2"/>
    <w:rsid w:val="005B2941"/>
    <w:rsid w:val="005B3024"/>
    <w:rsid w:val="005B3F50"/>
    <w:rsid w:val="005B4464"/>
    <w:rsid w:val="005D05FD"/>
    <w:rsid w:val="00611908"/>
    <w:rsid w:val="0061306B"/>
    <w:rsid w:val="00624898"/>
    <w:rsid w:val="0063436A"/>
    <w:rsid w:val="00647C94"/>
    <w:rsid w:val="0065033D"/>
    <w:rsid w:val="006C2C28"/>
    <w:rsid w:val="006D49BB"/>
    <w:rsid w:val="006E4CB7"/>
    <w:rsid w:val="0072251F"/>
    <w:rsid w:val="007231DD"/>
    <w:rsid w:val="00755FF3"/>
    <w:rsid w:val="00760DE4"/>
    <w:rsid w:val="00771C3A"/>
    <w:rsid w:val="007753B8"/>
    <w:rsid w:val="007810F9"/>
    <w:rsid w:val="00791157"/>
    <w:rsid w:val="007A72E7"/>
    <w:rsid w:val="007A7B42"/>
    <w:rsid w:val="007E6C24"/>
    <w:rsid w:val="007F68BB"/>
    <w:rsid w:val="0080441C"/>
    <w:rsid w:val="00806AEC"/>
    <w:rsid w:val="008141CD"/>
    <w:rsid w:val="00836F2F"/>
    <w:rsid w:val="00866CBE"/>
    <w:rsid w:val="00870974"/>
    <w:rsid w:val="00871FD0"/>
    <w:rsid w:val="00873753"/>
    <w:rsid w:val="00874963"/>
    <w:rsid w:val="00884111"/>
    <w:rsid w:val="008B3490"/>
    <w:rsid w:val="008C417D"/>
    <w:rsid w:val="00924D40"/>
    <w:rsid w:val="00951028"/>
    <w:rsid w:val="009641C2"/>
    <w:rsid w:val="00976057"/>
    <w:rsid w:val="00981A6C"/>
    <w:rsid w:val="009B00B4"/>
    <w:rsid w:val="009B1F2D"/>
    <w:rsid w:val="009C3522"/>
    <w:rsid w:val="009E57BE"/>
    <w:rsid w:val="00A02A5B"/>
    <w:rsid w:val="00A13084"/>
    <w:rsid w:val="00A271BD"/>
    <w:rsid w:val="00A57C7A"/>
    <w:rsid w:val="00A60AEC"/>
    <w:rsid w:val="00A726DB"/>
    <w:rsid w:val="00A765C7"/>
    <w:rsid w:val="00A80B42"/>
    <w:rsid w:val="00AB0700"/>
    <w:rsid w:val="00AC349C"/>
    <w:rsid w:val="00AD5A04"/>
    <w:rsid w:val="00AF2A7D"/>
    <w:rsid w:val="00B15244"/>
    <w:rsid w:val="00B50044"/>
    <w:rsid w:val="00B62B0E"/>
    <w:rsid w:val="00B6432A"/>
    <w:rsid w:val="00BD3A65"/>
    <w:rsid w:val="00BE71BA"/>
    <w:rsid w:val="00C02CFA"/>
    <w:rsid w:val="00C0488D"/>
    <w:rsid w:val="00C07102"/>
    <w:rsid w:val="00C33C1E"/>
    <w:rsid w:val="00C37D58"/>
    <w:rsid w:val="00C471B3"/>
    <w:rsid w:val="00C54130"/>
    <w:rsid w:val="00C62677"/>
    <w:rsid w:val="00C7044A"/>
    <w:rsid w:val="00C735FB"/>
    <w:rsid w:val="00CC7FAB"/>
    <w:rsid w:val="00CD4CCF"/>
    <w:rsid w:val="00D01647"/>
    <w:rsid w:val="00D043B9"/>
    <w:rsid w:val="00D16E5E"/>
    <w:rsid w:val="00D26555"/>
    <w:rsid w:val="00D43876"/>
    <w:rsid w:val="00D46938"/>
    <w:rsid w:val="00D634B1"/>
    <w:rsid w:val="00D7743D"/>
    <w:rsid w:val="00D97EFF"/>
    <w:rsid w:val="00DB09A8"/>
    <w:rsid w:val="00DD3B91"/>
    <w:rsid w:val="00DD593E"/>
    <w:rsid w:val="00DD7A7B"/>
    <w:rsid w:val="00DE7208"/>
    <w:rsid w:val="00DF52AD"/>
    <w:rsid w:val="00E02D14"/>
    <w:rsid w:val="00E31B6F"/>
    <w:rsid w:val="00E419D7"/>
    <w:rsid w:val="00E46443"/>
    <w:rsid w:val="00E93A15"/>
    <w:rsid w:val="00E950DA"/>
    <w:rsid w:val="00EB5A64"/>
    <w:rsid w:val="00ED264A"/>
    <w:rsid w:val="00F03264"/>
    <w:rsid w:val="00F1285A"/>
    <w:rsid w:val="00F2473E"/>
    <w:rsid w:val="00F30B5F"/>
    <w:rsid w:val="00F51464"/>
    <w:rsid w:val="00F52086"/>
    <w:rsid w:val="00F606DD"/>
    <w:rsid w:val="00F637F2"/>
    <w:rsid w:val="00F758C8"/>
    <w:rsid w:val="00F93580"/>
    <w:rsid w:val="00FA0033"/>
    <w:rsid w:val="00FA4180"/>
    <w:rsid w:val="00FD5850"/>
    <w:rsid w:val="00FE1555"/>
    <w:rsid w:val="00FE3031"/>
    <w:rsid w:val="00FE437F"/>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981A6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981A6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981A6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981A6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981A6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981A6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981A6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A6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A6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981A6C"/>
    <w:pPr>
      <w:spacing w:before="160"/>
      <w:jc w:val="center"/>
    </w:pPr>
    <w:rPr>
      <w:i/>
      <w:iCs/>
      <w:color w:val="404040" w:themeColor="text1" w:themeTint="BF"/>
    </w:rPr>
  </w:style>
  <w:style w:type="character" w:customStyle="1" w:styleId="CitaCar">
    <w:name w:val="Cita Car"/>
    <w:basedOn w:val="Fuentedeprrafopredeter"/>
    <w:link w:val="Cita"/>
    <w:uiPriority w:val="29"/>
    <w:rsid w:val="00981A6C"/>
    <w:rPr>
      <w:i/>
      <w:iCs/>
      <w:color w:val="404040" w:themeColor="text1" w:themeTint="BF"/>
      <w:lang w:val="es-PR"/>
    </w:rPr>
  </w:style>
  <w:style w:type="paragraph" w:styleId="Prrafodelista">
    <w:name w:val="List Paragraph"/>
    <w:basedOn w:val="Normal"/>
    <w:uiPriority w:val="34"/>
    <w:qFormat/>
    <w:rsid w:val="00981A6C"/>
    <w:pPr>
      <w:ind w:left="720"/>
      <w:contextualSpacing/>
    </w:pPr>
  </w:style>
  <w:style w:type="character" w:styleId="nfasisintenso">
    <w:name w:val="Intense Emphasis"/>
    <w:basedOn w:val="Fuentedeprrafopredeter"/>
    <w:uiPriority w:val="21"/>
    <w:qFormat/>
    <w:rsid w:val="00981A6C"/>
    <w:rPr>
      <w:i/>
      <w:iCs/>
      <w:color w:val="0F4761" w:themeColor="accent1" w:themeShade="BF"/>
    </w:rPr>
  </w:style>
  <w:style w:type="paragraph" w:styleId="Citadestacada">
    <w:name w:val="Intense Quote"/>
    <w:basedOn w:val="Normal"/>
    <w:next w:val="Normal"/>
    <w:link w:val="CitadestacadaC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A6C"/>
    <w:rPr>
      <w:i/>
      <w:iCs/>
      <w:color w:val="0F4761" w:themeColor="accent1" w:themeShade="BF"/>
      <w:lang w:val="es-PR"/>
    </w:rPr>
  </w:style>
  <w:style w:type="character" w:styleId="Referenciaintensa">
    <w:name w:val="Intense Reference"/>
    <w:basedOn w:val="Fuentedeprrafopredeter"/>
    <w:uiPriority w:val="32"/>
    <w:qFormat/>
    <w:rsid w:val="00981A6C"/>
    <w:rPr>
      <w:b/>
      <w:bCs/>
      <w:smallCaps/>
      <w:color w:val="0F4761" w:themeColor="accent1" w:themeShade="BF"/>
      <w:spacing w:val="5"/>
    </w:rPr>
  </w:style>
  <w:style w:type="paragraph" w:styleId="Textodebloque">
    <w:name w:val="Block Text"/>
    <w:basedOn w:val="Normal"/>
    <w:rsid w:val="00981A6C"/>
    <w:pPr>
      <w:ind w:left="2160" w:right="1440" w:hanging="720"/>
      <w:jc w:val="both"/>
    </w:pPr>
    <w:rPr>
      <w:sz w:val="28"/>
      <w:lang w:val="es-PR"/>
    </w:rPr>
  </w:style>
  <w:style w:type="paragraph" w:styleId="Sangradetextonormal">
    <w:name w:val="Body Text Indent"/>
    <w:basedOn w:val="Normal"/>
    <w:link w:val="SangradetextonormalCar"/>
    <w:rsid w:val="00981A6C"/>
    <w:pPr>
      <w:spacing w:line="480" w:lineRule="auto"/>
      <w:ind w:firstLine="720"/>
      <w:jc w:val="both"/>
    </w:pPr>
    <w:rPr>
      <w:sz w:val="28"/>
      <w:lang w:val="es-PR"/>
    </w:rPr>
  </w:style>
  <w:style w:type="character" w:customStyle="1" w:styleId="SangradetextonormalCar">
    <w:name w:val="Sangría de texto normal Car"/>
    <w:basedOn w:val="Fuentedeprrafopredeter"/>
    <w:link w:val="Sangradetextonormal"/>
    <w:rsid w:val="00981A6C"/>
    <w:rPr>
      <w:rFonts w:ascii="Times New Roman" w:eastAsia="Times New Roman" w:hAnsi="Times New Roman" w:cs="Times New Roman"/>
      <w:kern w:val="0"/>
      <w:sz w:val="28"/>
      <w:lang w:val="es-PR"/>
      <w14:ligatures w14:val="none"/>
    </w:rPr>
  </w:style>
  <w:style w:type="paragraph" w:styleId="Sangra2detindependiente">
    <w:name w:val="Body Text Indent 2"/>
    <w:basedOn w:val="Normal"/>
    <w:link w:val="Sangra2detindependienteCar"/>
    <w:rsid w:val="00981A6C"/>
    <w:pPr>
      <w:spacing w:line="480" w:lineRule="auto"/>
      <w:ind w:firstLine="720"/>
      <w:jc w:val="both"/>
    </w:pPr>
    <w:rPr>
      <w:i/>
      <w:iCs/>
      <w:sz w:val="28"/>
      <w:lang w:val="es-PR"/>
    </w:rPr>
  </w:style>
  <w:style w:type="character" w:customStyle="1" w:styleId="Sangra2detindependienteCar">
    <w:name w:val="Sangría 2 de t. independiente Car"/>
    <w:basedOn w:val="Fuentedeprrafopredeter"/>
    <w:link w:val="Sangra2detindependiente"/>
    <w:rsid w:val="00981A6C"/>
    <w:rPr>
      <w:rFonts w:ascii="Times New Roman" w:eastAsia="Times New Roman" w:hAnsi="Times New Roman" w:cs="Times New Roman"/>
      <w:i/>
      <w:iCs/>
      <w:kern w:val="0"/>
      <w:sz w:val="28"/>
      <w:lang w:val="es-PR"/>
      <w14:ligatures w14:val="none"/>
    </w:rPr>
  </w:style>
  <w:style w:type="character" w:styleId="Nmerodepgina">
    <w:name w:val="page number"/>
    <w:basedOn w:val="Fuentedeprrafopredeter"/>
    <w:rsid w:val="00981A6C"/>
  </w:style>
  <w:style w:type="paragraph" w:styleId="Encabezado">
    <w:name w:val="header"/>
    <w:basedOn w:val="Normal"/>
    <w:link w:val="EncabezadoCar"/>
    <w:rsid w:val="00981A6C"/>
    <w:pPr>
      <w:tabs>
        <w:tab w:val="center" w:pos="4320"/>
        <w:tab w:val="right" w:pos="8640"/>
      </w:tabs>
    </w:pPr>
  </w:style>
  <w:style w:type="character" w:customStyle="1" w:styleId="EncabezadoCar">
    <w:name w:val="Encabezado Car"/>
    <w:basedOn w:val="Fuentedeprrafopredeter"/>
    <w:link w:val="Encabezado"/>
    <w:rsid w:val="00981A6C"/>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Fuerte">
    <w:name w:val="Strong"/>
    <w:basedOn w:val="Fuentedeprrafopredeter"/>
    <w:uiPriority w:val="22"/>
    <w:qFormat/>
    <w:rsid w:val="00425802"/>
    <w:rPr>
      <w:b/>
      <w:bCs/>
    </w:rPr>
  </w:style>
  <w:style w:type="paragraph" w:styleId="Textonotaalfinal">
    <w:name w:val="endnote text"/>
    <w:basedOn w:val="Normal"/>
    <w:link w:val="TextonotaalfinalCar"/>
    <w:uiPriority w:val="99"/>
    <w:semiHidden/>
    <w:unhideWhenUsed/>
    <w:rsid w:val="009B00B4"/>
    <w:rPr>
      <w:sz w:val="20"/>
      <w:szCs w:val="20"/>
    </w:rPr>
  </w:style>
  <w:style w:type="character" w:customStyle="1" w:styleId="TextonotaalfinalCar">
    <w:name w:val="Texto nota al final Car"/>
    <w:basedOn w:val="Fuentedeprrafopredeter"/>
    <w:link w:val="Textonotaalfinal"/>
    <w:uiPriority w:val="99"/>
    <w:semiHidden/>
    <w:rsid w:val="009B00B4"/>
    <w:rPr>
      <w:rFonts w:ascii="Times New Roman" w:eastAsia="Times New Roman" w:hAnsi="Times New Roman" w:cs="Times New Roman"/>
      <w:kern w:val="0"/>
      <w:sz w:val="20"/>
      <w:szCs w:val="20"/>
      <w14:ligatures w14:val="none"/>
    </w:rPr>
  </w:style>
  <w:style w:type="character" w:styleId="Refdenotaalfinal">
    <w:name w:val="endnote reference"/>
    <w:basedOn w:val="Fuentedeprrafopredeter"/>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Rocío Alayón Morell</cp:lastModifiedBy>
  <cp:revision>3</cp:revision>
  <cp:lastPrinted>2025-02-20T14:03:00Z</cp:lastPrinted>
  <dcterms:created xsi:type="dcterms:W3CDTF">2026-05-04T16:57:00Z</dcterms:created>
  <dcterms:modified xsi:type="dcterms:W3CDTF">2026-05-05T16:54:00Z</dcterms:modified>
</cp:coreProperties>
</file>