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10AAC3B1" w:rsidR="00DF7D86" w:rsidRPr="006B6B87" w:rsidRDefault="0038510E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  <w:tab/>
      </w:r>
      <w:r w:rsidR="00B45797"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>GOBIERNO</w:t>
      </w:r>
      <w:r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 xml:space="preserve"> DE PUERTO RICO</w:t>
      </w:r>
    </w:p>
    <w:p w14:paraId="02A4AC1D" w14:textId="77777777" w:rsidR="00DF7D86" w:rsidRPr="001711E6" w:rsidRDefault="00DF7D86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</w:pPr>
    </w:p>
    <w:p w14:paraId="026B7A4E" w14:textId="08C3F4BE" w:rsidR="00DF7D86" w:rsidRPr="001711E6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20</w:t>
      </w:r>
      <w:r w:rsidR="009D773E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m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9D773E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.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E31E22">
        <w:rPr>
          <w:rFonts w:ascii="Book Antiqua" w:eastAsia="Book Antiqua" w:hAnsi="Book Antiqua" w:cs="Book Antiqua"/>
          <w:color w:val="000000" w:themeColor="text1"/>
          <w:lang w:val="es-PR"/>
        </w:rPr>
        <w:t>3</w:t>
      </w:r>
      <w:r w:rsidR="009D773E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r</w:t>
      </w:r>
      <w:r w:rsidR="00E31E22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9D773E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.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Sesión</w:t>
      </w:r>
    </w:p>
    <w:p w14:paraId="703FA46E" w14:textId="77777777" w:rsidR="00DF7D86" w:rsidRPr="001711E6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5493F33C" w14:textId="77777777" w:rsidR="00DF7D86" w:rsidRPr="001711E6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36"/>
          <w:szCs w:val="36"/>
          <w:lang w:val="es-PR"/>
        </w:rPr>
      </w:pPr>
    </w:p>
    <w:p w14:paraId="4AE730EB" w14:textId="77777777" w:rsidR="00DF7D86" w:rsidRPr="00251481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  <w:t>CÁMARA DE REPRESENTANTES</w:t>
      </w:r>
    </w:p>
    <w:p w14:paraId="224C8555" w14:textId="2748049B" w:rsidR="00DF7D86" w:rsidRPr="001711E6" w:rsidRDefault="00611979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</w:pPr>
      <w:r w:rsidRPr="001711E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 xml:space="preserve">P. </w:t>
      </w:r>
      <w:r w:rsidR="009D773E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de la C</w:t>
      </w:r>
      <w:r w:rsidRPr="001711E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 xml:space="preserve">. </w:t>
      </w:r>
      <w:r w:rsidR="009D773E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1253</w:t>
      </w:r>
    </w:p>
    <w:p w14:paraId="6CA3DF2C" w14:textId="77777777" w:rsidR="00DF7D86" w:rsidRPr="00E31E22" w:rsidRDefault="0038510E" w:rsidP="00FC1C6B">
      <w:pPr>
        <w:spacing w:after="160" w:line="360" w:lineRule="auto"/>
        <w:jc w:val="center"/>
        <w:rPr>
          <w:rFonts w:ascii="Book Antiqua" w:eastAsia="Book Antiqua" w:hAnsi="Book Antiqua" w:cs="Book Antiqua"/>
          <w:bCs/>
          <w:color w:val="000000" w:themeColor="text1"/>
          <w:spacing w:val="12"/>
          <w:sz w:val="28"/>
          <w:szCs w:val="28"/>
          <w:lang w:val="es-PR"/>
        </w:rPr>
      </w:pPr>
      <w:r w:rsidRPr="00E31E22">
        <w:rPr>
          <w:rFonts w:ascii="Book Antiqua" w:eastAsia="Book Antiqua" w:hAnsi="Book Antiqua" w:cs="Book Antiqua"/>
          <w:bCs/>
          <w:color w:val="000000" w:themeColor="text1"/>
          <w:spacing w:val="12"/>
          <w:sz w:val="28"/>
          <w:szCs w:val="28"/>
          <w:lang w:val="es-PR"/>
        </w:rPr>
        <w:t>INFORME POSITIVO</w:t>
      </w:r>
    </w:p>
    <w:p w14:paraId="65B59E42" w14:textId="45B61467" w:rsidR="00DF7D86" w:rsidRDefault="00D165A4" w:rsidP="00FC1C6B">
      <w:pPr>
        <w:spacing w:after="160" w:line="360" w:lineRule="auto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25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9D773E">
        <w:rPr>
          <w:rFonts w:ascii="Book Antiqua" w:eastAsia="Book Antiqua" w:hAnsi="Book Antiqua" w:cs="Book Antiqua"/>
          <w:color w:val="000000" w:themeColor="text1"/>
          <w:lang w:val="es-PR"/>
        </w:rPr>
        <w:t>junio</w:t>
      </w:r>
      <w:r w:rsidR="007E7C7C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>de 202</w:t>
      </w:r>
      <w:r w:rsidR="00E31E22">
        <w:rPr>
          <w:rFonts w:ascii="Book Antiqua" w:eastAsia="Book Antiqua" w:hAnsi="Book Antiqua" w:cs="Book Antiqua"/>
          <w:color w:val="000000" w:themeColor="text1"/>
          <w:lang w:val="es-PR"/>
        </w:rPr>
        <w:t>6</w:t>
      </w:r>
    </w:p>
    <w:p w14:paraId="2714CB15" w14:textId="77777777" w:rsidR="00DF7D86" w:rsidRPr="00E31E22" w:rsidRDefault="0038510E" w:rsidP="002A065A">
      <w:pPr>
        <w:spacing w:after="240"/>
        <w:jc w:val="both"/>
        <w:rPr>
          <w:rFonts w:ascii="Book Antiqua" w:eastAsia="Book Antiqua" w:hAnsi="Book Antiqua" w:cs="Book Antiqua"/>
          <w:bCs/>
          <w:color w:val="000000" w:themeColor="text1"/>
          <w:spacing w:val="12"/>
          <w:lang w:val="es-PR"/>
        </w:rPr>
      </w:pPr>
      <w:r w:rsidRPr="00E31E22">
        <w:rPr>
          <w:rFonts w:ascii="Book Antiqua" w:eastAsia="Book Antiqua" w:hAnsi="Book Antiqua" w:cs="Book Antiqua"/>
          <w:bCs/>
          <w:color w:val="000000" w:themeColor="text1"/>
          <w:spacing w:val="12"/>
          <w:lang w:val="es-PR"/>
        </w:rPr>
        <w:t>A LA CÁMARA DE REPRESENTANTES DE PUERTO RICO</w:t>
      </w:r>
    </w:p>
    <w:p w14:paraId="48CACF04" w14:textId="2DBC4D9C" w:rsidR="00DF7D86" w:rsidRPr="001711E6" w:rsidRDefault="00436471" w:rsidP="004F3EF4">
      <w:pPr>
        <w:spacing w:after="36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Comisión 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1711E6" w:rsidRPr="001711E6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 Jurídico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>de la Cámara de Representantes, previo estudio y c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>onsideración del</w:t>
      </w:r>
      <w:r w:rsidR="00E31E22">
        <w:rPr>
          <w:rFonts w:ascii="Book Antiqua" w:eastAsia="Book Antiqua" w:hAnsi="Book Antiqua" w:cs="Book Antiqua"/>
          <w:color w:val="000000" w:themeColor="text1"/>
          <w:lang w:val="es-PR"/>
        </w:rPr>
        <w:t xml:space="preserve"> Proyecto de</w:t>
      </w:r>
      <w:r w:rsidR="009D773E">
        <w:rPr>
          <w:rFonts w:ascii="Book Antiqua" w:eastAsia="Book Antiqua" w:hAnsi="Book Antiqua" w:cs="Book Antiqua"/>
          <w:color w:val="000000" w:themeColor="text1"/>
          <w:lang w:val="es-PR"/>
        </w:rPr>
        <w:t xml:space="preserve"> la Cámara</w:t>
      </w:r>
      <w:r w:rsidR="00E31E22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9D773E">
        <w:rPr>
          <w:rFonts w:ascii="Book Antiqua" w:eastAsia="Book Antiqua" w:hAnsi="Book Antiqua" w:cs="Book Antiqua"/>
          <w:color w:val="000000" w:themeColor="text1"/>
          <w:lang w:val="es-PR"/>
        </w:rPr>
        <w:t>1253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E31E22">
        <w:rPr>
          <w:rFonts w:ascii="Book Antiqua" w:eastAsia="Book Antiqua" w:hAnsi="Book Antiqua" w:cs="Book Antiqua"/>
          <w:color w:val="000000" w:themeColor="text1"/>
          <w:lang w:val="es-PR"/>
        </w:rPr>
        <w:t>(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>P. de</w:t>
      </w:r>
      <w:r w:rsidR="009D773E">
        <w:rPr>
          <w:rFonts w:ascii="Book Antiqua" w:eastAsia="Book Antiqua" w:hAnsi="Book Antiqua" w:cs="Book Antiqua"/>
          <w:color w:val="000000" w:themeColor="text1"/>
          <w:lang w:val="es-PR"/>
        </w:rPr>
        <w:t xml:space="preserve"> la C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9D773E">
        <w:rPr>
          <w:rFonts w:ascii="Book Antiqua" w:eastAsia="Book Antiqua" w:hAnsi="Book Antiqua" w:cs="Book Antiqua"/>
          <w:color w:val="000000" w:themeColor="text1"/>
          <w:lang w:val="es-PR"/>
        </w:rPr>
        <w:t>1253</w:t>
      </w:r>
      <w:r w:rsidR="00E31E22">
        <w:rPr>
          <w:rFonts w:ascii="Book Antiqua" w:eastAsia="Book Antiqua" w:hAnsi="Book Antiqua" w:cs="Book Antiqua"/>
          <w:color w:val="000000" w:themeColor="text1"/>
          <w:lang w:val="es-PR"/>
        </w:rPr>
        <w:t>)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>recom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enda su 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>aprobación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55DDB" w:rsidRPr="001C1554"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las enmiendas en el </w:t>
      </w:r>
      <w:proofErr w:type="spellStart"/>
      <w:r w:rsidR="006739EE" w:rsidRPr="001C1554">
        <w:rPr>
          <w:rFonts w:ascii="Book Antiqua" w:eastAsia="Book Antiqua" w:hAnsi="Book Antiqua" w:cs="Book Antiqua"/>
          <w:color w:val="000000" w:themeColor="text1"/>
          <w:lang w:val="es-PR"/>
        </w:rPr>
        <w:t>ent</w:t>
      </w:r>
      <w:r w:rsidR="0057222C" w:rsidRPr="001C1554"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6739EE" w:rsidRPr="001C1554">
        <w:rPr>
          <w:rFonts w:ascii="Book Antiqua" w:eastAsia="Book Antiqua" w:hAnsi="Book Antiqua" w:cs="Book Antiqua"/>
          <w:color w:val="000000" w:themeColor="text1"/>
          <w:lang w:val="es-PR"/>
        </w:rPr>
        <w:t>rillado</w:t>
      </w:r>
      <w:proofErr w:type="spellEnd"/>
      <w:r w:rsidR="00B55DDB" w:rsidRPr="001C1554">
        <w:rPr>
          <w:rFonts w:ascii="Book Antiqua" w:eastAsia="Book Antiqua" w:hAnsi="Book Antiqua" w:cs="Book Antiqua"/>
          <w:color w:val="000000" w:themeColor="text1"/>
          <w:lang w:val="es-PR"/>
        </w:rPr>
        <w:t xml:space="preserve"> electrónico que se acompaña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1C560ACC" w14:textId="691A9A65" w:rsidR="00C54AD6" w:rsidRPr="00743568" w:rsidRDefault="003B38A4" w:rsidP="002A065A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743568"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  <w:t>ALCANCE DE LA MEDIDA</w:t>
      </w:r>
    </w:p>
    <w:p w14:paraId="5F1CD424" w14:textId="05CC4CCD" w:rsidR="00FE7DA6" w:rsidRDefault="003B38A4" w:rsidP="009D773E">
      <w:pPr>
        <w:spacing w:after="360" w:line="288" w:lineRule="auto"/>
        <w:ind w:firstLine="720"/>
        <w:jc w:val="both"/>
        <w:rPr>
          <w:rFonts w:ascii="Book Antiqua" w:hAnsi="Book Antiqua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El </w:t>
      </w:r>
      <w:r w:rsidR="00BE1546" w:rsidRPr="001711E6">
        <w:rPr>
          <w:rFonts w:ascii="Book Antiqua" w:eastAsia="Book Antiqua" w:hAnsi="Book Antiqua" w:cs="Book Antiqua"/>
          <w:color w:val="000000" w:themeColor="text1"/>
          <w:lang w:val="es-PR"/>
        </w:rPr>
        <w:t>P. de</w:t>
      </w:r>
      <w:r w:rsidR="009D773E">
        <w:rPr>
          <w:rFonts w:ascii="Book Antiqua" w:eastAsia="Book Antiqua" w:hAnsi="Book Antiqua" w:cs="Book Antiqua"/>
          <w:color w:val="000000" w:themeColor="text1"/>
          <w:lang w:val="es-PR"/>
        </w:rPr>
        <w:t xml:space="preserve"> la C. 1253</w:t>
      </w:r>
      <w:r w:rsidR="001C1554">
        <w:rPr>
          <w:rFonts w:ascii="Book Antiqua" w:eastAsia="Book Antiqua" w:hAnsi="Book Antiqua" w:cs="Book Antiqua"/>
          <w:color w:val="000000" w:themeColor="text1"/>
          <w:lang w:val="es-PR"/>
        </w:rPr>
        <w:t xml:space="preserve">, según redactado, 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>propone</w:t>
      </w:r>
      <w:r w:rsidR="00623890">
        <w:rPr>
          <w:rFonts w:ascii="Book Antiqua" w:eastAsia="Book Antiqua" w:hAnsi="Book Antiqua" w:cs="Book Antiqua"/>
          <w:color w:val="000000" w:themeColor="text1"/>
          <w:lang w:val="es-PR"/>
        </w:rPr>
        <w:t>: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9D773E" w:rsidRPr="000958AD">
        <w:rPr>
          <w:rFonts w:ascii="Book Antiqua" w:hAnsi="Book Antiqua"/>
        </w:rPr>
        <w:t xml:space="preserve">enmendar el </w:t>
      </w:r>
      <w:r w:rsidR="00B511EF">
        <w:rPr>
          <w:rFonts w:ascii="Book Antiqua" w:hAnsi="Book Antiqua"/>
        </w:rPr>
        <w:t>a</w:t>
      </w:r>
      <w:r w:rsidR="009D773E" w:rsidRPr="000958AD">
        <w:rPr>
          <w:rFonts w:ascii="Book Antiqua" w:hAnsi="Book Antiqua"/>
        </w:rPr>
        <w:t xml:space="preserve">rtículo </w:t>
      </w:r>
      <w:r w:rsidR="009D773E">
        <w:rPr>
          <w:rFonts w:ascii="Book Antiqua" w:hAnsi="Book Antiqua"/>
        </w:rPr>
        <w:t>8</w:t>
      </w:r>
      <w:r w:rsidR="009D773E" w:rsidRPr="000958AD">
        <w:rPr>
          <w:rFonts w:ascii="Book Antiqua" w:hAnsi="Book Antiqua"/>
        </w:rPr>
        <w:t xml:space="preserve">8 de la </w:t>
      </w:r>
      <w:r w:rsidR="009D773E">
        <w:rPr>
          <w:rFonts w:ascii="Book Antiqua" w:hAnsi="Book Antiqua"/>
        </w:rPr>
        <w:t>Ley</w:t>
      </w:r>
      <w:r w:rsidR="00D81374">
        <w:rPr>
          <w:rFonts w:ascii="Book Antiqua" w:hAnsi="Book Antiqua"/>
        </w:rPr>
        <w:t xml:space="preserve"> Núm.</w:t>
      </w:r>
      <w:r w:rsidR="009D773E">
        <w:rPr>
          <w:rFonts w:ascii="Book Antiqua" w:hAnsi="Book Antiqua"/>
        </w:rPr>
        <w:t xml:space="preserve"> </w:t>
      </w:r>
      <w:r w:rsidR="008C61A1">
        <w:rPr>
          <w:rFonts w:ascii="Book Antiqua" w:hAnsi="Book Antiqua"/>
        </w:rPr>
        <w:t>1</w:t>
      </w:r>
      <w:r w:rsidR="009D773E">
        <w:rPr>
          <w:rFonts w:ascii="Book Antiqua" w:hAnsi="Book Antiqua"/>
        </w:rPr>
        <w:t>46-2012</w:t>
      </w:r>
      <w:r w:rsidR="00081E2B">
        <w:rPr>
          <w:rFonts w:ascii="Book Antiqua" w:hAnsi="Book Antiqua"/>
        </w:rPr>
        <w:t xml:space="preserve"> (Ley Núm. 146)</w:t>
      </w:r>
      <w:r w:rsidR="009D773E">
        <w:rPr>
          <w:rFonts w:ascii="Book Antiqua" w:hAnsi="Book Antiqua"/>
        </w:rPr>
        <w:t>, según enmendada,</w:t>
      </w:r>
      <w:r w:rsidR="009D773E">
        <w:rPr>
          <w:rStyle w:val="FootnoteReference"/>
          <w:rFonts w:ascii="Book Antiqua" w:hAnsi="Book Antiqua"/>
        </w:rPr>
        <w:footnoteReference w:id="1"/>
      </w:r>
      <w:r w:rsidR="009D773E" w:rsidRPr="000958AD">
        <w:rPr>
          <w:rFonts w:ascii="Book Antiqua" w:hAnsi="Book Antiqua"/>
        </w:rPr>
        <w:t xml:space="preserve"> a los fines de establecer que no prescribirán los delitos tipificados en la </w:t>
      </w:r>
      <w:r w:rsidR="009D773E">
        <w:rPr>
          <w:rFonts w:ascii="Book Antiqua" w:hAnsi="Book Antiqua"/>
        </w:rPr>
        <w:t xml:space="preserve">Ley </w:t>
      </w:r>
      <w:r w:rsidR="00D81374">
        <w:rPr>
          <w:rFonts w:ascii="Book Antiqua" w:hAnsi="Book Antiqua"/>
        </w:rPr>
        <w:t xml:space="preserve">Núm. </w:t>
      </w:r>
      <w:r w:rsidR="009D773E">
        <w:rPr>
          <w:rFonts w:ascii="Book Antiqua" w:hAnsi="Book Antiqua"/>
        </w:rPr>
        <w:t>168-2019</w:t>
      </w:r>
      <w:r w:rsidR="00081E2B">
        <w:rPr>
          <w:rFonts w:ascii="Book Antiqua" w:hAnsi="Book Antiqua"/>
        </w:rPr>
        <w:t xml:space="preserve"> (Ley Núm. 168)</w:t>
      </w:r>
      <w:r w:rsidR="009D773E">
        <w:rPr>
          <w:rFonts w:ascii="Book Antiqua" w:hAnsi="Book Antiqua"/>
        </w:rPr>
        <w:t>, según enmendada,</w:t>
      </w:r>
      <w:r w:rsidR="009D773E">
        <w:rPr>
          <w:rStyle w:val="FootnoteReference"/>
          <w:rFonts w:ascii="Book Antiqua" w:hAnsi="Book Antiqua"/>
        </w:rPr>
        <w:footnoteReference w:id="2"/>
      </w:r>
      <w:r w:rsidR="009D773E" w:rsidRPr="000958AD">
        <w:rPr>
          <w:rFonts w:ascii="Book Antiqua" w:hAnsi="Book Antiqua"/>
        </w:rPr>
        <w:t xml:space="preserve"> cuando estos sean cometidos como parte, medio o instrumento para la comisión del delito de asesinato o tentativa de asesinato</w:t>
      </w:r>
      <w:r w:rsidR="009D773E">
        <w:rPr>
          <w:rFonts w:ascii="Book Antiqua" w:hAnsi="Book Antiqua"/>
        </w:rPr>
        <w:t>; y para otros fines relacionados</w:t>
      </w:r>
      <w:r w:rsidR="00BE3F59" w:rsidRPr="00BE3F59">
        <w:rPr>
          <w:rFonts w:ascii="Book Antiqua" w:hAnsi="Book Antiqua"/>
          <w:lang w:val="es-PR"/>
        </w:rPr>
        <w:t>.</w:t>
      </w:r>
    </w:p>
    <w:p w14:paraId="67E66CC1" w14:textId="77777777" w:rsidR="00BE7B0C" w:rsidRDefault="00BE7B0C" w:rsidP="009D773E">
      <w:pPr>
        <w:spacing w:after="240" w:line="288" w:lineRule="auto"/>
        <w:jc w:val="center"/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</w:pPr>
    </w:p>
    <w:p w14:paraId="52A340BC" w14:textId="77777777" w:rsidR="00BE7B0C" w:rsidRDefault="00BE7B0C" w:rsidP="009D773E">
      <w:pPr>
        <w:spacing w:after="240" w:line="288" w:lineRule="auto"/>
        <w:jc w:val="center"/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</w:pPr>
    </w:p>
    <w:p w14:paraId="79DD8C3C" w14:textId="77777777" w:rsidR="00BE7B0C" w:rsidRDefault="00BE7B0C" w:rsidP="009D773E">
      <w:pPr>
        <w:spacing w:after="240" w:line="288" w:lineRule="auto"/>
        <w:jc w:val="center"/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</w:pPr>
    </w:p>
    <w:p w14:paraId="2A23E082" w14:textId="77777777" w:rsidR="00BE7B0C" w:rsidRDefault="00BE7B0C" w:rsidP="009D773E">
      <w:pPr>
        <w:spacing w:after="240" w:line="288" w:lineRule="auto"/>
        <w:jc w:val="center"/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</w:pPr>
    </w:p>
    <w:p w14:paraId="4595A8FA" w14:textId="126E3CEC" w:rsidR="003B38A4" w:rsidRPr="00743568" w:rsidRDefault="003B38A4" w:rsidP="009D773E">
      <w:pPr>
        <w:spacing w:after="240" w:line="288" w:lineRule="auto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743568"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  <w:lastRenderedPageBreak/>
        <w:t>ANÁLISIS DE LA MEDIDA</w:t>
      </w:r>
    </w:p>
    <w:p w14:paraId="0D5043A3" w14:textId="4C6BFFBF" w:rsidR="00081E2B" w:rsidRDefault="00081E2B" w:rsidP="00CF0F3B">
      <w:pPr>
        <w:spacing w:line="288" w:lineRule="auto"/>
        <w:ind w:firstLine="720"/>
        <w:jc w:val="both"/>
        <w:rPr>
          <w:rFonts w:ascii="Book Antiqua" w:hAnsi="Book Antiqua"/>
          <w:szCs w:val="24"/>
        </w:rPr>
      </w:pPr>
      <w:r w:rsidRPr="009704F0">
        <w:rPr>
          <w:rFonts w:ascii="Book Antiqua" w:hAnsi="Book Antiqua"/>
          <w:szCs w:val="24"/>
        </w:rPr>
        <w:t xml:space="preserve">La seguridad pública y la protección de la vida humana constituyen la piedra angular de toda sociedad democrática y el mandato primordial </w:t>
      </w:r>
      <w:r>
        <w:rPr>
          <w:rFonts w:ascii="Book Antiqua" w:hAnsi="Book Antiqua"/>
          <w:szCs w:val="24"/>
        </w:rPr>
        <w:t>del Gobierno de Puerto Rico</w:t>
      </w:r>
      <w:r w:rsidRPr="009704F0">
        <w:rPr>
          <w:rFonts w:ascii="Book Antiqua" w:hAnsi="Book Antiqua"/>
          <w:szCs w:val="24"/>
        </w:rPr>
        <w:t>.</w:t>
      </w:r>
      <w:r>
        <w:rPr>
          <w:rFonts w:ascii="Book Antiqua" w:hAnsi="Book Antiqua"/>
          <w:szCs w:val="24"/>
        </w:rPr>
        <w:t xml:space="preserve"> En ese sentido, nuestro sistema de justicia penal </w:t>
      </w:r>
      <w:r w:rsidRPr="009704F0">
        <w:rPr>
          <w:rFonts w:ascii="Book Antiqua" w:hAnsi="Book Antiqua"/>
          <w:szCs w:val="24"/>
        </w:rPr>
        <w:t xml:space="preserve">enfrenta retos constantes </w:t>
      </w:r>
      <w:r w:rsidRPr="00081E2B">
        <w:rPr>
          <w:rFonts w:ascii="Book Antiqua" w:hAnsi="Book Antiqua"/>
          <w:szCs w:val="24"/>
        </w:rPr>
        <w:t>ante</w:t>
      </w:r>
      <w:r>
        <w:rPr>
          <w:rFonts w:ascii="Book Antiqua" w:hAnsi="Book Antiqua"/>
          <w:szCs w:val="24"/>
        </w:rPr>
        <w:t xml:space="preserve"> </w:t>
      </w:r>
      <w:r w:rsidR="00995E5B">
        <w:rPr>
          <w:rFonts w:ascii="Book Antiqua" w:hAnsi="Book Antiqua"/>
          <w:szCs w:val="24"/>
        </w:rPr>
        <w:t xml:space="preserve">el desarrollo </w:t>
      </w:r>
      <w:r w:rsidRPr="00995E5B">
        <w:rPr>
          <w:rFonts w:ascii="Book Antiqua" w:hAnsi="Book Antiqua"/>
          <w:szCs w:val="24"/>
        </w:rPr>
        <w:t>del crimen organizado</w:t>
      </w:r>
      <w:r w:rsidR="00995E5B">
        <w:rPr>
          <w:rFonts w:ascii="Book Antiqua" w:hAnsi="Book Antiqua"/>
          <w:szCs w:val="24"/>
        </w:rPr>
        <w:t>. E</w:t>
      </w:r>
      <w:r w:rsidRPr="009704F0">
        <w:rPr>
          <w:rFonts w:ascii="Book Antiqua" w:hAnsi="Book Antiqua"/>
          <w:szCs w:val="24"/>
        </w:rPr>
        <w:t>l uso de armas de fuego</w:t>
      </w:r>
      <w:r w:rsidR="00995E5B">
        <w:rPr>
          <w:rFonts w:ascii="Book Antiqua" w:hAnsi="Book Antiqua"/>
          <w:szCs w:val="24"/>
        </w:rPr>
        <w:t>, de manera ilegal,</w:t>
      </w:r>
      <w:r>
        <w:rPr>
          <w:rFonts w:ascii="Book Antiqua" w:hAnsi="Book Antiqua"/>
          <w:szCs w:val="24"/>
        </w:rPr>
        <w:t xml:space="preserve"> o armas blancas</w:t>
      </w:r>
      <w:r w:rsidRPr="009704F0">
        <w:rPr>
          <w:rFonts w:ascii="Book Antiqua" w:hAnsi="Book Antiqua"/>
          <w:szCs w:val="24"/>
        </w:rPr>
        <w:t xml:space="preserve"> como herramientas principales para la ejecución de delitos </w:t>
      </w:r>
      <w:r w:rsidR="00995E5B">
        <w:rPr>
          <w:rFonts w:ascii="Book Antiqua" w:hAnsi="Book Antiqua"/>
          <w:szCs w:val="24"/>
        </w:rPr>
        <w:t>altamente violentos</w:t>
      </w:r>
      <w:r w:rsidRPr="009704F0">
        <w:rPr>
          <w:rFonts w:ascii="Book Antiqua" w:hAnsi="Book Antiqua"/>
          <w:szCs w:val="24"/>
        </w:rPr>
        <w:t xml:space="preserve">, específicamente el asesinato y </w:t>
      </w:r>
      <w:r w:rsidR="00995E5B">
        <w:rPr>
          <w:rFonts w:ascii="Book Antiqua" w:hAnsi="Book Antiqua"/>
          <w:szCs w:val="24"/>
        </w:rPr>
        <w:t xml:space="preserve">la tentativa de asesinato, </w:t>
      </w:r>
      <w:r w:rsidR="00ED08BE">
        <w:rPr>
          <w:rFonts w:ascii="Book Antiqua" w:hAnsi="Book Antiqua"/>
          <w:szCs w:val="24"/>
        </w:rPr>
        <w:t>son</w:t>
      </w:r>
      <w:r w:rsidR="00995E5B">
        <w:rPr>
          <w:rFonts w:ascii="Book Antiqua" w:hAnsi="Book Antiqua"/>
          <w:szCs w:val="24"/>
        </w:rPr>
        <w:t xml:space="preserve"> uno de los mayores retos que enfrenta el </w:t>
      </w:r>
      <w:r w:rsidR="00714F11">
        <w:rPr>
          <w:rFonts w:ascii="Book Antiqua" w:hAnsi="Book Antiqua"/>
          <w:szCs w:val="24"/>
        </w:rPr>
        <w:t>g</w:t>
      </w:r>
      <w:r w:rsidR="00995E5B">
        <w:rPr>
          <w:rFonts w:ascii="Book Antiqua" w:hAnsi="Book Antiqua"/>
          <w:szCs w:val="24"/>
        </w:rPr>
        <w:t xml:space="preserve">obierno.  </w:t>
      </w:r>
    </w:p>
    <w:p w14:paraId="4322487B" w14:textId="4ED3801E" w:rsidR="004451D7" w:rsidRDefault="006B4220" w:rsidP="004F1318">
      <w:pPr>
        <w:spacing w:line="288" w:lineRule="auto"/>
        <w:ind w:firstLine="720"/>
        <w:jc w:val="both"/>
        <w:rPr>
          <w:rFonts w:ascii="Book Antiqua" w:hAnsi="Book Antiqua"/>
          <w:szCs w:val="24"/>
        </w:rPr>
      </w:pPr>
      <w:r w:rsidRPr="006B4220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666142" w:rsidRPr="00666142"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 aprobación de la Ley </w:t>
      </w:r>
      <w:r w:rsidR="00FE7DA6">
        <w:rPr>
          <w:rFonts w:ascii="Book Antiqua" w:eastAsia="Book Antiqua" w:hAnsi="Book Antiqua" w:cs="Book Antiqua"/>
          <w:color w:val="000000" w:themeColor="text1"/>
          <w:lang w:val="es-PR"/>
        </w:rPr>
        <w:t xml:space="preserve">Núm. </w:t>
      </w:r>
      <w:r w:rsidR="00666142" w:rsidRPr="00666142">
        <w:rPr>
          <w:rFonts w:ascii="Book Antiqua" w:eastAsia="Book Antiqua" w:hAnsi="Book Antiqua" w:cs="Book Antiqua"/>
          <w:color w:val="000000" w:themeColor="text1"/>
          <w:lang w:val="es-PR"/>
        </w:rPr>
        <w:t>146, se adoptó en nuestra jurisdicción un nuevo Código Penal</w:t>
      </w:r>
      <w:r w:rsidR="00F25846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4F1318">
        <w:rPr>
          <w:rFonts w:ascii="Book Antiqua" w:eastAsia="Book Antiqua" w:hAnsi="Book Antiqua" w:cs="Book Antiqua"/>
          <w:color w:val="000000" w:themeColor="text1"/>
          <w:lang w:val="es-PR"/>
        </w:rPr>
        <w:t xml:space="preserve"> Dicha </w:t>
      </w:r>
      <w:r w:rsidR="00426D9E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4F1318">
        <w:rPr>
          <w:rFonts w:ascii="Book Antiqua" w:eastAsia="Book Antiqua" w:hAnsi="Book Antiqua" w:cs="Book Antiqua"/>
          <w:color w:val="000000" w:themeColor="text1"/>
          <w:lang w:val="es-PR"/>
        </w:rPr>
        <w:t xml:space="preserve">ey </w:t>
      </w:r>
      <w:r w:rsidR="004F1318" w:rsidRPr="009704F0">
        <w:rPr>
          <w:rFonts w:ascii="Book Antiqua" w:hAnsi="Book Antiqua"/>
          <w:szCs w:val="24"/>
        </w:rPr>
        <w:t>establec</w:t>
      </w:r>
      <w:r w:rsidR="004F1318">
        <w:rPr>
          <w:rFonts w:ascii="Book Antiqua" w:hAnsi="Book Antiqua"/>
          <w:szCs w:val="24"/>
        </w:rPr>
        <w:t>ió</w:t>
      </w:r>
      <w:r w:rsidR="004F1318" w:rsidRPr="009704F0">
        <w:rPr>
          <w:rFonts w:ascii="Book Antiqua" w:hAnsi="Book Antiqua"/>
          <w:szCs w:val="24"/>
        </w:rPr>
        <w:t xml:space="preserve"> términos prescriptivos para la mayoría de los delito</w:t>
      </w:r>
      <w:r w:rsidR="004F1318">
        <w:rPr>
          <w:rFonts w:ascii="Book Antiqua" w:hAnsi="Book Antiqua"/>
          <w:szCs w:val="24"/>
        </w:rPr>
        <w:t>s</w:t>
      </w:r>
      <w:r w:rsidR="004F1318" w:rsidRPr="004F1318">
        <w:rPr>
          <w:rFonts w:ascii="Book Antiqua" w:hAnsi="Book Antiqua"/>
          <w:szCs w:val="24"/>
        </w:rPr>
        <w:t>,</w:t>
      </w:r>
      <w:r w:rsidR="004F1318">
        <w:rPr>
          <w:rFonts w:ascii="Book Antiqua" w:hAnsi="Book Antiqua"/>
          <w:i/>
          <w:iCs/>
          <w:szCs w:val="24"/>
          <w:u w:val="single"/>
        </w:rPr>
        <w:t xml:space="preserve"> </w:t>
      </w:r>
      <w:r w:rsidR="004F1318" w:rsidRPr="004F1318">
        <w:rPr>
          <w:rFonts w:ascii="Book Antiqua" w:hAnsi="Book Antiqua"/>
          <w:szCs w:val="24"/>
        </w:rPr>
        <w:t>basado</w:t>
      </w:r>
      <w:r w:rsidR="004F1318" w:rsidRPr="009704F0">
        <w:rPr>
          <w:rFonts w:ascii="Book Antiqua" w:hAnsi="Book Antiqua"/>
          <w:szCs w:val="24"/>
        </w:rPr>
        <w:t xml:space="preserve"> en la premisa de que el transcurso del tiempo debilita la confiabilidad de la prueba y el interés del Estado en procesar</w:t>
      </w:r>
      <w:r w:rsidR="004F1318">
        <w:rPr>
          <w:rFonts w:ascii="Book Antiqua" w:hAnsi="Book Antiqua"/>
          <w:szCs w:val="24"/>
        </w:rPr>
        <w:t xml:space="preserve"> </w:t>
      </w:r>
      <w:r w:rsidR="004F1318" w:rsidRPr="004F1318">
        <w:rPr>
          <w:rFonts w:ascii="Book Antiqua" w:hAnsi="Book Antiqua"/>
          <w:szCs w:val="24"/>
        </w:rPr>
        <w:t>a quienes infringen la ley.</w:t>
      </w:r>
      <w:r w:rsidR="00081E2B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AC1020">
        <w:rPr>
          <w:rFonts w:ascii="Book Antiqua" w:eastAsia="Book Antiqua" w:hAnsi="Book Antiqua" w:cs="Book Antiqua"/>
          <w:color w:val="000000" w:themeColor="text1"/>
          <w:lang w:val="es-PR"/>
        </w:rPr>
        <w:t>No obstante, e</w:t>
      </w:r>
      <w:proofErr w:type="spellStart"/>
      <w:r w:rsidR="00AC1020" w:rsidRPr="009704F0">
        <w:rPr>
          <w:rFonts w:ascii="Book Antiqua" w:hAnsi="Book Antiqua"/>
          <w:szCs w:val="24"/>
        </w:rPr>
        <w:t>sta</w:t>
      </w:r>
      <w:proofErr w:type="spellEnd"/>
      <w:r w:rsidR="00AC1020" w:rsidRPr="009704F0">
        <w:rPr>
          <w:rFonts w:ascii="Book Antiqua" w:hAnsi="Book Antiqua"/>
          <w:szCs w:val="24"/>
        </w:rPr>
        <w:t xml:space="preserve"> Asamblea Legislativa ha reconocido</w:t>
      </w:r>
      <w:r w:rsidR="00AC1020">
        <w:rPr>
          <w:rFonts w:ascii="Book Antiqua" w:hAnsi="Book Antiqua"/>
          <w:szCs w:val="24"/>
        </w:rPr>
        <w:t xml:space="preserve"> la necesidad de establecer unas salvaguardas en ciertos delitos, como lo son: el asesinato, en todas sus modalidades. Es decir, en esos casos el delito no prescribe</w:t>
      </w:r>
      <w:r w:rsidR="004C246D">
        <w:rPr>
          <w:rFonts w:ascii="Book Antiqua" w:hAnsi="Book Antiqua"/>
          <w:szCs w:val="24"/>
        </w:rPr>
        <w:t xml:space="preserve"> </w:t>
      </w:r>
      <w:r w:rsidR="00AC1020" w:rsidRPr="009704F0">
        <w:rPr>
          <w:rFonts w:ascii="Book Antiqua" w:hAnsi="Book Antiqua"/>
          <w:szCs w:val="24"/>
        </w:rPr>
        <w:t>por su naturaleza y el daño irreparable que causan</w:t>
      </w:r>
      <w:r w:rsidR="00AC1020">
        <w:rPr>
          <w:rFonts w:ascii="Book Antiqua" w:hAnsi="Book Antiqua"/>
          <w:szCs w:val="24"/>
        </w:rPr>
        <w:t>.</w:t>
      </w:r>
      <w:r w:rsidR="004451D7">
        <w:rPr>
          <w:rFonts w:ascii="Book Antiqua" w:hAnsi="Book Antiqua"/>
          <w:szCs w:val="24"/>
        </w:rPr>
        <w:t xml:space="preserve"> Por ejemplo, en </w:t>
      </w:r>
      <w:r w:rsidR="004451D7" w:rsidRPr="00940032">
        <w:rPr>
          <w:rFonts w:ascii="Book Antiqua" w:hAnsi="Book Antiqua"/>
          <w:i/>
          <w:iCs/>
          <w:szCs w:val="24"/>
        </w:rPr>
        <w:t>Pueblo v. Roche</w:t>
      </w:r>
      <w:r w:rsidR="004451D7">
        <w:rPr>
          <w:rStyle w:val="FootnoteReference"/>
          <w:rFonts w:ascii="Book Antiqua" w:hAnsi="Book Antiqua"/>
          <w:i/>
          <w:iCs/>
          <w:szCs w:val="24"/>
        </w:rPr>
        <w:footnoteReference w:id="3"/>
      </w:r>
      <w:r w:rsidR="004451D7">
        <w:rPr>
          <w:rFonts w:ascii="Book Antiqua" w:hAnsi="Book Antiqua"/>
          <w:szCs w:val="24"/>
        </w:rPr>
        <w:t xml:space="preserve"> nuestro más alto foro resolvió que, tanto bajo el Código Penal de 2004 como para el Código Penal de 2012, el asesinato en segundo grado no prescribe.</w:t>
      </w:r>
      <w:r w:rsidR="00D23C74">
        <w:rPr>
          <w:rFonts w:ascii="Book Antiqua" w:hAnsi="Book Antiqua"/>
          <w:szCs w:val="24"/>
        </w:rPr>
        <w:t xml:space="preserve"> Recordó, además, que la imprescriptibilidad del delito de asesinato rige en nuestro ordenamiento desde la implementación del Código Penal de 1902</w:t>
      </w:r>
      <w:r w:rsidR="00C43D7F">
        <w:rPr>
          <w:rFonts w:ascii="Book Antiqua" w:hAnsi="Book Antiqua"/>
          <w:szCs w:val="24"/>
        </w:rPr>
        <w:t>.</w:t>
      </w:r>
    </w:p>
    <w:p w14:paraId="35731057" w14:textId="68E25EC8" w:rsidR="00C43D7F" w:rsidRDefault="00C43D7F" w:rsidP="004F1318">
      <w:pPr>
        <w:spacing w:line="288" w:lineRule="auto"/>
        <w:ind w:firstLine="720"/>
        <w:jc w:val="both"/>
        <w:rPr>
          <w:rFonts w:ascii="Book Antiqua" w:hAnsi="Book Antiqua"/>
          <w:szCs w:val="24"/>
        </w:rPr>
      </w:pPr>
      <w:r w:rsidRPr="00C43D7F">
        <w:rPr>
          <w:rFonts w:ascii="Book Antiqua" w:hAnsi="Book Antiqua"/>
          <w:szCs w:val="24"/>
        </w:rPr>
        <w:t xml:space="preserve">Por su parte, en </w:t>
      </w:r>
      <w:r w:rsidRPr="00C43D7F">
        <w:rPr>
          <w:rFonts w:ascii="Book Antiqua" w:hAnsi="Book Antiqua"/>
          <w:i/>
          <w:iCs/>
          <w:szCs w:val="24"/>
        </w:rPr>
        <w:t>Pueblo v. Martínez</w:t>
      </w:r>
      <w:r w:rsidRPr="00C43D7F">
        <w:rPr>
          <w:rStyle w:val="FootnoteReference"/>
          <w:rFonts w:ascii="Book Antiqua" w:hAnsi="Book Antiqua"/>
          <w:i/>
          <w:iCs/>
          <w:szCs w:val="24"/>
        </w:rPr>
        <w:footnoteReference w:id="4"/>
      </w:r>
      <w:r w:rsidRPr="00C43D7F">
        <w:rPr>
          <w:rFonts w:ascii="Book Antiqua" w:hAnsi="Book Antiqua"/>
          <w:szCs w:val="24"/>
        </w:rPr>
        <w:t xml:space="preserve"> nuestro máximo foro señaló que “… el Legislador ha determinado que para los delitos graves – por razón de afrenta a la sociedad – los términos prescriptivos son mayores e incluso hay algunos que por el efecto nocivo sobre los cimientos de la sociedad no prescriben…”</w:t>
      </w:r>
      <w:r>
        <w:rPr>
          <w:rFonts w:ascii="Book Antiqua" w:hAnsi="Book Antiqua"/>
          <w:szCs w:val="24"/>
        </w:rPr>
        <w:t>.</w:t>
      </w:r>
    </w:p>
    <w:p w14:paraId="2A30BBB5" w14:textId="39C2CDF8" w:rsidR="00C43D7F" w:rsidRPr="00C43D7F" w:rsidRDefault="00C43D7F" w:rsidP="004F1318">
      <w:pPr>
        <w:spacing w:line="288" w:lineRule="auto"/>
        <w:ind w:firstLine="72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 xml:space="preserve">Nuestro ordenamiento enfrenta retos jurídicos que requieren </w:t>
      </w:r>
      <w:r w:rsidRPr="00C43D7F">
        <w:rPr>
          <w:rFonts w:ascii="Book Antiqua" w:hAnsi="Book Antiqua"/>
          <w:szCs w:val="24"/>
        </w:rPr>
        <w:t>de la atención del legislador</w:t>
      </w:r>
      <w:r>
        <w:rPr>
          <w:rFonts w:ascii="Book Antiqua" w:hAnsi="Book Antiqua"/>
          <w:szCs w:val="24"/>
        </w:rPr>
        <w:t xml:space="preserve"> para propiciar un justo procesamiento penal. En particular, un</w:t>
      </w:r>
      <w:r w:rsidRPr="009704F0">
        <w:rPr>
          <w:rFonts w:ascii="Book Antiqua" w:hAnsi="Book Antiqua"/>
          <w:szCs w:val="24"/>
        </w:rPr>
        <w:t xml:space="preserve"> problema jurídico y fáctico surge cuando el Ministerio Público se dispone a procesar un asesinato ocurrido años atrás. Aunque el delito de asesinato</w:t>
      </w:r>
      <w:r w:rsidRPr="00362AA3">
        <w:rPr>
          <w:rFonts w:ascii="Book Antiqua" w:hAnsi="Book Antiqua"/>
          <w:szCs w:val="24"/>
        </w:rPr>
        <w:t xml:space="preserve"> es imprescriptible</w:t>
      </w:r>
      <w:r w:rsidRPr="009704F0">
        <w:rPr>
          <w:rFonts w:ascii="Book Antiqua" w:hAnsi="Book Antiqua"/>
          <w:szCs w:val="24"/>
        </w:rPr>
        <w:t>, los delitos contenidos en la</w:t>
      </w:r>
      <w:r>
        <w:rPr>
          <w:rFonts w:ascii="Book Antiqua" w:hAnsi="Book Antiqua"/>
          <w:szCs w:val="24"/>
        </w:rPr>
        <w:t xml:space="preserve"> </w:t>
      </w:r>
      <w:r w:rsidRPr="009704F0">
        <w:rPr>
          <w:rFonts w:ascii="Book Antiqua" w:hAnsi="Book Antiqua"/>
          <w:szCs w:val="24"/>
        </w:rPr>
        <w:t>Ley</w:t>
      </w:r>
      <w:r w:rsidRPr="00362AA3">
        <w:rPr>
          <w:rFonts w:ascii="Book Antiqua" w:hAnsi="Book Antiqua"/>
          <w:szCs w:val="24"/>
        </w:rPr>
        <w:t xml:space="preserve"> Núm.</w:t>
      </w:r>
      <w:r w:rsidRPr="009704F0">
        <w:rPr>
          <w:rFonts w:ascii="Book Antiqua" w:hAnsi="Book Antiqua"/>
          <w:szCs w:val="24"/>
        </w:rPr>
        <w:t xml:space="preserve"> 168-2019</w:t>
      </w:r>
      <w:r>
        <w:rPr>
          <w:rFonts w:ascii="Book Antiqua" w:hAnsi="Book Antiqua"/>
          <w:szCs w:val="24"/>
        </w:rPr>
        <w:t>, según enmendada,</w:t>
      </w:r>
      <w:r w:rsidR="00362AA3">
        <w:rPr>
          <w:rFonts w:ascii="Book Antiqua" w:hAnsi="Book Antiqua"/>
          <w:szCs w:val="24"/>
        </w:rPr>
        <w:t xml:space="preserve"> </w:t>
      </w:r>
      <w:r w:rsidRPr="009704F0">
        <w:rPr>
          <w:rFonts w:ascii="Book Antiqua" w:hAnsi="Book Antiqua"/>
          <w:szCs w:val="24"/>
        </w:rPr>
        <w:t>que se cometieron simultáneamente para lograr dicho fin,</w:t>
      </w:r>
      <w:r w:rsidR="00362AA3">
        <w:rPr>
          <w:rFonts w:ascii="Book Antiqua" w:hAnsi="Book Antiqua"/>
          <w:szCs w:val="24"/>
        </w:rPr>
        <w:t xml:space="preserve"> </w:t>
      </w:r>
      <w:r w:rsidRPr="009704F0">
        <w:rPr>
          <w:rFonts w:ascii="Book Antiqua" w:hAnsi="Book Antiqua"/>
          <w:szCs w:val="24"/>
        </w:rPr>
        <w:t xml:space="preserve">están sujetos a términos de prescripción. Esta discrepancia crea una laguna procesal y sustantiva que debilita la capacidad del </w:t>
      </w:r>
      <w:r w:rsidR="00704AAA">
        <w:rPr>
          <w:rFonts w:ascii="Book Antiqua" w:hAnsi="Book Antiqua"/>
          <w:szCs w:val="24"/>
        </w:rPr>
        <w:t>gobierno</w:t>
      </w:r>
      <w:r w:rsidRPr="009704F0">
        <w:rPr>
          <w:rFonts w:ascii="Book Antiqua" w:hAnsi="Book Antiqua"/>
          <w:szCs w:val="24"/>
        </w:rPr>
        <w:t xml:space="preserve"> </w:t>
      </w:r>
      <w:r w:rsidR="008A0618">
        <w:rPr>
          <w:rFonts w:ascii="Book Antiqua" w:hAnsi="Book Antiqua"/>
          <w:szCs w:val="24"/>
        </w:rPr>
        <w:t>de procesar al imputado o convicto de delito por la totalidad d</w:t>
      </w:r>
      <w:r w:rsidR="00CE16F8">
        <w:rPr>
          <w:rFonts w:ascii="Book Antiqua" w:hAnsi="Book Antiqua"/>
          <w:szCs w:val="24"/>
        </w:rPr>
        <w:t>e sus actos</w:t>
      </w:r>
      <w:r w:rsidRPr="009704F0">
        <w:rPr>
          <w:rFonts w:ascii="Book Antiqua" w:hAnsi="Book Antiqua"/>
          <w:szCs w:val="24"/>
        </w:rPr>
        <w:t>.</w:t>
      </w:r>
    </w:p>
    <w:p w14:paraId="431AF33C" w14:textId="77777777" w:rsidR="00AC1020" w:rsidRDefault="00AC1020" w:rsidP="00D23C74">
      <w:pPr>
        <w:spacing w:line="288" w:lineRule="auto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5569BF07" w14:textId="13CADCE4" w:rsidR="00362AA3" w:rsidRDefault="00362AA3" w:rsidP="00CE16F8">
      <w:pPr>
        <w:spacing w:line="288" w:lineRule="auto"/>
        <w:ind w:firstLine="720"/>
        <w:jc w:val="both"/>
        <w:rPr>
          <w:rFonts w:ascii="Book Antiqua" w:hAnsi="Book Antiqua"/>
          <w:szCs w:val="24"/>
        </w:rPr>
      </w:pPr>
      <w:r w:rsidRPr="007F5A82">
        <w:rPr>
          <w:rFonts w:ascii="Book Antiqua" w:hAnsi="Book Antiqua"/>
          <w:szCs w:val="24"/>
        </w:rPr>
        <w:lastRenderedPageBreak/>
        <w:t>Esta brecha jurídica permite la fragmentación de la responsabilidad penal</w:t>
      </w:r>
      <w:r w:rsidR="00217078">
        <w:rPr>
          <w:rFonts w:ascii="Book Antiqua" w:hAnsi="Book Antiqua"/>
          <w:szCs w:val="24"/>
        </w:rPr>
        <w:t>.</w:t>
      </w:r>
      <w:r w:rsidRPr="007F5A82">
        <w:rPr>
          <w:rFonts w:ascii="Book Antiqua" w:hAnsi="Book Antiqua"/>
          <w:szCs w:val="24"/>
        </w:rPr>
        <w:t xml:space="preserve"> </w:t>
      </w:r>
      <w:r w:rsidR="00217078">
        <w:rPr>
          <w:rFonts w:ascii="Book Antiqua" w:hAnsi="Book Antiqua"/>
          <w:szCs w:val="24"/>
        </w:rPr>
        <w:t xml:space="preserve">Esto debilita </w:t>
      </w:r>
      <w:r w:rsidRPr="007F5A82">
        <w:rPr>
          <w:rFonts w:ascii="Book Antiqua" w:hAnsi="Book Antiqua"/>
          <w:szCs w:val="24"/>
        </w:rPr>
        <w:t xml:space="preserve">la capacidad del </w:t>
      </w:r>
      <w:r w:rsidR="00217078">
        <w:rPr>
          <w:rFonts w:ascii="Book Antiqua" w:hAnsi="Book Antiqua"/>
          <w:szCs w:val="24"/>
        </w:rPr>
        <w:t xml:space="preserve">gobierno </w:t>
      </w:r>
      <w:r w:rsidRPr="007F5A82">
        <w:rPr>
          <w:rFonts w:ascii="Book Antiqua" w:hAnsi="Book Antiqua"/>
          <w:szCs w:val="24"/>
        </w:rPr>
        <w:t>para procesar de manera integral la conducta delictiva.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9704F0">
        <w:rPr>
          <w:rFonts w:ascii="Book Antiqua" w:hAnsi="Book Antiqua"/>
          <w:szCs w:val="24"/>
        </w:rPr>
        <w:t>En la mayoría de los asesinatos, la portación, posesión y uso del arma de fuego no son actos aislados, sino que constituyen el medio e instrumento esencial para la co</w:t>
      </w:r>
      <w:r w:rsidR="00FC74D8">
        <w:rPr>
          <w:rFonts w:ascii="Book Antiqua" w:hAnsi="Book Antiqua"/>
          <w:szCs w:val="24"/>
        </w:rPr>
        <w:t>misión</w:t>
      </w:r>
      <w:r w:rsidRPr="009704F0">
        <w:rPr>
          <w:rFonts w:ascii="Book Antiqua" w:hAnsi="Book Antiqua"/>
          <w:szCs w:val="24"/>
        </w:rPr>
        <w:t xml:space="preserve"> del acto homicida. Separar la prescripción del arma de la prescripción del </w:t>
      </w:r>
      <w:r w:rsidRPr="00362AA3">
        <w:rPr>
          <w:rFonts w:ascii="Book Antiqua" w:hAnsi="Book Antiqua"/>
          <w:szCs w:val="24"/>
        </w:rPr>
        <w:t xml:space="preserve">delito de </w:t>
      </w:r>
      <w:r w:rsidRPr="009704F0">
        <w:rPr>
          <w:rFonts w:ascii="Book Antiqua" w:hAnsi="Book Antiqua"/>
          <w:szCs w:val="24"/>
        </w:rPr>
        <w:t>asesinato es ignorar la realidad de la dinámica criminal.</w:t>
      </w:r>
      <w:r>
        <w:rPr>
          <w:rFonts w:ascii="Book Antiqua" w:hAnsi="Book Antiqua"/>
          <w:szCs w:val="24"/>
        </w:rPr>
        <w:t xml:space="preserve"> </w:t>
      </w:r>
      <w:r w:rsidRPr="009704F0">
        <w:rPr>
          <w:rFonts w:ascii="Book Antiqua" w:hAnsi="Book Antiqua"/>
          <w:szCs w:val="24"/>
        </w:rPr>
        <w:t>Al prescribir el delito de armas, el Fiscal se ve impedido de presentar cargos que reflejen la peligrosidad del</w:t>
      </w:r>
      <w:r>
        <w:rPr>
          <w:rFonts w:ascii="Book Antiqua" w:hAnsi="Book Antiqua"/>
          <w:szCs w:val="24"/>
        </w:rPr>
        <w:t xml:space="preserve"> </w:t>
      </w:r>
      <w:r w:rsidRPr="00362AA3">
        <w:rPr>
          <w:rFonts w:ascii="Book Antiqua" w:hAnsi="Book Antiqua"/>
          <w:szCs w:val="24"/>
        </w:rPr>
        <w:t>imputado</w:t>
      </w:r>
      <w:r w:rsidRPr="009704F0">
        <w:rPr>
          <w:rFonts w:ascii="Book Antiqua" w:hAnsi="Book Antiqua"/>
          <w:szCs w:val="24"/>
        </w:rPr>
        <w:t>.</w:t>
      </w:r>
    </w:p>
    <w:p w14:paraId="0404D1DF" w14:textId="4CA46921" w:rsidR="00362AA3" w:rsidRDefault="00362AA3" w:rsidP="00F222E2">
      <w:pPr>
        <w:spacing w:line="288" w:lineRule="auto"/>
        <w:ind w:firstLine="72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L</w:t>
      </w:r>
      <w:r w:rsidRPr="009704F0">
        <w:rPr>
          <w:rFonts w:ascii="Book Antiqua" w:hAnsi="Book Antiqua"/>
          <w:szCs w:val="24"/>
        </w:rPr>
        <w:t xml:space="preserve">os avances en tecnología forense y las pruebas de ADN a menudo permiten esclarecer asesinatos décadas después de </w:t>
      </w:r>
      <w:r w:rsidR="00703CF5">
        <w:rPr>
          <w:rFonts w:ascii="Book Antiqua" w:hAnsi="Book Antiqua"/>
          <w:szCs w:val="24"/>
        </w:rPr>
        <w:t>su ocurrencia</w:t>
      </w:r>
      <w:r w:rsidRPr="009704F0">
        <w:rPr>
          <w:rFonts w:ascii="Book Antiqua" w:hAnsi="Book Antiqua"/>
          <w:szCs w:val="24"/>
        </w:rPr>
        <w:t xml:space="preserve">. </w:t>
      </w:r>
      <w:r>
        <w:rPr>
          <w:rFonts w:ascii="Book Antiqua" w:hAnsi="Book Antiqua"/>
          <w:szCs w:val="24"/>
        </w:rPr>
        <w:t>R</w:t>
      </w:r>
      <w:r w:rsidRPr="009704F0">
        <w:rPr>
          <w:rFonts w:ascii="Book Antiqua" w:hAnsi="Book Antiqua"/>
          <w:szCs w:val="24"/>
        </w:rPr>
        <w:t xml:space="preserve">esulta </w:t>
      </w:r>
      <w:r>
        <w:rPr>
          <w:rFonts w:ascii="Book Antiqua" w:hAnsi="Book Antiqua"/>
          <w:szCs w:val="24"/>
        </w:rPr>
        <w:t>en</w:t>
      </w:r>
      <w:r w:rsidRPr="009704F0">
        <w:rPr>
          <w:rFonts w:ascii="Book Antiqua" w:hAnsi="Book Antiqua"/>
          <w:szCs w:val="24"/>
        </w:rPr>
        <w:t xml:space="preserve"> contrasentido que el </w:t>
      </w:r>
      <w:r w:rsidR="00ED7F2E">
        <w:rPr>
          <w:rFonts w:ascii="Book Antiqua" w:hAnsi="Book Antiqua"/>
          <w:szCs w:val="24"/>
        </w:rPr>
        <w:t xml:space="preserve">gobierno </w:t>
      </w:r>
      <w:r w:rsidRPr="009704F0">
        <w:rPr>
          <w:rFonts w:ascii="Book Antiqua" w:hAnsi="Book Antiqua"/>
          <w:szCs w:val="24"/>
        </w:rPr>
        <w:t>pueda probar quién</w:t>
      </w:r>
      <w:r w:rsidR="00ED7F2E">
        <w:rPr>
          <w:rFonts w:ascii="Book Antiqua" w:hAnsi="Book Antiqua"/>
          <w:szCs w:val="24"/>
        </w:rPr>
        <w:t xml:space="preserve"> disparó</w:t>
      </w:r>
      <w:r w:rsidRPr="009704F0">
        <w:rPr>
          <w:rFonts w:ascii="Book Antiqua" w:hAnsi="Book Antiqua"/>
          <w:szCs w:val="24"/>
        </w:rPr>
        <w:t>, pero se vea impedido de procesar la posesión de</w:t>
      </w:r>
      <w:r>
        <w:rPr>
          <w:rFonts w:ascii="Book Antiqua" w:hAnsi="Book Antiqua"/>
          <w:szCs w:val="24"/>
        </w:rPr>
        <w:t>l</w:t>
      </w:r>
      <w:r w:rsidRPr="009704F0">
        <w:rPr>
          <w:rFonts w:ascii="Book Antiqua" w:hAnsi="Book Antiqua"/>
          <w:szCs w:val="24"/>
        </w:rPr>
        <w:t xml:space="preserve"> arma ilegal simplemente porque el </w:t>
      </w:r>
      <w:r>
        <w:rPr>
          <w:rFonts w:ascii="Book Antiqua" w:hAnsi="Book Antiqua"/>
          <w:szCs w:val="24"/>
        </w:rPr>
        <w:t>delito prescribió</w:t>
      </w:r>
      <w:r w:rsidRPr="009704F0">
        <w:rPr>
          <w:rFonts w:ascii="Book Antiqua" w:hAnsi="Book Antiqua"/>
          <w:szCs w:val="24"/>
        </w:rPr>
        <w:t>.</w:t>
      </w:r>
      <w:r>
        <w:rPr>
          <w:rFonts w:ascii="Book Antiqua" w:hAnsi="Book Antiqua"/>
          <w:szCs w:val="24"/>
        </w:rPr>
        <w:t xml:space="preserve"> </w:t>
      </w:r>
      <w:r w:rsidRPr="009704F0">
        <w:rPr>
          <w:rFonts w:ascii="Book Antiqua" w:hAnsi="Book Antiqua"/>
          <w:szCs w:val="24"/>
        </w:rPr>
        <w:t xml:space="preserve">Al establecer que los delitos </w:t>
      </w:r>
      <w:r>
        <w:rPr>
          <w:rFonts w:ascii="Book Antiqua" w:hAnsi="Book Antiqua"/>
          <w:szCs w:val="24"/>
        </w:rPr>
        <w:t>en</w:t>
      </w:r>
      <w:r w:rsidRPr="009704F0">
        <w:rPr>
          <w:rFonts w:ascii="Book Antiqua" w:hAnsi="Book Antiqua"/>
          <w:szCs w:val="24"/>
        </w:rPr>
        <w:t xml:space="preserve"> la Ley de Armas no prescribirán</w:t>
      </w:r>
      <w:r w:rsidR="00AE68C3">
        <w:rPr>
          <w:rFonts w:ascii="Book Antiqua" w:hAnsi="Book Antiqua"/>
          <w:szCs w:val="24"/>
        </w:rPr>
        <w:t>,</w:t>
      </w:r>
      <w:r w:rsidRPr="009704F0">
        <w:rPr>
          <w:rFonts w:ascii="Book Antiqua" w:hAnsi="Book Antiqua"/>
          <w:szCs w:val="24"/>
        </w:rPr>
        <w:t xml:space="preserve"> cuando sean el </w:t>
      </w:r>
      <w:r w:rsidRPr="00362AA3">
        <w:rPr>
          <w:rFonts w:ascii="Book Antiqua" w:hAnsi="Book Antiqua"/>
          <w:szCs w:val="24"/>
        </w:rPr>
        <w:t>instrumento o medio utilizado para la co</w:t>
      </w:r>
      <w:r w:rsidR="00AE68C3">
        <w:rPr>
          <w:rFonts w:ascii="Book Antiqua" w:hAnsi="Book Antiqua"/>
          <w:szCs w:val="24"/>
        </w:rPr>
        <w:t>misión</w:t>
      </w:r>
      <w:r>
        <w:rPr>
          <w:rFonts w:ascii="Book Antiqua" w:hAnsi="Book Antiqua"/>
          <w:szCs w:val="24"/>
        </w:rPr>
        <w:t xml:space="preserve"> </w:t>
      </w:r>
      <w:r w:rsidRPr="009704F0">
        <w:rPr>
          <w:rFonts w:ascii="Book Antiqua" w:hAnsi="Book Antiqua"/>
          <w:szCs w:val="24"/>
        </w:rPr>
        <w:t>de un asesinato o tentativa</w:t>
      </w:r>
      <w:r>
        <w:rPr>
          <w:rFonts w:ascii="Book Antiqua" w:hAnsi="Book Antiqua"/>
          <w:szCs w:val="24"/>
        </w:rPr>
        <w:t xml:space="preserve"> </w:t>
      </w:r>
      <w:r w:rsidRPr="00362AA3">
        <w:rPr>
          <w:rFonts w:ascii="Book Antiqua" w:hAnsi="Book Antiqua"/>
          <w:szCs w:val="24"/>
        </w:rPr>
        <w:t>de asesinato,</w:t>
      </w:r>
      <w:r w:rsidRPr="009704F0">
        <w:rPr>
          <w:rFonts w:ascii="Book Antiqua" w:hAnsi="Book Antiqua"/>
          <w:szCs w:val="24"/>
        </w:rPr>
        <w:t xml:space="preserve"> esta Asamblea</w:t>
      </w:r>
      <w:r>
        <w:rPr>
          <w:rFonts w:ascii="Book Antiqua" w:hAnsi="Book Antiqua"/>
          <w:szCs w:val="24"/>
        </w:rPr>
        <w:t xml:space="preserve"> </w:t>
      </w:r>
      <w:r w:rsidRPr="00362AA3">
        <w:rPr>
          <w:rFonts w:ascii="Book Antiqua" w:hAnsi="Book Antiqua"/>
          <w:szCs w:val="24"/>
        </w:rPr>
        <w:t>Legislativa</w:t>
      </w:r>
      <w:r w:rsidRPr="009704F0">
        <w:rPr>
          <w:rFonts w:ascii="Book Antiqua" w:hAnsi="Book Antiqua"/>
          <w:szCs w:val="24"/>
        </w:rPr>
        <w:t xml:space="preserve"> envía un mensaje contundente</w:t>
      </w:r>
      <w:r>
        <w:rPr>
          <w:rFonts w:ascii="Book Antiqua" w:hAnsi="Book Antiqua"/>
          <w:szCs w:val="24"/>
        </w:rPr>
        <w:t>.</w:t>
      </w:r>
    </w:p>
    <w:p w14:paraId="48FBE583" w14:textId="0BB19959" w:rsidR="00362AA3" w:rsidRPr="00362AA3" w:rsidRDefault="00FF30B9" w:rsidP="00F222E2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hAnsi="Book Antiqua"/>
          <w:szCs w:val="24"/>
        </w:rPr>
        <w:t>E</w:t>
      </w:r>
      <w:r w:rsidR="008B3C71">
        <w:rPr>
          <w:rFonts w:ascii="Book Antiqua" w:hAnsi="Book Antiqua"/>
          <w:szCs w:val="24"/>
        </w:rPr>
        <w:t xml:space="preserve">sta </w:t>
      </w:r>
      <w:r w:rsidR="001A0055">
        <w:rPr>
          <w:rFonts w:ascii="Book Antiqua" w:hAnsi="Book Antiqua"/>
          <w:szCs w:val="24"/>
        </w:rPr>
        <w:t>c</w:t>
      </w:r>
      <w:r w:rsidR="008B3C71">
        <w:rPr>
          <w:rFonts w:ascii="Book Antiqua" w:hAnsi="Book Antiqua"/>
          <w:szCs w:val="24"/>
        </w:rPr>
        <w:t xml:space="preserve">omisión solicitó la opinión de: la Oficina de la Administración de Tribunales (OAT), Departamento de Justicia (DJ) y Colegio de </w:t>
      </w:r>
      <w:proofErr w:type="gramStart"/>
      <w:r w:rsidR="008B3C71">
        <w:rPr>
          <w:rFonts w:ascii="Book Antiqua" w:hAnsi="Book Antiqua"/>
          <w:szCs w:val="24"/>
        </w:rPr>
        <w:t>Abogados y Abogadas</w:t>
      </w:r>
      <w:proofErr w:type="gramEnd"/>
      <w:r w:rsidR="008B3C71">
        <w:rPr>
          <w:rFonts w:ascii="Book Antiqua" w:hAnsi="Book Antiqua"/>
          <w:szCs w:val="24"/>
        </w:rPr>
        <w:t xml:space="preserve"> (CAAPR). Sin embargo,</w:t>
      </w:r>
      <w:r w:rsidR="00362AA3">
        <w:rPr>
          <w:rFonts w:ascii="Book Antiqua" w:hAnsi="Book Antiqua"/>
          <w:szCs w:val="24"/>
        </w:rPr>
        <w:t xml:space="preserve"> al momento de realizar este informe</w:t>
      </w:r>
      <w:r w:rsidR="008B3C71">
        <w:rPr>
          <w:rFonts w:ascii="Book Antiqua" w:hAnsi="Book Antiqua"/>
          <w:szCs w:val="24"/>
        </w:rPr>
        <w:t xml:space="preserve"> los memoriales no se habían recibido.</w:t>
      </w:r>
    </w:p>
    <w:p w14:paraId="77C86C07" w14:textId="3D690CA9" w:rsidR="00C526A4" w:rsidRPr="00900476" w:rsidRDefault="00C526A4" w:rsidP="00B2509F">
      <w:pPr>
        <w:spacing w:after="120"/>
        <w:jc w:val="center"/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</w:pPr>
      <w:r w:rsidRPr="00900476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 xml:space="preserve">CONCLUSIÓN </w:t>
      </w:r>
    </w:p>
    <w:p w14:paraId="19742EA3" w14:textId="37F9A4A4" w:rsidR="008B3C71" w:rsidRDefault="00D86C74" w:rsidP="00DA1A67">
      <w:pPr>
        <w:spacing w:line="288" w:lineRule="auto"/>
        <w:ind w:firstLine="720"/>
        <w:jc w:val="both"/>
        <w:rPr>
          <w:rFonts w:ascii="Book Antiqua" w:hAnsi="Book Antiqua"/>
          <w:szCs w:val="24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Esta </w:t>
      </w:r>
      <w:r w:rsidR="008B3C71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C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omisión </w:t>
      </w:r>
      <w:r w:rsidR="00ED09E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no ve impedimento legal </w:t>
      </w:r>
      <w:r w:rsidR="00D7367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para que esta medida siga su </w:t>
      </w:r>
      <w:r w:rsidR="00837D6C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trámite legislativo. E</w:t>
      </w:r>
      <w:proofErr w:type="spellStart"/>
      <w:r w:rsidR="008B3C71">
        <w:rPr>
          <w:rFonts w:ascii="Book Antiqua" w:hAnsi="Book Antiqua"/>
          <w:szCs w:val="24"/>
        </w:rPr>
        <w:t>ntiende</w:t>
      </w:r>
      <w:proofErr w:type="spellEnd"/>
      <w:r w:rsidR="008B3C71">
        <w:rPr>
          <w:rFonts w:ascii="Book Antiqua" w:hAnsi="Book Antiqua"/>
          <w:szCs w:val="24"/>
        </w:rPr>
        <w:t xml:space="preserve"> que la medida </w:t>
      </w:r>
      <w:r w:rsidR="001A0055">
        <w:rPr>
          <w:rFonts w:ascii="Book Antiqua" w:hAnsi="Book Antiqua"/>
          <w:szCs w:val="24"/>
        </w:rPr>
        <w:t xml:space="preserve">le permite al </w:t>
      </w:r>
      <w:r w:rsidR="008B3C71" w:rsidRPr="009704F0">
        <w:rPr>
          <w:rFonts w:ascii="Book Antiqua" w:hAnsi="Book Antiqua"/>
          <w:szCs w:val="24"/>
        </w:rPr>
        <w:t>Ministerio Público c</w:t>
      </w:r>
      <w:r w:rsidR="001A0055">
        <w:rPr>
          <w:rFonts w:ascii="Book Antiqua" w:hAnsi="Book Antiqua"/>
          <w:szCs w:val="24"/>
        </w:rPr>
        <w:t>ontar</w:t>
      </w:r>
      <w:r w:rsidR="008B3C71" w:rsidRPr="009704F0">
        <w:rPr>
          <w:rFonts w:ascii="Book Antiqua" w:hAnsi="Book Antiqua"/>
          <w:szCs w:val="24"/>
        </w:rPr>
        <w:t xml:space="preserve"> con las herramientas legales para presentar </w:t>
      </w:r>
      <w:r w:rsidR="008B3C71">
        <w:rPr>
          <w:rFonts w:ascii="Book Antiqua" w:hAnsi="Book Antiqua"/>
          <w:szCs w:val="24"/>
        </w:rPr>
        <w:t>su caso. Así, se asegura</w:t>
      </w:r>
      <w:r w:rsidR="008B3C71" w:rsidRPr="009704F0">
        <w:rPr>
          <w:rFonts w:ascii="Book Antiqua" w:hAnsi="Book Antiqua"/>
          <w:szCs w:val="24"/>
        </w:rPr>
        <w:t xml:space="preserve"> que la verdad histórica coincida con la verdad procesal.</w:t>
      </w:r>
      <w:r w:rsidR="008B3C71">
        <w:rPr>
          <w:rFonts w:ascii="Book Antiqua" w:hAnsi="Book Antiqua"/>
          <w:szCs w:val="24"/>
        </w:rPr>
        <w:t xml:space="preserve"> Además, se fortalece</w:t>
      </w:r>
      <w:r w:rsidR="008B3C71" w:rsidRPr="007F5A82">
        <w:rPr>
          <w:rFonts w:ascii="Book Antiqua" w:hAnsi="Book Antiqua"/>
          <w:szCs w:val="24"/>
        </w:rPr>
        <w:t xml:space="preserve"> la capacidad</w:t>
      </w:r>
      <w:r w:rsidR="008B3C71">
        <w:rPr>
          <w:rFonts w:ascii="Book Antiqua" w:hAnsi="Book Antiqua"/>
          <w:szCs w:val="24"/>
        </w:rPr>
        <w:t xml:space="preserve"> </w:t>
      </w:r>
      <w:r w:rsidR="008B3C71" w:rsidRPr="007F5A82">
        <w:rPr>
          <w:rFonts w:ascii="Book Antiqua" w:hAnsi="Book Antiqua"/>
          <w:szCs w:val="24"/>
        </w:rPr>
        <w:t>procesal del</w:t>
      </w:r>
      <w:r w:rsidR="001A0055">
        <w:rPr>
          <w:rFonts w:ascii="Book Antiqua" w:hAnsi="Book Antiqua"/>
          <w:szCs w:val="24"/>
        </w:rPr>
        <w:t xml:space="preserve"> gobierno</w:t>
      </w:r>
      <w:r w:rsidR="008B3C71">
        <w:rPr>
          <w:rFonts w:ascii="Book Antiqua" w:hAnsi="Book Antiqua"/>
          <w:szCs w:val="24"/>
        </w:rPr>
        <w:t>.</w:t>
      </w:r>
    </w:p>
    <w:p w14:paraId="3BE57315" w14:textId="77E53093" w:rsidR="004512E8" w:rsidRPr="001711E6" w:rsidRDefault="00B2509F" w:rsidP="00DA1A67">
      <w:pPr>
        <w:spacing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En fin, esta </w:t>
      </w:r>
      <w:r w:rsidR="00ED09E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c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omisi</w:t>
      </w:r>
      <w:r w:rsidR="006C25FD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ón </w:t>
      </w:r>
      <w:r w:rsidR="004C34E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recomienda </w:t>
      </w:r>
      <w:r w:rsidR="006C25FD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que se apruebe 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el P. de</w:t>
      </w:r>
      <w:r w:rsidR="008B3C71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la C. 1253</w:t>
      </w:r>
      <w:r w:rsidR="00C11C5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con las enmiendas en el </w:t>
      </w:r>
      <w:proofErr w:type="spellStart"/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entirillado</w:t>
      </w:r>
      <w:proofErr w:type="spellEnd"/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electrónico que se acompaña</w:t>
      </w:r>
      <w:r w:rsidR="00F17F1C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</w:t>
      </w:r>
      <w:r w:rsidR="004512E8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</w:p>
    <w:p w14:paraId="77CE7EC3" w14:textId="77777777" w:rsidR="004C3FE5" w:rsidRDefault="004C3FE5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6C8FC9E5" w14:textId="06C2BCB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Respetuosamente</w:t>
      </w:r>
      <w:r w:rsidR="006C25FD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presentado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,</w:t>
      </w:r>
    </w:p>
    <w:p w14:paraId="63414C34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5B154406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70EDA1E2" w14:textId="41BE61DF" w:rsidR="003B38A4" w:rsidRPr="00DA036F" w:rsidRDefault="00447224" w:rsidP="003B38A4">
      <w:pPr>
        <w:jc w:val="both"/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</w:pPr>
      <w:r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José</w:t>
      </w:r>
      <w:r w:rsidR="00D60D6E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 xml:space="preserve"> J. </w:t>
      </w:r>
      <w:r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Pérez</w:t>
      </w:r>
      <w:r w:rsidR="00D60D6E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 xml:space="preserve"> Cordero</w:t>
      </w:r>
      <w:r w:rsidR="003B38A4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ab/>
        <w:t xml:space="preserve"> </w:t>
      </w:r>
    </w:p>
    <w:p w14:paraId="6768602C" w14:textId="40E4AC25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President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</w:p>
    <w:p w14:paraId="48961C1A" w14:textId="51D15A6B" w:rsidR="007B2F4F" w:rsidRPr="001711E6" w:rsidRDefault="003B38A4" w:rsidP="00F248D5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Comisión 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de </w:t>
      </w:r>
      <w:r w:rsidR="00D56E4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l</w:t>
      </w:r>
      <w:r w:rsidR="009535ED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o Jurídico </w:t>
      </w:r>
    </w:p>
    <w:sectPr w:rsidR="007B2F4F" w:rsidRPr="001711E6" w:rsidSect="005D2A7D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95FD8" w14:textId="77777777" w:rsidR="009135CA" w:rsidRDefault="009135CA">
      <w:r>
        <w:separator/>
      </w:r>
    </w:p>
  </w:endnote>
  <w:endnote w:type="continuationSeparator" w:id="0">
    <w:p w14:paraId="2B6CA3E7" w14:textId="77777777" w:rsidR="009135CA" w:rsidRDefault="00913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auto"/>
    <w:notTrueType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21893" w14:textId="77777777" w:rsidR="009135CA" w:rsidRDefault="009135CA">
      <w:r>
        <w:separator/>
      </w:r>
    </w:p>
  </w:footnote>
  <w:footnote w:type="continuationSeparator" w:id="0">
    <w:p w14:paraId="5278AAEE" w14:textId="77777777" w:rsidR="009135CA" w:rsidRDefault="009135CA">
      <w:r>
        <w:continuationSeparator/>
      </w:r>
    </w:p>
  </w:footnote>
  <w:footnote w:id="1">
    <w:p w14:paraId="16778C81" w14:textId="7E416FFD" w:rsidR="009D773E" w:rsidRPr="00BE7B0C" w:rsidRDefault="009D773E" w:rsidP="00BE7B0C">
      <w:pPr>
        <w:pStyle w:val="FootnoteText"/>
        <w:spacing w:after="60"/>
        <w:rPr>
          <w:rFonts w:ascii="Book Antiqua" w:hAnsi="Book Antiqua"/>
        </w:rPr>
      </w:pPr>
      <w:r w:rsidRPr="00BE7B0C">
        <w:rPr>
          <w:rStyle w:val="FootnoteReference"/>
          <w:rFonts w:ascii="Book Antiqua" w:hAnsi="Book Antiqua"/>
        </w:rPr>
        <w:footnoteRef/>
      </w:r>
      <w:r w:rsidRPr="00BE7B0C">
        <w:rPr>
          <w:rFonts w:ascii="Book Antiqua" w:hAnsi="Book Antiqua"/>
        </w:rPr>
        <w:t xml:space="preserve"> Conocida como </w:t>
      </w:r>
      <w:r w:rsidRPr="00BE7B0C">
        <w:rPr>
          <w:rFonts w:ascii="Book Antiqua" w:hAnsi="Book Antiqua"/>
          <w:i/>
          <w:iCs/>
        </w:rPr>
        <w:t>Código Penal de Puerto Rico</w:t>
      </w:r>
      <w:r w:rsidRPr="00BE7B0C">
        <w:rPr>
          <w:rFonts w:ascii="Book Antiqua" w:hAnsi="Book Antiqua"/>
        </w:rPr>
        <w:t>.</w:t>
      </w:r>
    </w:p>
  </w:footnote>
  <w:footnote w:id="2">
    <w:p w14:paraId="11BAA85B" w14:textId="08900BCB" w:rsidR="009D773E" w:rsidRPr="00BE7B0C" w:rsidRDefault="009D773E" w:rsidP="00BE7B0C">
      <w:pPr>
        <w:pStyle w:val="FootnoteText"/>
        <w:spacing w:after="60"/>
        <w:rPr>
          <w:rFonts w:ascii="Book Antiqua" w:hAnsi="Book Antiqua"/>
        </w:rPr>
      </w:pPr>
      <w:r w:rsidRPr="00BE7B0C">
        <w:rPr>
          <w:rStyle w:val="FootnoteReference"/>
          <w:rFonts w:ascii="Book Antiqua" w:hAnsi="Book Antiqua"/>
        </w:rPr>
        <w:footnoteRef/>
      </w:r>
      <w:r w:rsidRPr="00BE7B0C">
        <w:rPr>
          <w:rFonts w:ascii="Book Antiqua" w:hAnsi="Book Antiqua"/>
        </w:rPr>
        <w:t xml:space="preserve"> Conocida como </w:t>
      </w:r>
      <w:r w:rsidRPr="00BE7B0C">
        <w:rPr>
          <w:rFonts w:ascii="Book Antiqua" w:hAnsi="Book Antiqua"/>
          <w:i/>
          <w:iCs/>
        </w:rPr>
        <w:t>Ley de Armas de Puerto Rico de 2020</w:t>
      </w:r>
      <w:r w:rsidRPr="00BE7B0C">
        <w:rPr>
          <w:rFonts w:ascii="Book Antiqua" w:hAnsi="Book Antiqua"/>
        </w:rPr>
        <w:t>.</w:t>
      </w:r>
    </w:p>
  </w:footnote>
  <w:footnote w:id="3">
    <w:p w14:paraId="26951CFE" w14:textId="33140084" w:rsidR="004451D7" w:rsidRPr="00BE7B0C" w:rsidRDefault="004451D7" w:rsidP="00BE7B0C">
      <w:pPr>
        <w:pStyle w:val="FootnoteText"/>
        <w:spacing w:after="60"/>
        <w:rPr>
          <w:rFonts w:ascii="Book Antiqua" w:hAnsi="Book Antiqua"/>
          <w:lang w:val="en-US"/>
        </w:rPr>
      </w:pPr>
      <w:r w:rsidRPr="00BE7B0C">
        <w:rPr>
          <w:rStyle w:val="FootnoteReference"/>
          <w:rFonts w:ascii="Book Antiqua" w:hAnsi="Book Antiqua"/>
        </w:rPr>
        <w:footnoteRef/>
      </w:r>
      <w:r w:rsidRPr="00BE7B0C">
        <w:rPr>
          <w:rFonts w:ascii="Book Antiqua" w:hAnsi="Book Antiqua"/>
        </w:rPr>
        <w:t xml:space="preserve"> </w:t>
      </w:r>
      <w:r w:rsidR="00D23C74" w:rsidRPr="00BE7B0C">
        <w:rPr>
          <w:rFonts w:ascii="Book Antiqua" w:hAnsi="Book Antiqua"/>
          <w:lang w:val="en-US"/>
        </w:rPr>
        <w:t>2016 TSPR 124</w:t>
      </w:r>
      <w:r w:rsidRPr="00BE7B0C">
        <w:rPr>
          <w:rFonts w:ascii="Book Antiqua" w:hAnsi="Book Antiqua"/>
          <w:lang w:val="en-US"/>
        </w:rPr>
        <w:t>.</w:t>
      </w:r>
    </w:p>
  </w:footnote>
  <w:footnote w:id="4">
    <w:p w14:paraId="1FAC431F" w14:textId="15BE8B70" w:rsidR="00C43D7F" w:rsidRPr="00BE7B0C" w:rsidRDefault="00C43D7F" w:rsidP="00BE7B0C">
      <w:pPr>
        <w:pStyle w:val="FootnoteText"/>
        <w:spacing w:after="60"/>
        <w:rPr>
          <w:rFonts w:ascii="Book Antiqua" w:hAnsi="Book Antiqua"/>
          <w:lang w:val="en-US"/>
        </w:rPr>
      </w:pPr>
      <w:r w:rsidRPr="00BE7B0C">
        <w:rPr>
          <w:rStyle w:val="FootnoteReference"/>
          <w:rFonts w:ascii="Book Antiqua" w:hAnsi="Book Antiqua"/>
        </w:rPr>
        <w:footnoteRef/>
      </w:r>
      <w:r w:rsidRPr="00BE7B0C">
        <w:rPr>
          <w:rFonts w:ascii="Book Antiqua" w:hAnsi="Book Antiqua"/>
        </w:rPr>
        <w:t xml:space="preserve"> </w:t>
      </w:r>
      <w:r w:rsidRPr="00BE7B0C">
        <w:rPr>
          <w:rFonts w:ascii="Book Antiqua" w:hAnsi="Book Antiqua"/>
          <w:lang w:val="en-US"/>
        </w:rPr>
        <w:t>144 DPR 631 (1997).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1A2D" w14:textId="5088BEBE" w:rsidR="00BA0B5D" w:rsidRPr="009D773E" w:rsidRDefault="00CE54D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Book Antiqua" w:eastAsia="Calibri" w:hAnsi="Book Antiqua"/>
        <w:b/>
        <w:i/>
        <w:sz w:val="22"/>
        <w:szCs w:val="22"/>
        <w:lang w:val="es-PR"/>
      </w:rPr>
    </w:pPr>
    <w:r w:rsidRPr="009D773E">
      <w:rPr>
        <w:rFonts w:ascii="Book Antiqua" w:eastAsia="Calibri" w:hAnsi="Book Antiqua"/>
        <w:b/>
        <w:iCs/>
        <w:sz w:val="22"/>
        <w:szCs w:val="22"/>
        <w:lang w:val="es-PR"/>
      </w:rPr>
      <w:t>Informe</w:t>
    </w:r>
    <w:r w:rsidR="00900740" w:rsidRPr="009D773E">
      <w:rPr>
        <w:rFonts w:ascii="Book Antiqua" w:eastAsia="Calibri" w:hAnsi="Book Antiqua"/>
        <w:b/>
        <w:iCs/>
        <w:sz w:val="22"/>
        <w:szCs w:val="22"/>
        <w:lang w:val="es-PR"/>
      </w:rPr>
      <w:t xml:space="preserve"> Positivo</w:t>
    </w:r>
    <w:r w:rsidRPr="009D773E">
      <w:rPr>
        <w:rFonts w:ascii="Book Antiqua" w:eastAsia="Calibri" w:hAnsi="Book Antiqua"/>
        <w:b/>
        <w:iCs/>
        <w:sz w:val="22"/>
        <w:szCs w:val="22"/>
        <w:lang w:val="es-PR"/>
      </w:rPr>
      <w:t xml:space="preserve"> P. de</w:t>
    </w:r>
    <w:r w:rsidR="009D773E">
      <w:rPr>
        <w:rFonts w:ascii="Book Antiqua" w:eastAsia="Calibri" w:hAnsi="Book Antiqua"/>
        <w:b/>
        <w:iCs/>
        <w:sz w:val="22"/>
        <w:szCs w:val="22"/>
        <w:lang w:val="es-PR"/>
      </w:rPr>
      <w:t xml:space="preserve"> la C</w:t>
    </w:r>
    <w:r w:rsidRPr="009D773E">
      <w:rPr>
        <w:rFonts w:ascii="Book Antiqua" w:eastAsia="Calibri" w:hAnsi="Book Antiqua"/>
        <w:b/>
        <w:iCs/>
        <w:sz w:val="22"/>
        <w:szCs w:val="22"/>
        <w:lang w:val="es-PR"/>
      </w:rPr>
      <w:t xml:space="preserve">. </w:t>
    </w:r>
    <w:r w:rsidR="009D773E">
      <w:rPr>
        <w:rFonts w:ascii="Book Antiqua" w:eastAsia="Calibri" w:hAnsi="Book Antiqua"/>
        <w:b/>
        <w:iCs/>
        <w:sz w:val="22"/>
        <w:szCs w:val="22"/>
        <w:lang w:val="es-PR"/>
      </w:rPr>
      <w:t>1253</w:t>
    </w:r>
    <w:r w:rsidRPr="009D773E">
      <w:rPr>
        <w:rFonts w:ascii="Book Antiqua" w:eastAsia="Calibri" w:hAnsi="Book Antiqua"/>
        <w:b/>
        <w:iCs/>
        <w:sz w:val="22"/>
        <w:szCs w:val="22"/>
        <w:lang w:val="es-PR"/>
      </w:rPr>
      <w:tab/>
    </w:r>
    <w:r w:rsidRPr="009D773E">
      <w:rPr>
        <w:rFonts w:ascii="Book Antiqua" w:eastAsia="Calibri" w:hAnsi="Book Antiqua"/>
        <w:b/>
        <w:iCs/>
        <w:sz w:val="22"/>
        <w:szCs w:val="22"/>
        <w:lang w:val="es-PR"/>
      </w:rPr>
      <w:tab/>
      <w:t xml:space="preserve"> Página</w:t>
    </w:r>
    <w:r w:rsidRPr="009D773E">
      <w:rPr>
        <w:rFonts w:ascii="Book Antiqua" w:eastAsia="Calibri" w:hAnsi="Book Antiqua"/>
        <w:sz w:val="22"/>
        <w:szCs w:val="22"/>
        <w:lang w:val="es-PR"/>
      </w:rPr>
      <w:t xml:space="preserve"> | </w:t>
    </w:r>
    <w:r w:rsidRPr="009D773E">
      <w:rPr>
        <w:rFonts w:ascii="Book Antiqua" w:eastAsia="Calibri" w:hAnsi="Book Antiqua"/>
        <w:sz w:val="22"/>
        <w:szCs w:val="22"/>
        <w:lang w:val="en-US"/>
      </w:rPr>
      <w:fldChar w:fldCharType="begin"/>
    </w:r>
    <w:r w:rsidRPr="009D773E">
      <w:rPr>
        <w:rFonts w:ascii="Book Antiqua" w:eastAsia="Calibri" w:hAnsi="Book Antiqua"/>
        <w:sz w:val="22"/>
        <w:szCs w:val="22"/>
        <w:lang w:val="es-PR"/>
      </w:rPr>
      <w:instrText xml:space="preserve"> PAGE   \* MERGEFORMAT </w:instrText>
    </w:r>
    <w:r w:rsidRPr="009D773E">
      <w:rPr>
        <w:rFonts w:ascii="Book Antiqua" w:eastAsia="Calibri" w:hAnsi="Book Antiqua"/>
        <w:sz w:val="22"/>
        <w:szCs w:val="22"/>
        <w:lang w:val="en-US"/>
      </w:rPr>
      <w:fldChar w:fldCharType="separate"/>
    </w:r>
    <w:r w:rsidR="000F67BD" w:rsidRPr="009D773E">
      <w:rPr>
        <w:rFonts w:ascii="Book Antiqua" w:eastAsia="Calibri" w:hAnsi="Book Antiqua"/>
        <w:b/>
        <w:bCs/>
        <w:noProof/>
        <w:sz w:val="22"/>
        <w:szCs w:val="22"/>
        <w:lang w:val="es-PR"/>
      </w:rPr>
      <w:t>5</w:t>
    </w:r>
    <w:r w:rsidRPr="009D773E">
      <w:rPr>
        <w:rFonts w:ascii="Book Antiqua" w:eastAsia="Calibri" w:hAnsi="Book Antiqua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02F83"/>
    <w:multiLevelType w:val="hybridMultilevel"/>
    <w:tmpl w:val="C232ACF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4CE24B7"/>
    <w:multiLevelType w:val="hybridMultilevel"/>
    <w:tmpl w:val="5B7071D4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11"/>
  </w:num>
  <w:num w:numId="2" w16cid:durableId="612249085">
    <w:abstractNumId w:val="2"/>
  </w:num>
  <w:num w:numId="3" w16cid:durableId="191654121">
    <w:abstractNumId w:val="5"/>
  </w:num>
  <w:num w:numId="4" w16cid:durableId="251549162">
    <w:abstractNumId w:val="3"/>
  </w:num>
  <w:num w:numId="5" w16cid:durableId="77214083">
    <w:abstractNumId w:val="9"/>
  </w:num>
  <w:num w:numId="6" w16cid:durableId="344096040">
    <w:abstractNumId w:val="14"/>
  </w:num>
  <w:num w:numId="7" w16cid:durableId="1113287001">
    <w:abstractNumId w:val="7"/>
  </w:num>
  <w:num w:numId="8" w16cid:durableId="1631401959">
    <w:abstractNumId w:val="12"/>
  </w:num>
  <w:num w:numId="9" w16cid:durableId="591201020">
    <w:abstractNumId w:val="10"/>
  </w:num>
  <w:num w:numId="10" w16cid:durableId="645204287">
    <w:abstractNumId w:val="17"/>
  </w:num>
  <w:num w:numId="11" w16cid:durableId="1508133352">
    <w:abstractNumId w:val="6"/>
  </w:num>
  <w:num w:numId="12" w16cid:durableId="1889679253">
    <w:abstractNumId w:val="13"/>
  </w:num>
  <w:num w:numId="13" w16cid:durableId="325980482">
    <w:abstractNumId w:val="8"/>
  </w:num>
  <w:num w:numId="14" w16cid:durableId="1607613887">
    <w:abstractNumId w:val="15"/>
  </w:num>
  <w:num w:numId="15" w16cid:durableId="1411585931">
    <w:abstractNumId w:val="16"/>
  </w:num>
  <w:num w:numId="16" w16cid:durableId="3963235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49052023">
    <w:abstractNumId w:val="1"/>
  </w:num>
  <w:num w:numId="18" w16cid:durableId="2136944254">
    <w:abstractNumId w:val="0"/>
  </w:num>
  <w:num w:numId="19" w16cid:durableId="17108408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0151"/>
    <w:rsid w:val="0000086C"/>
    <w:rsid w:val="00000EC6"/>
    <w:rsid w:val="00003F27"/>
    <w:rsid w:val="000044B1"/>
    <w:rsid w:val="00006E0B"/>
    <w:rsid w:val="0001068A"/>
    <w:rsid w:val="000142E7"/>
    <w:rsid w:val="00015228"/>
    <w:rsid w:val="00021243"/>
    <w:rsid w:val="000220C0"/>
    <w:rsid w:val="000240CE"/>
    <w:rsid w:val="00025C0E"/>
    <w:rsid w:val="000307E4"/>
    <w:rsid w:val="00035FFD"/>
    <w:rsid w:val="0004014A"/>
    <w:rsid w:val="00041144"/>
    <w:rsid w:val="0004737C"/>
    <w:rsid w:val="00047B9F"/>
    <w:rsid w:val="00050B2C"/>
    <w:rsid w:val="00050E9A"/>
    <w:rsid w:val="00053176"/>
    <w:rsid w:val="00057C02"/>
    <w:rsid w:val="00065929"/>
    <w:rsid w:val="000673D8"/>
    <w:rsid w:val="000772AB"/>
    <w:rsid w:val="000777FE"/>
    <w:rsid w:val="00081E2B"/>
    <w:rsid w:val="0009035A"/>
    <w:rsid w:val="00093934"/>
    <w:rsid w:val="000949F8"/>
    <w:rsid w:val="000968F0"/>
    <w:rsid w:val="000A0600"/>
    <w:rsid w:val="000A31E4"/>
    <w:rsid w:val="000A32DC"/>
    <w:rsid w:val="000A4C87"/>
    <w:rsid w:val="000A5A42"/>
    <w:rsid w:val="000B0D43"/>
    <w:rsid w:val="000B30CB"/>
    <w:rsid w:val="000B4063"/>
    <w:rsid w:val="000B4E6B"/>
    <w:rsid w:val="000B6B0E"/>
    <w:rsid w:val="000B70C0"/>
    <w:rsid w:val="000C4E3C"/>
    <w:rsid w:val="000C5140"/>
    <w:rsid w:val="000C66A9"/>
    <w:rsid w:val="000D1757"/>
    <w:rsid w:val="000D2BDF"/>
    <w:rsid w:val="000D5F7E"/>
    <w:rsid w:val="000D68FC"/>
    <w:rsid w:val="000E0EC6"/>
    <w:rsid w:val="000E47C9"/>
    <w:rsid w:val="000E5D36"/>
    <w:rsid w:val="000F2868"/>
    <w:rsid w:val="000F3BA0"/>
    <w:rsid w:val="000F3F16"/>
    <w:rsid w:val="000F67BD"/>
    <w:rsid w:val="00101365"/>
    <w:rsid w:val="001015D5"/>
    <w:rsid w:val="00101C99"/>
    <w:rsid w:val="00102587"/>
    <w:rsid w:val="001049CF"/>
    <w:rsid w:val="0010680D"/>
    <w:rsid w:val="001070BB"/>
    <w:rsid w:val="00111DF4"/>
    <w:rsid w:val="00112412"/>
    <w:rsid w:val="001161EB"/>
    <w:rsid w:val="001209AD"/>
    <w:rsid w:val="001248BC"/>
    <w:rsid w:val="00126659"/>
    <w:rsid w:val="001311BA"/>
    <w:rsid w:val="001322F9"/>
    <w:rsid w:val="00136622"/>
    <w:rsid w:val="00137B80"/>
    <w:rsid w:val="00140F2B"/>
    <w:rsid w:val="00141605"/>
    <w:rsid w:val="00141703"/>
    <w:rsid w:val="00143359"/>
    <w:rsid w:val="001525AE"/>
    <w:rsid w:val="00152FD0"/>
    <w:rsid w:val="00153CDD"/>
    <w:rsid w:val="00153D68"/>
    <w:rsid w:val="001561A6"/>
    <w:rsid w:val="001601C3"/>
    <w:rsid w:val="00163ABC"/>
    <w:rsid w:val="00163D3F"/>
    <w:rsid w:val="00165BA8"/>
    <w:rsid w:val="00166871"/>
    <w:rsid w:val="00166C0A"/>
    <w:rsid w:val="0016762A"/>
    <w:rsid w:val="0017100B"/>
    <w:rsid w:val="001711E6"/>
    <w:rsid w:val="00171FDF"/>
    <w:rsid w:val="00176206"/>
    <w:rsid w:val="00183D9A"/>
    <w:rsid w:val="00186364"/>
    <w:rsid w:val="00194BE3"/>
    <w:rsid w:val="0019719C"/>
    <w:rsid w:val="001971DF"/>
    <w:rsid w:val="00197FA7"/>
    <w:rsid w:val="001A0055"/>
    <w:rsid w:val="001A18DA"/>
    <w:rsid w:val="001A5A3D"/>
    <w:rsid w:val="001B3A5F"/>
    <w:rsid w:val="001C1554"/>
    <w:rsid w:val="001C24D7"/>
    <w:rsid w:val="001C4D00"/>
    <w:rsid w:val="001D23E0"/>
    <w:rsid w:val="001D5EE7"/>
    <w:rsid w:val="001D6791"/>
    <w:rsid w:val="001E4FEC"/>
    <w:rsid w:val="001F2695"/>
    <w:rsid w:val="001F3071"/>
    <w:rsid w:val="001F4C9E"/>
    <w:rsid w:val="001F5243"/>
    <w:rsid w:val="001F5FB1"/>
    <w:rsid w:val="001F72C1"/>
    <w:rsid w:val="00203D0D"/>
    <w:rsid w:val="00206D79"/>
    <w:rsid w:val="00206E8A"/>
    <w:rsid w:val="00214A28"/>
    <w:rsid w:val="0021611D"/>
    <w:rsid w:val="0021655A"/>
    <w:rsid w:val="00216AC7"/>
    <w:rsid w:val="00217078"/>
    <w:rsid w:val="00217FFD"/>
    <w:rsid w:val="0022092E"/>
    <w:rsid w:val="00221403"/>
    <w:rsid w:val="002222DA"/>
    <w:rsid w:val="002227F8"/>
    <w:rsid w:val="0022608E"/>
    <w:rsid w:val="00227846"/>
    <w:rsid w:val="00231E70"/>
    <w:rsid w:val="0023302B"/>
    <w:rsid w:val="00233B5B"/>
    <w:rsid w:val="00234787"/>
    <w:rsid w:val="002367EF"/>
    <w:rsid w:val="0024267E"/>
    <w:rsid w:val="00243AE2"/>
    <w:rsid w:val="00251481"/>
    <w:rsid w:val="0025236C"/>
    <w:rsid w:val="00253152"/>
    <w:rsid w:val="0025428E"/>
    <w:rsid w:val="002616AA"/>
    <w:rsid w:val="00264342"/>
    <w:rsid w:val="00264549"/>
    <w:rsid w:val="00265DD8"/>
    <w:rsid w:val="002673B6"/>
    <w:rsid w:val="00267DEA"/>
    <w:rsid w:val="00272871"/>
    <w:rsid w:val="00274838"/>
    <w:rsid w:val="0027514E"/>
    <w:rsid w:val="00275705"/>
    <w:rsid w:val="00275876"/>
    <w:rsid w:val="00283E5D"/>
    <w:rsid w:val="0028614D"/>
    <w:rsid w:val="002864AF"/>
    <w:rsid w:val="00291030"/>
    <w:rsid w:val="00291C12"/>
    <w:rsid w:val="0029300A"/>
    <w:rsid w:val="002939AA"/>
    <w:rsid w:val="0029448F"/>
    <w:rsid w:val="00296FB9"/>
    <w:rsid w:val="0029786E"/>
    <w:rsid w:val="002A065A"/>
    <w:rsid w:val="002A2577"/>
    <w:rsid w:val="002A2DBE"/>
    <w:rsid w:val="002A2E53"/>
    <w:rsid w:val="002A377C"/>
    <w:rsid w:val="002A6841"/>
    <w:rsid w:val="002A795A"/>
    <w:rsid w:val="002B2413"/>
    <w:rsid w:val="002B5B63"/>
    <w:rsid w:val="002C4E77"/>
    <w:rsid w:val="002C63ED"/>
    <w:rsid w:val="002D2AD0"/>
    <w:rsid w:val="002D4655"/>
    <w:rsid w:val="002D67CE"/>
    <w:rsid w:val="002E04CB"/>
    <w:rsid w:val="002E40AE"/>
    <w:rsid w:val="002E4FD3"/>
    <w:rsid w:val="002E552C"/>
    <w:rsid w:val="002E67BE"/>
    <w:rsid w:val="002F06D6"/>
    <w:rsid w:val="002F16BF"/>
    <w:rsid w:val="002F21E5"/>
    <w:rsid w:val="00300F27"/>
    <w:rsid w:val="00304248"/>
    <w:rsid w:val="00305781"/>
    <w:rsid w:val="00305C9F"/>
    <w:rsid w:val="00316753"/>
    <w:rsid w:val="00323431"/>
    <w:rsid w:val="003244DD"/>
    <w:rsid w:val="00327FC3"/>
    <w:rsid w:val="00330313"/>
    <w:rsid w:val="003344C6"/>
    <w:rsid w:val="003357F5"/>
    <w:rsid w:val="003361A3"/>
    <w:rsid w:val="003367A6"/>
    <w:rsid w:val="00336D61"/>
    <w:rsid w:val="00336E58"/>
    <w:rsid w:val="0034229A"/>
    <w:rsid w:val="00342992"/>
    <w:rsid w:val="003502CD"/>
    <w:rsid w:val="00351F5C"/>
    <w:rsid w:val="00353592"/>
    <w:rsid w:val="00354EC7"/>
    <w:rsid w:val="0035587A"/>
    <w:rsid w:val="0035637D"/>
    <w:rsid w:val="00357B74"/>
    <w:rsid w:val="00360198"/>
    <w:rsid w:val="00362591"/>
    <w:rsid w:val="00362AA3"/>
    <w:rsid w:val="00363230"/>
    <w:rsid w:val="00364147"/>
    <w:rsid w:val="00366718"/>
    <w:rsid w:val="00370F8A"/>
    <w:rsid w:val="00371331"/>
    <w:rsid w:val="00375FBE"/>
    <w:rsid w:val="003832F6"/>
    <w:rsid w:val="0038413A"/>
    <w:rsid w:val="0038510E"/>
    <w:rsid w:val="003910E6"/>
    <w:rsid w:val="00391145"/>
    <w:rsid w:val="00392CEF"/>
    <w:rsid w:val="00392FC2"/>
    <w:rsid w:val="00393ADF"/>
    <w:rsid w:val="00393BAE"/>
    <w:rsid w:val="0039487B"/>
    <w:rsid w:val="00395694"/>
    <w:rsid w:val="003A1268"/>
    <w:rsid w:val="003A3428"/>
    <w:rsid w:val="003A71B5"/>
    <w:rsid w:val="003B38A4"/>
    <w:rsid w:val="003B5459"/>
    <w:rsid w:val="003B7D5E"/>
    <w:rsid w:val="003D1B77"/>
    <w:rsid w:val="003D2513"/>
    <w:rsid w:val="003D601E"/>
    <w:rsid w:val="003E1241"/>
    <w:rsid w:val="003E1A9C"/>
    <w:rsid w:val="003E4335"/>
    <w:rsid w:val="003E44EF"/>
    <w:rsid w:val="003E529E"/>
    <w:rsid w:val="003E6E10"/>
    <w:rsid w:val="003E7648"/>
    <w:rsid w:val="003E7944"/>
    <w:rsid w:val="003F10BB"/>
    <w:rsid w:val="003F2674"/>
    <w:rsid w:val="003F54C1"/>
    <w:rsid w:val="003F6F83"/>
    <w:rsid w:val="00400A5C"/>
    <w:rsid w:val="00404247"/>
    <w:rsid w:val="004045A0"/>
    <w:rsid w:val="00406D78"/>
    <w:rsid w:val="00407674"/>
    <w:rsid w:val="0040798B"/>
    <w:rsid w:val="00412141"/>
    <w:rsid w:val="00413AB5"/>
    <w:rsid w:val="00413D6A"/>
    <w:rsid w:val="004206D4"/>
    <w:rsid w:val="00420A98"/>
    <w:rsid w:val="0042168B"/>
    <w:rsid w:val="00422255"/>
    <w:rsid w:val="00426D9E"/>
    <w:rsid w:val="00431F68"/>
    <w:rsid w:val="00433D16"/>
    <w:rsid w:val="00436471"/>
    <w:rsid w:val="00442843"/>
    <w:rsid w:val="004451D7"/>
    <w:rsid w:val="00447224"/>
    <w:rsid w:val="00447621"/>
    <w:rsid w:val="004512E8"/>
    <w:rsid w:val="00451F27"/>
    <w:rsid w:val="004523CD"/>
    <w:rsid w:val="00452D84"/>
    <w:rsid w:val="00464523"/>
    <w:rsid w:val="004654B5"/>
    <w:rsid w:val="00467CB0"/>
    <w:rsid w:val="00471DF9"/>
    <w:rsid w:val="00472C5A"/>
    <w:rsid w:val="00474109"/>
    <w:rsid w:val="00481BA5"/>
    <w:rsid w:val="00486978"/>
    <w:rsid w:val="00496EEF"/>
    <w:rsid w:val="00496F72"/>
    <w:rsid w:val="004A2226"/>
    <w:rsid w:val="004A4A9F"/>
    <w:rsid w:val="004A5A18"/>
    <w:rsid w:val="004A5AE1"/>
    <w:rsid w:val="004B3B30"/>
    <w:rsid w:val="004B4977"/>
    <w:rsid w:val="004B5B10"/>
    <w:rsid w:val="004C246D"/>
    <w:rsid w:val="004C34EA"/>
    <w:rsid w:val="004C3FE5"/>
    <w:rsid w:val="004C40F2"/>
    <w:rsid w:val="004C4963"/>
    <w:rsid w:val="004C499B"/>
    <w:rsid w:val="004C71B1"/>
    <w:rsid w:val="004C73A2"/>
    <w:rsid w:val="004D0DB3"/>
    <w:rsid w:val="004D125E"/>
    <w:rsid w:val="004D28B0"/>
    <w:rsid w:val="004D2F67"/>
    <w:rsid w:val="004D5890"/>
    <w:rsid w:val="004D7163"/>
    <w:rsid w:val="004E356B"/>
    <w:rsid w:val="004E7F19"/>
    <w:rsid w:val="004F1318"/>
    <w:rsid w:val="004F1E94"/>
    <w:rsid w:val="004F38E8"/>
    <w:rsid w:val="004F3AEE"/>
    <w:rsid w:val="004F3EF4"/>
    <w:rsid w:val="004F4A0B"/>
    <w:rsid w:val="004F79AB"/>
    <w:rsid w:val="005007F9"/>
    <w:rsid w:val="0050096E"/>
    <w:rsid w:val="00503282"/>
    <w:rsid w:val="00503811"/>
    <w:rsid w:val="00505B4C"/>
    <w:rsid w:val="00510AC7"/>
    <w:rsid w:val="00511EE0"/>
    <w:rsid w:val="00512C13"/>
    <w:rsid w:val="005132E2"/>
    <w:rsid w:val="00516AB2"/>
    <w:rsid w:val="00520D53"/>
    <w:rsid w:val="00524E93"/>
    <w:rsid w:val="0052624F"/>
    <w:rsid w:val="00527957"/>
    <w:rsid w:val="0053069E"/>
    <w:rsid w:val="00530FFC"/>
    <w:rsid w:val="00532F3A"/>
    <w:rsid w:val="00533210"/>
    <w:rsid w:val="00533AC9"/>
    <w:rsid w:val="00535C71"/>
    <w:rsid w:val="00542113"/>
    <w:rsid w:val="00542DFE"/>
    <w:rsid w:val="005432C2"/>
    <w:rsid w:val="00552AC4"/>
    <w:rsid w:val="00554BDC"/>
    <w:rsid w:val="0056097C"/>
    <w:rsid w:val="00560E41"/>
    <w:rsid w:val="00562099"/>
    <w:rsid w:val="0056523D"/>
    <w:rsid w:val="00565951"/>
    <w:rsid w:val="00566BF6"/>
    <w:rsid w:val="005676E9"/>
    <w:rsid w:val="005701BC"/>
    <w:rsid w:val="0057222C"/>
    <w:rsid w:val="0057707D"/>
    <w:rsid w:val="005813B7"/>
    <w:rsid w:val="00582CE9"/>
    <w:rsid w:val="00584753"/>
    <w:rsid w:val="00591971"/>
    <w:rsid w:val="00591C6D"/>
    <w:rsid w:val="005922E8"/>
    <w:rsid w:val="00592D59"/>
    <w:rsid w:val="005A1F13"/>
    <w:rsid w:val="005A37C8"/>
    <w:rsid w:val="005A4E02"/>
    <w:rsid w:val="005B42F2"/>
    <w:rsid w:val="005B4FA8"/>
    <w:rsid w:val="005B5C5C"/>
    <w:rsid w:val="005B69A9"/>
    <w:rsid w:val="005B750B"/>
    <w:rsid w:val="005C1E56"/>
    <w:rsid w:val="005C3365"/>
    <w:rsid w:val="005D1F4B"/>
    <w:rsid w:val="005D2A7D"/>
    <w:rsid w:val="005D2AFE"/>
    <w:rsid w:val="005D5254"/>
    <w:rsid w:val="005D7E02"/>
    <w:rsid w:val="005E47A2"/>
    <w:rsid w:val="005E4CF7"/>
    <w:rsid w:val="005E66E4"/>
    <w:rsid w:val="005F4078"/>
    <w:rsid w:val="005F42D3"/>
    <w:rsid w:val="005F6DD6"/>
    <w:rsid w:val="00602E29"/>
    <w:rsid w:val="00603D79"/>
    <w:rsid w:val="00603FE4"/>
    <w:rsid w:val="0060556B"/>
    <w:rsid w:val="006114BF"/>
    <w:rsid w:val="006115FC"/>
    <w:rsid w:val="00611979"/>
    <w:rsid w:val="00612378"/>
    <w:rsid w:val="00614C3B"/>
    <w:rsid w:val="00622B23"/>
    <w:rsid w:val="0062310C"/>
    <w:rsid w:val="00623890"/>
    <w:rsid w:val="00623B22"/>
    <w:rsid w:val="00623D71"/>
    <w:rsid w:val="00624255"/>
    <w:rsid w:val="00635694"/>
    <w:rsid w:val="006430D4"/>
    <w:rsid w:val="00643A17"/>
    <w:rsid w:val="0064568A"/>
    <w:rsid w:val="006525A2"/>
    <w:rsid w:val="0066116B"/>
    <w:rsid w:val="00661CDA"/>
    <w:rsid w:val="006620D1"/>
    <w:rsid w:val="00664164"/>
    <w:rsid w:val="0066464E"/>
    <w:rsid w:val="00666142"/>
    <w:rsid w:val="0066649B"/>
    <w:rsid w:val="0067175E"/>
    <w:rsid w:val="00671B9A"/>
    <w:rsid w:val="006739EE"/>
    <w:rsid w:val="0069228C"/>
    <w:rsid w:val="0069342C"/>
    <w:rsid w:val="00694718"/>
    <w:rsid w:val="00696CA3"/>
    <w:rsid w:val="006A4879"/>
    <w:rsid w:val="006A739A"/>
    <w:rsid w:val="006B194F"/>
    <w:rsid w:val="006B2F9D"/>
    <w:rsid w:val="006B4220"/>
    <w:rsid w:val="006B4F55"/>
    <w:rsid w:val="006B60D0"/>
    <w:rsid w:val="006B6984"/>
    <w:rsid w:val="006B6B87"/>
    <w:rsid w:val="006C1F0C"/>
    <w:rsid w:val="006C25FD"/>
    <w:rsid w:val="006C5F3E"/>
    <w:rsid w:val="006D0F70"/>
    <w:rsid w:val="006D4952"/>
    <w:rsid w:val="006E176E"/>
    <w:rsid w:val="006E2A38"/>
    <w:rsid w:val="006E649B"/>
    <w:rsid w:val="006E65D9"/>
    <w:rsid w:val="006F6951"/>
    <w:rsid w:val="0070305E"/>
    <w:rsid w:val="00703CF5"/>
    <w:rsid w:val="00704AAA"/>
    <w:rsid w:val="00710987"/>
    <w:rsid w:val="00711089"/>
    <w:rsid w:val="007121F7"/>
    <w:rsid w:val="00712D94"/>
    <w:rsid w:val="00714F11"/>
    <w:rsid w:val="00715AB6"/>
    <w:rsid w:val="00715E79"/>
    <w:rsid w:val="00716098"/>
    <w:rsid w:val="00716C22"/>
    <w:rsid w:val="0072435A"/>
    <w:rsid w:val="007250C9"/>
    <w:rsid w:val="00732382"/>
    <w:rsid w:val="00733E40"/>
    <w:rsid w:val="007363D7"/>
    <w:rsid w:val="00737B5D"/>
    <w:rsid w:val="00741641"/>
    <w:rsid w:val="00742059"/>
    <w:rsid w:val="00743568"/>
    <w:rsid w:val="00744264"/>
    <w:rsid w:val="0074731E"/>
    <w:rsid w:val="0075035A"/>
    <w:rsid w:val="0076029D"/>
    <w:rsid w:val="00760D00"/>
    <w:rsid w:val="0076405E"/>
    <w:rsid w:val="00764A22"/>
    <w:rsid w:val="00766764"/>
    <w:rsid w:val="007707DE"/>
    <w:rsid w:val="00770FEF"/>
    <w:rsid w:val="0077131A"/>
    <w:rsid w:val="00773FDD"/>
    <w:rsid w:val="0077444F"/>
    <w:rsid w:val="007761C9"/>
    <w:rsid w:val="007770B8"/>
    <w:rsid w:val="007770FE"/>
    <w:rsid w:val="00782A64"/>
    <w:rsid w:val="00783933"/>
    <w:rsid w:val="007842E6"/>
    <w:rsid w:val="0078548C"/>
    <w:rsid w:val="00786886"/>
    <w:rsid w:val="007916EC"/>
    <w:rsid w:val="00794A43"/>
    <w:rsid w:val="007A4CF4"/>
    <w:rsid w:val="007A4FCF"/>
    <w:rsid w:val="007B257D"/>
    <w:rsid w:val="007B2F4F"/>
    <w:rsid w:val="007B7985"/>
    <w:rsid w:val="007C375C"/>
    <w:rsid w:val="007C5122"/>
    <w:rsid w:val="007C7273"/>
    <w:rsid w:val="007D1CE3"/>
    <w:rsid w:val="007D22F5"/>
    <w:rsid w:val="007D3EE2"/>
    <w:rsid w:val="007D79C4"/>
    <w:rsid w:val="007E1628"/>
    <w:rsid w:val="007E1D67"/>
    <w:rsid w:val="007E1E1B"/>
    <w:rsid w:val="007E2AC1"/>
    <w:rsid w:val="007E5040"/>
    <w:rsid w:val="007E6834"/>
    <w:rsid w:val="007E68B2"/>
    <w:rsid w:val="007E7C7C"/>
    <w:rsid w:val="007F0A1F"/>
    <w:rsid w:val="007F2DE8"/>
    <w:rsid w:val="007F475E"/>
    <w:rsid w:val="00801B1B"/>
    <w:rsid w:val="00802900"/>
    <w:rsid w:val="008119EB"/>
    <w:rsid w:val="00814010"/>
    <w:rsid w:val="008142DA"/>
    <w:rsid w:val="00814FF7"/>
    <w:rsid w:val="008161EA"/>
    <w:rsid w:val="008162A8"/>
    <w:rsid w:val="00821551"/>
    <w:rsid w:val="008225E7"/>
    <w:rsid w:val="00822FEF"/>
    <w:rsid w:val="00824021"/>
    <w:rsid w:val="008260BE"/>
    <w:rsid w:val="00826766"/>
    <w:rsid w:val="008270AA"/>
    <w:rsid w:val="008313D0"/>
    <w:rsid w:val="00831407"/>
    <w:rsid w:val="008326DB"/>
    <w:rsid w:val="0083483F"/>
    <w:rsid w:val="0083492B"/>
    <w:rsid w:val="00837D6C"/>
    <w:rsid w:val="00844B7A"/>
    <w:rsid w:val="00844E45"/>
    <w:rsid w:val="00850FE3"/>
    <w:rsid w:val="00851E49"/>
    <w:rsid w:val="008558D3"/>
    <w:rsid w:val="00855DFA"/>
    <w:rsid w:val="00857D49"/>
    <w:rsid w:val="00860494"/>
    <w:rsid w:val="00861B05"/>
    <w:rsid w:val="00862995"/>
    <w:rsid w:val="00862B38"/>
    <w:rsid w:val="00864AF0"/>
    <w:rsid w:val="008714C1"/>
    <w:rsid w:val="00873885"/>
    <w:rsid w:val="00874C34"/>
    <w:rsid w:val="00877968"/>
    <w:rsid w:val="00882A15"/>
    <w:rsid w:val="00884044"/>
    <w:rsid w:val="008858A8"/>
    <w:rsid w:val="00886E46"/>
    <w:rsid w:val="00887F45"/>
    <w:rsid w:val="00890621"/>
    <w:rsid w:val="0089403B"/>
    <w:rsid w:val="0089696A"/>
    <w:rsid w:val="008A0618"/>
    <w:rsid w:val="008A0AE1"/>
    <w:rsid w:val="008A170D"/>
    <w:rsid w:val="008A1ED6"/>
    <w:rsid w:val="008A268E"/>
    <w:rsid w:val="008A71BD"/>
    <w:rsid w:val="008B2262"/>
    <w:rsid w:val="008B25F8"/>
    <w:rsid w:val="008B3C71"/>
    <w:rsid w:val="008B701E"/>
    <w:rsid w:val="008B787B"/>
    <w:rsid w:val="008C0C8D"/>
    <w:rsid w:val="008C1517"/>
    <w:rsid w:val="008C48F2"/>
    <w:rsid w:val="008C61A1"/>
    <w:rsid w:val="008C7425"/>
    <w:rsid w:val="008D19CD"/>
    <w:rsid w:val="008D32D5"/>
    <w:rsid w:val="008E1117"/>
    <w:rsid w:val="008E1A90"/>
    <w:rsid w:val="008E3158"/>
    <w:rsid w:val="008E4BFB"/>
    <w:rsid w:val="008F142C"/>
    <w:rsid w:val="008F1AA4"/>
    <w:rsid w:val="008F345E"/>
    <w:rsid w:val="008F4F8B"/>
    <w:rsid w:val="008F5616"/>
    <w:rsid w:val="00900476"/>
    <w:rsid w:val="00900740"/>
    <w:rsid w:val="0090114E"/>
    <w:rsid w:val="00902D2B"/>
    <w:rsid w:val="009060A3"/>
    <w:rsid w:val="00906B16"/>
    <w:rsid w:val="00910B14"/>
    <w:rsid w:val="00910DF8"/>
    <w:rsid w:val="00911453"/>
    <w:rsid w:val="009123CA"/>
    <w:rsid w:val="009135CA"/>
    <w:rsid w:val="00917E92"/>
    <w:rsid w:val="009221F8"/>
    <w:rsid w:val="00926B0A"/>
    <w:rsid w:val="00926C28"/>
    <w:rsid w:val="009271A5"/>
    <w:rsid w:val="009343BD"/>
    <w:rsid w:val="009347CF"/>
    <w:rsid w:val="00940032"/>
    <w:rsid w:val="0094052A"/>
    <w:rsid w:val="009412C4"/>
    <w:rsid w:val="0094258A"/>
    <w:rsid w:val="00942E2E"/>
    <w:rsid w:val="00945265"/>
    <w:rsid w:val="00950E91"/>
    <w:rsid w:val="00951815"/>
    <w:rsid w:val="00951AA5"/>
    <w:rsid w:val="00952957"/>
    <w:rsid w:val="00952A9C"/>
    <w:rsid w:val="009535ED"/>
    <w:rsid w:val="0097085B"/>
    <w:rsid w:val="0097131A"/>
    <w:rsid w:val="0097284A"/>
    <w:rsid w:val="00974EC2"/>
    <w:rsid w:val="00977DC2"/>
    <w:rsid w:val="00981E0D"/>
    <w:rsid w:val="0099305E"/>
    <w:rsid w:val="00995E5B"/>
    <w:rsid w:val="009970E2"/>
    <w:rsid w:val="009971DC"/>
    <w:rsid w:val="009A01B5"/>
    <w:rsid w:val="009A5A0B"/>
    <w:rsid w:val="009A5DA9"/>
    <w:rsid w:val="009A6C55"/>
    <w:rsid w:val="009B0628"/>
    <w:rsid w:val="009B32DC"/>
    <w:rsid w:val="009B55F7"/>
    <w:rsid w:val="009B56D7"/>
    <w:rsid w:val="009B7799"/>
    <w:rsid w:val="009C3362"/>
    <w:rsid w:val="009C3A34"/>
    <w:rsid w:val="009C7697"/>
    <w:rsid w:val="009D023A"/>
    <w:rsid w:val="009D0BC6"/>
    <w:rsid w:val="009D1B03"/>
    <w:rsid w:val="009D5644"/>
    <w:rsid w:val="009D6759"/>
    <w:rsid w:val="009D6D72"/>
    <w:rsid w:val="009D73E6"/>
    <w:rsid w:val="009D773E"/>
    <w:rsid w:val="009E17C9"/>
    <w:rsid w:val="009E209E"/>
    <w:rsid w:val="009E237A"/>
    <w:rsid w:val="009E55BD"/>
    <w:rsid w:val="009E56FC"/>
    <w:rsid w:val="009E66CF"/>
    <w:rsid w:val="009F07B3"/>
    <w:rsid w:val="009F152A"/>
    <w:rsid w:val="009F5A85"/>
    <w:rsid w:val="00A01EDE"/>
    <w:rsid w:val="00A11658"/>
    <w:rsid w:val="00A1240D"/>
    <w:rsid w:val="00A139D6"/>
    <w:rsid w:val="00A14027"/>
    <w:rsid w:val="00A173F9"/>
    <w:rsid w:val="00A17F05"/>
    <w:rsid w:val="00A23DE6"/>
    <w:rsid w:val="00A2486E"/>
    <w:rsid w:val="00A2514B"/>
    <w:rsid w:val="00A26824"/>
    <w:rsid w:val="00A27F32"/>
    <w:rsid w:val="00A30819"/>
    <w:rsid w:val="00A319DC"/>
    <w:rsid w:val="00A37EF9"/>
    <w:rsid w:val="00A41844"/>
    <w:rsid w:val="00A45537"/>
    <w:rsid w:val="00A46238"/>
    <w:rsid w:val="00A46BD3"/>
    <w:rsid w:val="00A50588"/>
    <w:rsid w:val="00A77BD5"/>
    <w:rsid w:val="00A81770"/>
    <w:rsid w:val="00A8189C"/>
    <w:rsid w:val="00A8365E"/>
    <w:rsid w:val="00A836F4"/>
    <w:rsid w:val="00A87675"/>
    <w:rsid w:val="00A87C62"/>
    <w:rsid w:val="00A9436F"/>
    <w:rsid w:val="00AA0B83"/>
    <w:rsid w:val="00AA3719"/>
    <w:rsid w:val="00AA3A37"/>
    <w:rsid w:val="00AA6884"/>
    <w:rsid w:val="00AB163E"/>
    <w:rsid w:val="00AB610F"/>
    <w:rsid w:val="00AC1020"/>
    <w:rsid w:val="00AC3E49"/>
    <w:rsid w:val="00AC69E9"/>
    <w:rsid w:val="00AC79A9"/>
    <w:rsid w:val="00AD1516"/>
    <w:rsid w:val="00AE0110"/>
    <w:rsid w:val="00AE16C4"/>
    <w:rsid w:val="00AE33F0"/>
    <w:rsid w:val="00AE3DD0"/>
    <w:rsid w:val="00AE513E"/>
    <w:rsid w:val="00AE5181"/>
    <w:rsid w:val="00AE5FE1"/>
    <w:rsid w:val="00AE68C3"/>
    <w:rsid w:val="00AF0F3C"/>
    <w:rsid w:val="00AF17B1"/>
    <w:rsid w:val="00AF388A"/>
    <w:rsid w:val="00AF7DF1"/>
    <w:rsid w:val="00B050CC"/>
    <w:rsid w:val="00B05AF4"/>
    <w:rsid w:val="00B06B87"/>
    <w:rsid w:val="00B06C9A"/>
    <w:rsid w:val="00B10DAB"/>
    <w:rsid w:val="00B148C6"/>
    <w:rsid w:val="00B16378"/>
    <w:rsid w:val="00B2137C"/>
    <w:rsid w:val="00B241A8"/>
    <w:rsid w:val="00B2509F"/>
    <w:rsid w:val="00B26B80"/>
    <w:rsid w:val="00B26EB3"/>
    <w:rsid w:val="00B2796C"/>
    <w:rsid w:val="00B30BED"/>
    <w:rsid w:val="00B328FE"/>
    <w:rsid w:val="00B334DD"/>
    <w:rsid w:val="00B34F68"/>
    <w:rsid w:val="00B4018B"/>
    <w:rsid w:val="00B4185F"/>
    <w:rsid w:val="00B45797"/>
    <w:rsid w:val="00B459B3"/>
    <w:rsid w:val="00B465CB"/>
    <w:rsid w:val="00B4782D"/>
    <w:rsid w:val="00B511EF"/>
    <w:rsid w:val="00B51406"/>
    <w:rsid w:val="00B5147A"/>
    <w:rsid w:val="00B5254C"/>
    <w:rsid w:val="00B5359C"/>
    <w:rsid w:val="00B54B4A"/>
    <w:rsid w:val="00B55DDB"/>
    <w:rsid w:val="00B62EFA"/>
    <w:rsid w:val="00B62F98"/>
    <w:rsid w:val="00B66FB7"/>
    <w:rsid w:val="00B67472"/>
    <w:rsid w:val="00B67808"/>
    <w:rsid w:val="00B70DB5"/>
    <w:rsid w:val="00B71425"/>
    <w:rsid w:val="00B75957"/>
    <w:rsid w:val="00B7649E"/>
    <w:rsid w:val="00B80F16"/>
    <w:rsid w:val="00B81E9B"/>
    <w:rsid w:val="00B81FB0"/>
    <w:rsid w:val="00B83BC1"/>
    <w:rsid w:val="00B85B25"/>
    <w:rsid w:val="00B93215"/>
    <w:rsid w:val="00B95089"/>
    <w:rsid w:val="00BA0B5D"/>
    <w:rsid w:val="00BA1A93"/>
    <w:rsid w:val="00BA379A"/>
    <w:rsid w:val="00BA7D48"/>
    <w:rsid w:val="00BB2DFC"/>
    <w:rsid w:val="00BB3583"/>
    <w:rsid w:val="00BC0B39"/>
    <w:rsid w:val="00BC108E"/>
    <w:rsid w:val="00BC1D7E"/>
    <w:rsid w:val="00BD28BD"/>
    <w:rsid w:val="00BD5B9E"/>
    <w:rsid w:val="00BE1546"/>
    <w:rsid w:val="00BE2D33"/>
    <w:rsid w:val="00BE3863"/>
    <w:rsid w:val="00BE3F59"/>
    <w:rsid w:val="00BE7B0C"/>
    <w:rsid w:val="00BE7E5A"/>
    <w:rsid w:val="00BF09D3"/>
    <w:rsid w:val="00BF0FEF"/>
    <w:rsid w:val="00BF383C"/>
    <w:rsid w:val="00BF548D"/>
    <w:rsid w:val="00BF5BE0"/>
    <w:rsid w:val="00C00479"/>
    <w:rsid w:val="00C0782C"/>
    <w:rsid w:val="00C07853"/>
    <w:rsid w:val="00C11C5A"/>
    <w:rsid w:val="00C12A63"/>
    <w:rsid w:val="00C13962"/>
    <w:rsid w:val="00C17189"/>
    <w:rsid w:val="00C2134F"/>
    <w:rsid w:val="00C27379"/>
    <w:rsid w:val="00C31744"/>
    <w:rsid w:val="00C361D2"/>
    <w:rsid w:val="00C37C65"/>
    <w:rsid w:val="00C43D7F"/>
    <w:rsid w:val="00C43FB3"/>
    <w:rsid w:val="00C50A72"/>
    <w:rsid w:val="00C517FF"/>
    <w:rsid w:val="00C526A4"/>
    <w:rsid w:val="00C54AD6"/>
    <w:rsid w:val="00C554B6"/>
    <w:rsid w:val="00C5715B"/>
    <w:rsid w:val="00C57B5F"/>
    <w:rsid w:val="00C608AE"/>
    <w:rsid w:val="00C67852"/>
    <w:rsid w:val="00C76280"/>
    <w:rsid w:val="00C840E7"/>
    <w:rsid w:val="00C87850"/>
    <w:rsid w:val="00C9100A"/>
    <w:rsid w:val="00C91018"/>
    <w:rsid w:val="00C924D1"/>
    <w:rsid w:val="00C93D06"/>
    <w:rsid w:val="00C95AC5"/>
    <w:rsid w:val="00CA0FEC"/>
    <w:rsid w:val="00CA20B0"/>
    <w:rsid w:val="00CA3427"/>
    <w:rsid w:val="00CA51EB"/>
    <w:rsid w:val="00CB045D"/>
    <w:rsid w:val="00CC187E"/>
    <w:rsid w:val="00CC1984"/>
    <w:rsid w:val="00CC26FF"/>
    <w:rsid w:val="00CC5E6A"/>
    <w:rsid w:val="00CC6580"/>
    <w:rsid w:val="00CC6626"/>
    <w:rsid w:val="00CC66D9"/>
    <w:rsid w:val="00CC7006"/>
    <w:rsid w:val="00CD0BD0"/>
    <w:rsid w:val="00CD12ED"/>
    <w:rsid w:val="00CD345B"/>
    <w:rsid w:val="00CE1153"/>
    <w:rsid w:val="00CE16EE"/>
    <w:rsid w:val="00CE16F8"/>
    <w:rsid w:val="00CE3161"/>
    <w:rsid w:val="00CE54D8"/>
    <w:rsid w:val="00CE5BA7"/>
    <w:rsid w:val="00CE7486"/>
    <w:rsid w:val="00CF0F3B"/>
    <w:rsid w:val="00CF291D"/>
    <w:rsid w:val="00CF2EF5"/>
    <w:rsid w:val="00CF2FE6"/>
    <w:rsid w:val="00CF60CD"/>
    <w:rsid w:val="00CF72E2"/>
    <w:rsid w:val="00D00F5B"/>
    <w:rsid w:val="00D03E6E"/>
    <w:rsid w:val="00D076CD"/>
    <w:rsid w:val="00D1510D"/>
    <w:rsid w:val="00D1569A"/>
    <w:rsid w:val="00D15AF1"/>
    <w:rsid w:val="00D165A4"/>
    <w:rsid w:val="00D16AE8"/>
    <w:rsid w:val="00D2019B"/>
    <w:rsid w:val="00D20517"/>
    <w:rsid w:val="00D23C74"/>
    <w:rsid w:val="00D24AE1"/>
    <w:rsid w:val="00D36C6D"/>
    <w:rsid w:val="00D3780F"/>
    <w:rsid w:val="00D44922"/>
    <w:rsid w:val="00D44A4A"/>
    <w:rsid w:val="00D45E38"/>
    <w:rsid w:val="00D47031"/>
    <w:rsid w:val="00D50870"/>
    <w:rsid w:val="00D5157A"/>
    <w:rsid w:val="00D55D23"/>
    <w:rsid w:val="00D56E4A"/>
    <w:rsid w:val="00D57AF5"/>
    <w:rsid w:val="00D60D6E"/>
    <w:rsid w:val="00D60DA4"/>
    <w:rsid w:val="00D638C9"/>
    <w:rsid w:val="00D67544"/>
    <w:rsid w:val="00D706CC"/>
    <w:rsid w:val="00D71A36"/>
    <w:rsid w:val="00D7288F"/>
    <w:rsid w:val="00D73672"/>
    <w:rsid w:val="00D74E07"/>
    <w:rsid w:val="00D80B99"/>
    <w:rsid w:val="00D81374"/>
    <w:rsid w:val="00D8316C"/>
    <w:rsid w:val="00D84FD0"/>
    <w:rsid w:val="00D85064"/>
    <w:rsid w:val="00D85A8A"/>
    <w:rsid w:val="00D86C74"/>
    <w:rsid w:val="00D86F2E"/>
    <w:rsid w:val="00D873AC"/>
    <w:rsid w:val="00D874AC"/>
    <w:rsid w:val="00D91478"/>
    <w:rsid w:val="00D93990"/>
    <w:rsid w:val="00D95C66"/>
    <w:rsid w:val="00D96D6C"/>
    <w:rsid w:val="00D97162"/>
    <w:rsid w:val="00D97459"/>
    <w:rsid w:val="00D97C86"/>
    <w:rsid w:val="00DA036F"/>
    <w:rsid w:val="00DA1A59"/>
    <w:rsid w:val="00DA1A67"/>
    <w:rsid w:val="00DA58F0"/>
    <w:rsid w:val="00DA725C"/>
    <w:rsid w:val="00DB6542"/>
    <w:rsid w:val="00DC198C"/>
    <w:rsid w:val="00DC2214"/>
    <w:rsid w:val="00DC243C"/>
    <w:rsid w:val="00DC2703"/>
    <w:rsid w:val="00DC4F2D"/>
    <w:rsid w:val="00DC738B"/>
    <w:rsid w:val="00DD64F2"/>
    <w:rsid w:val="00DD7201"/>
    <w:rsid w:val="00DE40AF"/>
    <w:rsid w:val="00DE68EE"/>
    <w:rsid w:val="00DE79AD"/>
    <w:rsid w:val="00DF298C"/>
    <w:rsid w:val="00DF7B2C"/>
    <w:rsid w:val="00DF7D86"/>
    <w:rsid w:val="00E05E49"/>
    <w:rsid w:val="00E0615E"/>
    <w:rsid w:val="00E06415"/>
    <w:rsid w:val="00E13FE4"/>
    <w:rsid w:val="00E1471F"/>
    <w:rsid w:val="00E2675D"/>
    <w:rsid w:val="00E271CF"/>
    <w:rsid w:val="00E305DD"/>
    <w:rsid w:val="00E31E22"/>
    <w:rsid w:val="00E32D34"/>
    <w:rsid w:val="00E33CAC"/>
    <w:rsid w:val="00E34AB9"/>
    <w:rsid w:val="00E358B7"/>
    <w:rsid w:val="00E4304B"/>
    <w:rsid w:val="00E434BC"/>
    <w:rsid w:val="00E45D22"/>
    <w:rsid w:val="00E500F4"/>
    <w:rsid w:val="00E50D55"/>
    <w:rsid w:val="00E519DF"/>
    <w:rsid w:val="00E554D4"/>
    <w:rsid w:val="00E5593E"/>
    <w:rsid w:val="00E6000B"/>
    <w:rsid w:val="00E63238"/>
    <w:rsid w:val="00E638A7"/>
    <w:rsid w:val="00E65FED"/>
    <w:rsid w:val="00E67804"/>
    <w:rsid w:val="00E70179"/>
    <w:rsid w:val="00E713EE"/>
    <w:rsid w:val="00E72245"/>
    <w:rsid w:val="00E8343A"/>
    <w:rsid w:val="00E84C3D"/>
    <w:rsid w:val="00E85556"/>
    <w:rsid w:val="00E87638"/>
    <w:rsid w:val="00E93D4C"/>
    <w:rsid w:val="00E94262"/>
    <w:rsid w:val="00E94F2E"/>
    <w:rsid w:val="00E9522A"/>
    <w:rsid w:val="00E97D41"/>
    <w:rsid w:val="00EA1BFC"/>
    <w:rsid w:val="00EA2162"/>
    <w:rsid w:val="00EA2439"/>
    <w:rsid w:val="00EA282F"/>
    <w:rsid w:val="00EB0CD9"/>
    <w:rsid w:val="00EB5538"/>
    <w:rsid w:val="00EC1B0D"/>
    <w:rsid w:val="00EC2402"/>
    <w:rsid w:val="00EC35AA"/>
    <w:rsid w:val="00EC6C0C"/>
    <w:rsid w:val="00EC7D5C"/>
    <w:rsid w:val="00ED08BE"/>
    <w:rsid w:val="00ED09E3"/>
    <w:rsid w:val="00ED2850"/>
    <w:rsid w:val="00ED2949"/>
    <w:rsid w:val="00ED7F2E"/>
    <w:rsid w:val="00EE3613"/>
    <w:rsid w:val="00EF173E"/>
    <w:rsid w:val="00EF3563"/>
    <w:rsid w:val="00EF42E1"/>
    <w:rsid w:val="00EF4B3F"/>
    <w:rsid w:val="00EF66B3"/>
    <w:rsid w:val="00EF787C"/>
    <w:rsid w:val="00F03879"/>
    <w:rsid w:val="00F0476A"/>
    <w:rsid w:val="00F17F1C"/>
    <w:rsid w:val="00F222E2"/>
    <w:rsid w:val="00F248D5"/>
    <w:rsid w:val="00F25102"/>
    <w:rsid w:val="00F2552C"/>
    <w:rsid w:val="00F25846"/>
    <w:rsid w:val="00F25FE5"/>
    <w:rsid w:val="00F26EA6"/>
    <w:rsid w:val="00F30A7C"/>
    <w:rsid w:val="00F31A0C"/>
    <w:rsid w:val="00F32A21"/>
    <w:rsid w:val="00F345BA"/>
    <w:rsid w:val="00F36459"/>
    <w:rsid w:val="00F41AC8"/>
    <w:rsid w:val="00F43E0C"/>
    <w:rsid w:val="00F512C5"/>
    <w:rsid w:val="00F51CDB"/>
    <w:rsid w:val="00F52F26"/>
    <w:rsid w:val="00F53669"/>
    <w:rsid w:val="00F53E8E"/>
    <w:rsid w:val="00F6061B"/>
    <w:rsid w:val="00F66297"/>
    <w:rsid w:val="00F66656"/>
    <w:rsid w:val="00F67EFE"/>
    <w:rsid w:val="00F74BF1"/>
    <w:rsid w:val="00F75150"/>
    <w:rsid w:val="00F76F53"/>
    <w:rsid w:val="00F77115"/>
    <w:rsid w:val="00F82809"/>
    <w:rsid w:val="00F848E1"/>
    <w:rsid w:val="00F84AEB"/>
    <w:rsid w:val="00F85FAE"/>
    <w:rsid w:val="00F86CFC"/>
    <w:rsid w:val="00F91378"/>
    <w:rsid w:val="00F91B1D"/>
    <w:rsid w:val="00F9450C"/>
    <w:rsid w:val="00F94C54"/>
    <w:rsid w:val="00FA207C"/>
    <w:rsid w:val="00FB0571"/>
    <w:rsid w:val="00FB0F24"/>
    <w:rsid w:val="00FB3863"/>
    <w:rsid w:val="00FB470C"/>
    <w:rsid w:val="00FB6711"/>
    <w:rsid w:val="00FB7E04"/>
    <w:rsid w:val="00FC1C6B"/>
    <w:rsid w:val="00FC205B"/>
    <w:rsid w:val="00FC4EC5"/>
    <w:rsid w:val="00FC74D8"/>
    <w:rsid w:val="00FD075E"/>
    <w:rsid w:val="00FD0F81"/>
    <w:rsid w:val="00FD6179"/>
    <w:rsid w:val="00FE1B6F"/>
    <w:rsid w:val="00FE3175"/>
    <w:rsid w:val="00FE4ACA"/>
    <w:rsid w:val="00FE7780"/>
    <w:rsid w:val="00FE7DA6"/>
    <w:rsid w:val="00FF1144"/>
    <w:rsid w:val="00FF2C9B"/>
    <w:rsid w:val="00FF30B9"/>
    <w:rsid w:val="00FF59B3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9484cdd10eef6821e7a2116adad4312d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c7ec3bc38ad9f4e43066aab6f090bf11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604E641-F103-4BD8-991C-0806A2393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151913-9AEB-4770-9FC5-0BEC63FF2063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5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791</Words>
  <Characters>4509</Characters>
  <Application>Microsoft Office Word</Application>
  <DocSecurity>4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Camyl Moreno Pantojas</cp:lastModifiedBy>
  <cp:revision>2</cp:revision>
  <cp:lastPrinted>2026-06-25T12:54:00Z</cp:lastPrinted>
  <dcterms:created xsi:type="dcterms:W3CDTF">2026-06-25T18:36:00Z</dcterms:created>
  <dcterms:modified xsi:type="dcterms:W3CDTF">2026-06-25T18:36:00Z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  <property fmtid="{D5CDD505-2E9C-101B-9397-08002B2CF9AE}" pid="4" name="docLang">
    <vt:lpwstr>es</vt:lpwstr>
  </property>
</Properties>
</file>