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AAA04" w14:textId="77777777" w:rsidR="00DB541B" w:rsidRDefault="00DB541B" w:rsidP="00DB541B">
      <w:pPr>
        <w:tabs>
          <w:tab w:val="center" w:pos="4680"/>
        </w:tabs>
        <w:jc w:val="center"/>
        <w:rPr>
          <w:rFonts w:ascii="Book Antiqua" w:hAnsi="Book Antiqua"/>
          <w:sz w:val="28"/>
          <w:szCs w:val="28"/>
          <w:lang w:val="es-ES_tradnl"/>
        </w:rPr>
      </w:pPr>
      <w:r>
        <w:rPr>
          <w:rFonts w:ascii="Book Antiqua" w:hAnsi="Book Antiqua"/>
          <w:sz w:val="28"/>
          <w:szCs w:val="28"/>
          <w:lang w:val="es-ES_tradnl"/>
        </w:rPr>
        <w:t>GOBIERNO DE PUERTO RICO</w:t>
      </w:r>
    </w:p>
    <w:p w14:paraId="34891D3E" w14:textId="77777777" w:rsidR="00DB541B" w:rsidRDefault="00DB541B" w:rsidP="00DB541B">
      <w:pPr>
        <w:tabs>
          <w:tab w:val="center" w:pos="4680"/>
        </w:tabs>
        <w:jc w:val="center"/>
        <w:rPr>
          <w:rFonts w:ascii="Book Antiqua" w:hAnsi="Book Antiqua"/>
          <w:szCs w:val="24"/>
          <w:lang w:val="es-ES_tradnl"/>
        </w:rPr>
      </w:pPr>
    </w:p>
    <w:p w14:paraId="0B33996F" w14:textId="42A09AFB" w:rsidR="00DB541B" w:rsidRDefault="00DB541B" w:rsidP="00DB541B">
      <w:pPr>
        <w:pStyle w:val="Title2"/>
        <w:rPr>
          <w:rFonts w:ascii="Book Antiqua" w:hAnsi="Book Antiqua"/>
          <w:lang w:val="es-ES_tradnl"/>
        </w:rPr>
      </w:pPr>
      <w:r>
        <w:rPr>
          <w:rFonts w:ascii="Book Antiqua" w:hAnsi="Book Antiqua"/>
          <w:lang w:val="es-ES_tradnl"/>
        </w:rPr>
        <w:t xml:space="preserve">20 </w:t>
      </w:r>
      <w:r w:rsidRPr="009704F0">
        <w:rPr>
          <w:rFonts w:ascii="Book Antiqua" w:hAnsi="Book Antiqua"/>
          <w:vertAlign w:val="superscript"/>
        </w:rPr>
        <w:t>ma</w:t>
      </w:r>
      <w:r>
        <w:rPr>
          <w:rFonts w:ascii="Book Antiqua" w:hAnsi="Book Antiqua"/>
          <w:lang w:val="es-ES_tradnl"/>
        </w:rPr>
        <w:tab/>
        <w:t>Asamblea</w:t>
      </w:r>
      <w:r>
        <w:rPr>
          <w:rFonts w:ascii="Book Antiqua" w:hAnsi="Book Antiqua"/>
          <w:lang w:val="es-ES_tradnl"/>
        </w:rPr>
        <w:tab/>
      </w:r>
      <w:r w:rsidR="00DB65FB">
        <w:rPr>
          <w:rFonts w:ascii="Book Antiqua" w:hAnsi="Book Antiqua"/>
          <w:lang w:val="es-ES_tradnl"/>
        </w:rPr>
        <w:t>3</w:t>
      </w:r>
      <w:r w:rsidR="00CD5EC0">
        <w:rPr>
          <w:rFonts w:ascii="Book Antiqua" w:hAnsi="Book Antiqua"/>
          <w:lang w:val="es-ES_tradnl"/>
        </w:rPr>
        <w:t xml:space="preserve"> </w:t>
      </w:r>
      <w:r w:rsidR="00DB65FB">
        <w:rPr>
          <w:rFonts w:ascii="Book Antiqua" w:hAnsi="Book Antiqua"/>
          <w:vertAlign w:val="superscript"/>
          <w:lang w:val="es-ES_tradnl"/>
        </w:rPr>
        <w:t>r</w:t>
      </w:r>
      <w:r>
        <w:rPr>
          <w:rFonts w:ascii="Book Antiqua" w:hAnsi="Book Antiqua"/>
          <w:vertAlign w:val="superscript"/>
          <w:lang w:val="es-ES_tradnl"/>
        </w:rPr>
        <w:t>a</w:t>
      </w:r>
      <w:r>
        <w:rPr>
          <w:rFonts w:ascii="Book Antiqua" w:hAnsi="Book Antiqua"/>
          <w:lang w:val="es-ES_tradnl"/>
        </w:rPr>
        <w:tab/>
        <w:t>Sesión</w:t>
      </w:r>
    </w:p>
    <w:p w14:paraId="5591FCDB" w14:textId="77777777" w:rsidR="00DB541B" w:rsidRDefault="00DB541B" w:rsidP="00DB541B">
      <w:pPr>
        <w:tabs>
          <w:tab w:val="left" w:pos="7560"/>
        </w:tabs>
        <w:rPr>
          <w:rFonts w:ascii="Book Antiqua" w:hAnsi="Book Antiqua"/>
          <w:szCs w:val="24"/>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r>
        <w:rPr>
          <w:rFonts w:ascii="Book Antiqua" w:hAnsi="Book Antiqua"/>
          <w:szCs w:val="24"/>
          <w:lang w:val="es-ES_tradnl"/>
        </w:rPr>
        <w:t xml:space="preserve"> </w:t>
      </w:r>
    </w:p>
    <w:p w14:paraId="5C9E4CFA" w14:textId="77777777" w:rsidR="00DB541B" w:rsidRDefault="00DB541B" w:rsidP="00DB541B">
      <w:pPr>
        <w:rPr>
          <w:rFonts w:ascii="Book Antiqua" w:hAnsi="Book Antiqua"/>
          <w:szCs w:val="24"/>
          <w:lang w:val="es-ES_tradnl"/>
        </w:rPr>
      </w:pPr>
    </w:p>
    <w:p w14:paraId="25DE88F8" w14:textId="77777777" w:rsidR="00FF78A0" w:rsidRDefault="00FF78A0" w:rsidP="00DB541B">
      <w:pPr>
        <w:rPr>
          <w:rFonts w:ascii="Book Antiqua" w:hAnsi="Book Antiqua"/>
          <w:szCs w:val="24"/>
          <w:lang w:val="es-ES_tradnl"/>
        </w:rPr>
      </w:pPr>
    </w:p>
    <w:p w14:paraId="3FFBF07B" w14:textId="77777777" w:rsidR="00DB541B" w:rsidRDefault="00DB541B" w:rsidP="00DB541B">
      <w:pPr>
        <w:jc w:val="center"/>
        <w:rPr>
          <w:rFonts w:ascii="Book Antiqua" w:hAnsi="Book Antiqua"/>
          <w:b/>
          <w:sz w:val="36"/>
          <w:szCs w:val="36"/>
          <w:lang w:val="es-ES_tradnl"/>
        </w:rPr>
      </w:pPr>
      <w:r>
        <w:rPr>
          <w:rFonts w:ascii="Book Antiqua" w:hAnsi="Book Antiqua"/>
          <w:b/>
          <w:sz w:val="36"/>
          <w:szCs w:val="36"/>
          <w:lang w:val="es-ES_tradnl"/>
        </w:rPr>
        <w:t>CÁMARA DE REPRESENTANTES</w:t>
      </w:r>
    </w:p>
    <w:p w14:paraId="3F457A79" w14:textId="77777777" w:rsidR="00DB541B" w:rsidRDefault="00DB541B" w:rsidP="00DB541B">
      <w:pPr>
        <w:jc w:val="center"/>
        <w:rPr>
          <w:rFonts w:ascii="Book Antiqua" w:hAnsi="Book Antiqua"/>
          <w:szCs w:val="24"/>
          <w:lang w:val="es-ES_tradnl"/>
        </w:rPr>
      </w:pPr>
    </w:p>
    <w:p w14:paraId="67783AFD" w14:textId="3406320D" w:rsidR="00DB541B" w:rsidRDefault="00DB541B" w:rsidP="00DB541B">
      <w:pPr>
        <w:jc w:val="center"/>
        <w:rPr>
          <w:rFonts w:ascii="Book Antiqua" w:hAnsi="Book Antiqua"/>
          <w:b/>
          <w:sz w:val="52"/>
          <w:szCs w:val="52"/>
          <w:lang w:val="es-ES_tradnl"/>
        </w:rPr>
      </w:pPr>
      <w:r>
        <w:rPr>
          <w:rFonts w:ascii="Book Antiqua" w:hAnsi="Book Antiqua"/>
          <w:b/>
          <w:sz w:val="52"/>
          <w:szCs w:val="52"/>
          <w:lang w:val="es-ES_tradnl"/>
        </w:rPr>
        <w:t xml:space="preserve">P. de la C. </w:t>
      </w:r>
      <w:r w:rsidR="00E51EDC">
        <w:rPr>
          <w:rFonts w:ascii="Book Antiqua" w:hAnsi="Book Antiqua"/>
          <w:b/>
          <w:sz w:val="52"/>
          <w:szCs w:val="52"/>
          <w:lang w:val="es-ES_tradnl"/>
        </w:rPr>
        <w:t>1258</w:t>
      </w:r>
    </w:p>
    <w:p w14:paraId="0A7BDD3F" w14:textId="77777777" w:rsidR="00DB541B" w:rsidRDefault="00DB541B" w:rsidP="00DB541B">
      <w:pPr>
        <w:jc w:val="center"/>
        <w:rPr>
          <w:rFonts w:ascii="Book Antiqua" w:hAnsi="Book Antiqua"/>
          <w:szCs w:val="24"/>
          <w:lang w:val="es-ES_tradnl"/>
        </w:rPr>
      </w:pPr>
    </w:p>
    <w:p w14:paraId="4CE36B7D" w14:textId="081CC7F8" w:rsidR="00DB541B" w:rsidRDefault="009934D0" w:rsidP="00DB541B">
      <w:pPr>
        <w:jc w:val="center"/>
        <w:rPr>
          <w:rFonts w:ascii="Book Antiqua" w:hAnsi="Book Antiqua"/>
          <w:szCs w:val="24"/>
          <w:lang w:val="es-ES_tradnl"/>
        </w:rPr>
      </w:pPr>
      <w:r>
        <w:rPr>
          <w:rFonts w:ascii="Book Antiqua" w:hAnsi="Book Antiqua"/>
          <w:szCs w:val="24"/>
          <w:lang w:val="es-ES_tradnl"/>
        </w:rPr>
        <w:t>6</w:t>
      </w:r>
      <w:r w:rsidR="00D86DA1">
        <w:rPr>
          <w:rFonts w:ascii="Book Antiqua" w:hAnsi="Book Antiqua"/>
          <w:szCs w:val="24"/>
          <w:lang w:val="es-ES_tradnl"/>
        </w:rPr>
        <w:t xml:space="preserve"> de </w:t>
      </w:r>
      <w:r w:rsidR="000958AD">
        <w:rPr>
          <w:rFonts w:ascii="Book Antiqua" w:hAnsi="Book Antiqua"/>
          <w:szCs w:val="24"/>
          <w:lang w:val="es-ES_tradnl"/>
        </w:rPr>
        <w:t>MAY</w:t>
      </w:r>
      <w:r w:rsidR="00D86DA1">
        <w:rPr>
          <w:rFonts w:ascii="Book Antiqua" w:hAnsi="Book Antiqua"/>
          <w:szCs w:val="24"/>
          <w:lang w:val="es-ES_tradnl"/>
        </w:rPr>
        <w:t>O</w:t>
      </w:r>
      <w:r w:rsidR="00DB541B">
        <w:rPr>
          <w:rFonts w:ascii="Book Antiqua" w:hAnsi="Book Antiqua"/>
          <w:szCs w:val="24"/>
          <w:lang w:val="es-ES_tradnl"/>
        </w:rPr>
        <w:t xml:space="preserve"> DE 202</w:t>
      </w:r>
      <w:r w:rsidR="00DB65FB">
        <w:rPr>
          <w:rFonts w:ascii="Book Antiqua" w:hAnsi="Book Antiqua"/>
          <w:szCs w:val="24"/>
          <w:lang w:val="es-ES_tradnl"/>
        </w:rPr>
        <w:t>6</w:t>
      </w:r>
    </w:p>
    <w:p w14:paraId="4B9F7DB1" w14:textId="77777777" w:rsidR="00DB541B" w:rsidRDefault="00DB541B" w:rsidP="00DB541B">
      <w:pPr>
        <w:jc w:val="center"/>
        <w:rPr>
          <w:rFonts w:ascii="Book Antiqua" w:hAnsi="Book Antiqua"/>
          <w:i/>
          <w:szCs w:val="24"/>
          <w:lang w:val="es-ES_tradnl"/>
        </w:rPr>
      </w:pPr>
    </w:p>
    <w:p w14:paraId="40A5BCA1" w14:textId="77777777" w:rsidR="00DB541B" w:rsidRDefault="00DB541B" w:rsidP="00DB541B">
      <w:pPr>
        <w:ind w:left="720" w:hanging="720"/>
        <w:jc w:val="center"/>
        <w:rPr>
          <w:rFonts w:ascii="Book Antiqua" w:hAnsi="Book Antiqua"/>
          <w:i/>
          <w:szCs w:val="24"/>
          <w:lang w:val="es-ES_tradnl"/>
        </w:rPr>
      </w:pPr>
      <w:r>
        <w:rPr>
          <w:rFonts w:ascii="Book Antiqua" w:hAnsi="Book Antiqua"/>
          <w:szCs w:val="24"/>
          <w:lang w:val="es-ES_tradnl"/>
        </w:rPr>
        <w:t xml:space="preserve">Presentado por el representante </w:t>
      </w:r>
      <w:r>
        <w:rPr>
          <w:rFonts w:ascii="Book Antiqua" w:hAnsi="Book Antiqua"/>
          <w:i/>
          <w:szCs w:val="24"/>
          <w:lang w:val="es-ES_tradnl"/>
        </w:rPr>
        <w:t>Santiago Guzmán</w:t>
      </w:r>
    </w:p>
    <w:p w14:paraId="536BFA66" w14:textId="77777777" w:rsidR="00DB541B" w:rsidRPr="00436506" w:rsidRDefault="00DB541B" w:rsidP="00DB541B">
      <w:pPr>
        <w:ind w:left="720" w:hanging="720"/>
        <w:jc w:val="center"/>
        <w:rPr>
          <w:rFonts w:ascii="Book Antiqua" w:hAnsi="Book Antiqua"/>
          <w:i/>
          <w:szCs w:val="24"/>
          <w:lang w:val="es-ES_tradnl"/>
        </w:rPr>
      </w:pPr>
    </w:p>
    <w:p w14:paraId="7071F770" w14:textId="753E7E74" w:rsidR="00DB541B" w:rsidRDefault="00DB541B" w:rsidP="00DB541B">
      <w:pPr>
        <w:jc w:val="center"/>
        <w:rPr>
          <w:rFonts w:ascii="Book Antiqua" w:hAnsi="Book Antiqua"/>
          <w:szCs w:val="24"/>
          <w:lang w:val="es-ES_tradnl"/>
        </w:rPr>
      </w:pPr>
      <w:r>
        <w:rPr>
          <w:rFonts w:ascii="Book Antiqua" w:hAnsi="Book Antiqua"/>
          <w:szCs w:val="24"/>
          <w:lang w:val="es-ES_tradnl"/>
        </w:rPr>
        <w:t xml:space="preserve">Referido a </w:t>
      </w:r>
      <w:r w:rsidR="00436506">
        <w:rPr>
          <w:rFonts w:ascii="Book Antiqua" w:hAnsi="Book Antiqua"/>
          <w:szCs w:val="24"/>
          <w:lang w:val="es-ES_tradnl"/>
        </w:rPr>
        <w:t>la Comisión de Seguridad Pública</w:t>
      </w:r>
    </w:p>
    <w:p w14:paraId="5F2E8277" w14:textId="77777777" w:rsidR="00DB541B" w:rsidRDefault="00DB541B" w:rsidP="00DB541B">
      <w:pPr>
        <w:jc w:val="center"/>
        <w:rPr>
          <w:rFonts w:ascii="Book Antiqua" w:hAnsi="Book Antiqua"/>
          <w:bCs/>
          <w:szCs w:val="24"/>
          <w:lang w:val="es-ES_tradnl"/>
        </w:rPr>
      </w:pPr>
    </w:p>
    <w:p w14:paraId="164FF5F6" w14:textId="77777777" w:rsidR="00DB541B" w:rsidRDefault="00DB541B" w:rsidP="00DB541B">
      <w:pPr>
        <w:jc w:val="center"/>
        <w:rPr>
          <w:rFonts w:ascii="Book Antiqua" w:hAnsi="Book Antiqua"/>
          <w:b/>
          <w:sz w:val="28"/>
          <w:lang w:val="es-ES_tradnl"/>
        </w:rPr>
      </w:pPr>
      <w:r>
        <w:rPr>
          <w:rFonts w:ascii="Book Antiqua" w:hAnsi="Book Antiqua"/>
          <w:b/>
          <w:sz w:val="28"/>
          <w:lang w:val="es-ES_tradnl"/>
        </w:rPr>
        <w:t>LEY</w:t>
      </w:r>
    </w:p>
    <w:p w14:paraId="15B4D609" w14:textId="77777777" w:rsidR="00BF7072" w:rsidRPr="008F1DE6" w:rsidRDefault="00BF7072" w:rsidP="00FB572D">
      <w:pPr>
        <w:jc w:val="both"/>
        <w:rPr>
          <w:rFonts w:ascii="Book Antiqua" w:hAnsi="Book Antiqua"/>
          <w:lang w:val="es-ES_tradnl"/>
        </w:rPr>
      </w:pPr>
    </w:p>
    <w:p w14:paraId="3C05D30F" w14:textId="23A9AA95" w:rsidR="00BF7072" w:rsidRPr="00662714" w:rsidRDefault="00BF7072" w:rsidP="00011676">
      <w:pPr>
        <w:ind w:left="540" w:hanging="540"/>
        <w:jc w:val="both"/>
        <w:rPr>
          <w:rFonts w:ascii="Book Antiqua" w:hAnsi="Book Antiqua"/>
          <w:lang w:val="es-ES_tradnl"/>
        </w:rPr>
      </w:pPr>
      <w:r w:rsidRPr="00662714">
        <w:rPr>
          <w:rFonts w:ascii="Book Antiqua" w:hAnsi="Book Antiqua"/>
          <w:lang w:val="es-ES_tradnl"/>
        </w:rPr>
        <w:t xml:space="preserve">Para </w:t>
      </w:r>
      <w:r w:rsidR="00065071" w:rsidRPr="00D00D58">
        <w:rPr>
          <w:rFonts w:ascii="Book Antiqua" w:hAnsi="Book Antiqua"/>
        </w:rPr>
        <w:t xml:space="preserve">enmendar </w:t>
      </w:r>
      <w:r w:rsidR="007B36F8">
        <w:rPr>
          <w:rFonts w:ascii="Book Antiqua" w:hAnsi="Book Antiqua"/>
        </w:rPr>
        <w:t>el</w:t>
      </w:r>
      <w:r w:rsidR="008F1658">
        <w:rPr>
          <w:rFonts w:ascii="Book Antiqua" w:hAnsi="Book Antiqua"/>
        </w:rPr>
        <w:t xml:space="preserve"> Artículo 1.02</w:t>
      </w:r>
      <w:r w:rsidR="00397719">
        <w:rPr>
          <w:rFonts w:ascii="Book Antiqua" w:hAnsi="Book Antiqua"/>
        </w:rPr>
        <w:t xml:space="preserve"> y</w:t>
      </w:r>
      <w:r w:rsidR="00DE7F9D">
        <w:rPr>
          <w:rFonts w:ascii="Book Antiqua" w:hAnsi="Book Antiqua"/>
        </w:rPr>
        <w:t xml:space="preserve"> crear un nuevo Artículo</w:t>
      </w:r>
      <w:r w:rsidR="00397719">
        <w:rPr>
          <w:rFonts w:ascii="Book Antiqua" w:hAnsi="Book Antiqua"/>
        </w:rPr>
        <w:t xml:space="preserve"> </w:t>
      </w:r>
      <w:r w:rsidR="0032270A">
        <w:rPr>
          <w:rFonts w:ascii="Book Antiqua" w:hAnsi="Book Antiqua"/>
        </w:rPr>
        <w:t>6.</w:t>
      </w:r>
      <w:r w:rsidR="000A7B4D">
        <w:rPr>
          <w:rFonts w:ascii="Book Antiqua" w:hAnsi="Book Antiqua"/>
        </w:rPr>
        <w:t>27</w:t>
      </w:r>
      <w:r w:rsidR="0032270A">
        <w:rPr>
          <w:rFonts w:ascii="Book Antiqua" w:hAnsi="Book Antiqua"/>
        </w:rPr>
        <w:t xml:space="preserve"> </w:t>
      </w:r>
      <w:r w:rsidR="008F1658">
        <w:rPr>
          <w:rFonts w:ascii="Book Antiqua" w:hAnsi="Book Antiqua"/>
        </w:rPr>
        <w:t xml:space="preserve">de </w:t>
      </w:r>
      <w:r w:rsidR="00065071" w:rsidRPr="00D00D58">
        <w:rPr>
          <w:rFonts w:ascii="Book Antiqua" w:hAnsi="Book Antiqua"/>
        </w:rPr>
        <w:t xml:space="preserve">la Ley 168-2019, según enmendada, conocida como la “Ley de Armas de Puerto Rico de 2020”, a los fines de prohibir la manufactura, importación, venta, transferencia, posesión o uso de dispositivos de aumento de cadencia de disparo (“rate-of-fire enhancement devices”), incluyendo gatillos binarios, “forced reset triggers” y otros mecanismos de “rapid fire”; disponer excepciones limitadas para agentes del orden público en funciones oficiales; </w:t>
      </w:r>
      <w:r w:rsidR="000A7B4D">
        <w:rPr>
          <w:rFonts w:ascii="Book Antiqua" w:hAnsi="Book Antiqua"/>
        </w:rPr>
        <w:t>definir concepto</w:t>
      </w:r>
      <w:r w:rsidR="001B51C8">
        <w:rPr>
          <w:rFonts w:ascii="Book Antiqua" w:hAnsi="Book Antiqua"/>
        </w:rPr>
        <w:t xml:space="preserve">s; </w:t>
      </w:r>
      <w:r w:rsidR="00065071" w:rsidRPr="00D00D58">
        <w:rPr>
          <w:rFonts w:ascii="Book Antiqua" w:hAnsi="Book Antiqua"/>
        </w:rPr>
        <w:t>establecer penalidades; crear un periodo de entrega voluntaria sin penalidad; facultar reglamentación; y para otros fines relacionados</w:t>
      </w:r>
      <w:r w:rsidR="00ED59A9" w:rsidRPr="00D00D58">
        <w:rPr>
          <w:rFonts w:ascii="Book Antiqua" w:hAnsi="Book Antiqua"/>
          <w:lang w:val="es-ES_tradnl"/>
        </w:rPr>
        <w:t>.</w:t>
      </w:r>
      <w:r w:rsidR="00DD799D">
        <w:rPr>
          <w:rFonts w:ascii="Book Antiqua" w:hAnsi="Book Antiqua"/>
          <w:lang w:val="es-ES_tradnl"/>
        </w:rPr>
        <w:t xml:space="preserve">  </w:t>
      </w:r>
    </w:p>
    <w:p w14:paraId="2273C9BA" w14:textId="77777777" w:rsidR="00011676" w:rsidRPr="008F1DE6" w:rsidRDefault="00011676" w:rsidP="00011676">
      <w:pPr>
        <w:ind w:left="540" w:hanging="540"/>
        <w:jc w:val="both"/>
        <w:rPr>
          <w:rFonts w:ascii="Book Antiqua" w:hAnsi="Book Antiqua"/>
          <w:lang w:val="es-ES_tradnl"/>
        </w:rPr>
      </w:pPr>
    </w:p>
    <w:p w14:paraId="48E2F99F" w14:textId="5BD3BA9C" w:rsidR="00EE4603" w:rsidRDefault="00BF7072" w:rsidP="005C3EF1">
      <w:pPr>
        <w:ind w:firstLine="360"/>
        <w:jc w:val="center"/>
        <w:rPr>
          <w:rFonts w:ascii="Book Antiqua" w:hAnsi="Book Antiqua"/>
          <w:lang w:val="es-ES_tradnl"/>
        </w:rPr>
      </w:pPr>
      <w:r w:rsidRPr="008F1DE6">
        <w:rPr>
          <w:rFonts w:ascii="Book Antiqua" w:hAnsi="Book Antiqua"/>
          <w:lang w:val="es-ES_tradnl"/>
        </w:rPr>
        <w:t>EXPOSICIÓN DE MOTIVOS</w:t>
      </w:r>
    </w:p>
    <w:p w14:paraId="755D5C7A" w14:textId="77777777" w:rsidR="005C3EF1" w:rsidRPr="005C3EF1" w:rsidRDefault="005C3EF1" w:rsidP="005C3EF1">
      <w:pPr>
        <w:ind w:firstLine="360"/>
        <w:jc w:val="center"/>
        <w:rPr>
          <w:rFonts w:ascii="Book Antiqua" w:hAnsi="Book Antiqua"/>
          <w:lang w:val="es-ES_tradnl"/>
        </w:rPr>
      </w:pPr>
    </w:p>
    <w:p w14:paraId="1F361555" w14:textId="679E62C5" w:rsidR="00DA3E99" w:rsidRDefault="00DA3E99" w:rsidP="00436506">
      <w:pPr>
        <w:ind w:firstLine="720"/>
        <w:jc w:val="both"/>
        <w:rPr>
          <w:rFonts w:ascii="Book Antiqua" w:hAnsi="Book Antiqua"/>
          <w:szCs w:val="24"/>
        </w:rPr>
      </w:pPr>
      <w:r w:rsidRPr="00DA3E99">
        <w:rPr>
          <w:rFonts w:ascii="Book Antiqua" w:hAnsi="Book Antiqua"/>
          <w:szCs w:val="24"/>
        </w:rPr>
        <w:t xml:space="preserve">La protección de la vida, la seguridad pública y el orden social constituye un interés apremiante del </w:t>
      </w:r>
      <w:r w:rsidR="001B51C8">
        <w:rPr>
          <w:rFonts w:ascii="Book Antiqua" w:hAnsi="Book Antiqua"/>
          <w:szCs w:val="24"/>
        </w:rPr>
        <w:t>Gobierno</w:t>
      </w:r>
      <w:r w:rsidRPr="00DA3E99">
        <w:rPr>
          <w:rFonts w:ascii="Book Antiqua" w:hAnsi="Book Antiqua"/>
          <w:szCs w:val="24"/>
        </w:rPr>
        <w:t xml:space="preserve"> de Puerto Rico. En el ejercicio de su poder de reglamentación razonable sobre armas de fuego, la Asamblea Legislativa puede adoptar medidas dirigidas a limitar la proliferación de dispositivos cuya única función práctica es aumentar la capacidad ofensiva de armas semiautomáticas.</w:t>
      </w:r>
    </w:p>
    <w:p w14:paraId="7CD770DC" w14:textId="77777777" w:rsidR="00436506" w:rsidRPr="00DA3E99" w:rsidRDefault="00436506" w:rsidP="00436506">
      <w:pPr>
        <w:ind w:firstLine="720"/>
        <w:jc w:val="both"/>
        <w:rPr>
          <w:rFonts w:ascii="Book Antiqua" w:hAnsi="Book Antiqua"/>
          <w:szCs w:val="24"/>
        </w:rPr>
      </w:pPr>
    </w:p>
    <w:p w14:paraId="78DD2A4D" w14:textId="277CADEE" w:rsidR="00DA3E99" w:rsidRDefault="00DA3E99" w:rsidP="00436506">
      <w:pPr>
        <w:ind w:firstLine="720"/>
        <w:jc w:val="both"/>
        <w:rPr>
          <w:rFonts w:ascii="Book Antiqua" w:hAnsi="Book Antiqua"/>
          <w:szCs w:val="24"/>
        </w:rPr>
      </w:pPr>
      <w:r w:rsidRPr="00DA3E99">
        <w:rPr>
          <w:rFonts w:ascii="Book Antiqua" w:hAnsi="Book Antiqua"/>
          <w:szCs w:val="24"/>
        </w:rPr>
        <w:t>En años recientes ha aumentado la disponibilidad comercial de dispositivos conocidos como </w:t>
      </w:r>
      <w:r w:rsidRPr="00DA3E99">
        <w:rPr>
          <w:rFonts w:ascii="Book Antiqua" w:hAnsi="Book Antiqua"/>
          <w:i/>
          <w:iCs/>
          <w:szCs w:val="24"/>
        </w:rPr>
        <w:t>binary triggers</w:t>
      </w:r>
      <w:r w:rsidRPr="00DA3E99">
        <w:rPr>
          <w:rFonts w:ascii="Book Antiqua" w:hAnsi="Book Antiqua"/>
          <w:szCs w:val="24"/>
        </w:rPr>
        <w:t>, </w:t>
      </w:r>
      <w:r w:rsidRPr="00DA3E99">
        <w:rPr>
          <w:rFonts w:ascii="Book Antiqua" w:hAnsi="Book Antiqua"/>
          <w:i/>
          <w:iCs/>
          <w:szCs w:val="24"/>
        </w:rPr>
        <w:t>forced reset triggers</w:t>
      </w:r>
      <w:r w:rsidRPr="00DA3E99">
        <w:rPr>
          <w:rFonts w:ascii="Book Antiqua" w:hAnsi="Book Antiqua"/>
          <w:szCs w:val="24"/>
        </w:rPr>
        <w:t>, </w:t>
      </w:r>
      <w:r w:rsidRPr="00DA3E99">
        <w:rPr>
          <w:rFonts w:ascii="Book Antiqua" w:hAnsi="Book Antiqua"/>
          <w:i/>
          <w:iCs/>
          <w:szCs w:val="24"/>
        </w:rPr>
        <w:t>rapid fire triggers</w:t>
      </w:r>
      <w:r w:rsidRPr="00DA3E99">
        <w:rPr>
          <w:rFonts w:ascii="Book Antiqua" w:hAnsi="Book Antiqua"/>
          <w:szCs w:val="24"/>
        </w:rPr>
        <w:t xml:space="preserve"> y otros mecanismos similares diseñados para aumentar sustancialmente la cadencia de disparo de armas semiautomáticas. Aunque estos dispositivos no siempre convierten técnicamente el arma </w:t>
      </w:r>
      <w:r w:rsidRPr="00DA3E99">
        <w:rPr>
          <w:rFonts w:ascii="Book Antiqua" w:hAnsi="Book Antiqua"/>
          <w:szCs w:val="24"/>
        </w:rPr>
        <w:lastRenderedPageBreak/>
        <w:t>en automática bajo definiciones tradicionales, su efecto funcional puede aproximar el comportamiento operativo de armamento automático restringido.</w:t>
      </w:r>
    </w:p>
    <w:p w14:paraId="54FC22ED" w14:textId="77777777" w:rsidR="00436506" w:rsidRPr="00DA3E99" w:rsidRDefault="00436506" w:rsidP="00436506">
      <w:pPr>
        <w:ind w:firstLine="720"/>
        <w:jc w:val="both"/>
        <w:rPr>
          <w:rFonts w:ascii="Book Antiqua" w:hAnsi="Book Antiqua"/>
          <w:szCs w:val="24"/>
        </w:rPr>
      </w:pPr>
    </w:p>
    <w:p w14:paraId="57ACD6AA" w14:textId="110D29A6" w:rsidR="00DA3E99" w:rsidRDefault="00DA3E99" w:rsidP="00436506">
      <w:pPr>
        <w:ind w:firstLine="720"/>
        <w:jc w:val="both"/>
        <w:rPr>
          <w:rFonts w:ascii="Book Antiqua" w:hAnsi="Book Antiqua"/>
          <w:szCs w:val="24"/>
        </w:rPr>
      </w:pPr>
      <w:r w:rsidRPr="00DA3E99">
        <w:rPr>
          <w:rFonts w:ascii="Book Antiqua" w:hAnsi="Book Antiqua"/>
          <w:szCs w:val="24"/>
        </w:rPr>
        <w:t xml:space="preserve">La </w:t>
      </w:r>
      <w:r w:rsidR="00BD26CB" w:rsidRPr="005D4D58">
        <w:rPr>
          <w:rFonts w:ascii="Book Antiqua" w:hAnsi="Book Antiqua"/>
          <w:szCs w:val="24"/>
        </w:rPr>
        <w:t xml:space="preserve">Ley 168-2019, según enmendada, </w:t>
      </w:r>
      <w:r w:rsidR="00BD26CB">
        <w:rPr>
          <w:rFonts w:ascii="Book Antiqua" w:hAnsi="Book Antiqua"/>
          <w:szCs w:val="24"/>
        </w:rPr>
        <w:t>conocida como “</w:t>
      </w:r>
      <w:r w:rsidRPr="00DA3E99">
        <w:rPr>
          <w:rFonts w:ascii="Book Antiqua" w:hAnsi="Book Antiqua"/>
          <w:szCs w:val="24"/>
        </w:rPr>
        <w:t>Ley de Armas de Puerto Rico</w:t>
      </w:r>
      <w:r w:rsidR="00AC0FED">
        <w:rPr>
          <w:rFonts w:ascii="Book Antiqua" w:hAnsi="Book Antiqua"/>
          <w:szCs w:val="24"/>
        </w:rPr>
        <w:t xml:space="preserve"> de 2020</w:t>
      </w:r>
      <w:r w:rsidR="00BD26CB">
        <w:rPr>
          <w:rFonts w:ascii="Book Antiqua" w:hAnsi="Book Antiqua"/>
          <w:szCs w:val="24"/>
        </w:rPr>
        <w:t>”</w:t>
      </w:r>
      <w:r w:rsidRPr="00DA3E99">
        <w:rPr>
          <w:rFonts w:ascii="Book Antiqua" w:hAnsi="Book Antiqua"/>
          <w:szCs w:val="24"/>
        </w:rPr>
        <w:t xml:space="preserve"> prohíbe la posesión de ametralladoras y dispositivos de conversión automática; sin embargo, la evolución tecnológica ha producido mecanismos que eluden esa clasificación tradicional mientras incrementan significativamente la capacidad letal del arma</w:t>
      </w:r>
      <w:r w:rsidR="00BE6511" w:rsidRPr="00BE6511">
        <w:rPr>
          <w:rFonts w:ascii="Book Antiqua" w:hAnsi="Book Antiqua"/>
          <w:szCs w:val="24"/>
        </w:rPr>
        <w:t>; poniendo en riesgo a la ciudadanía y a los agentes del orden público</w:t>
      </w:r>
      <w:r w:rsidRPr="00DA3E99">
        <w:rPr>
          <w:rFonts w:ascii="Book Antiqua" w:hAnsi="Book Antiqua"/>
          <w:szCs w:val="24"/>
        </w:rPr>
        <w:t>.</w:t>
      </w:r>
    </w:p>
    <w:p w14:paraId="679B589B" w14:textId="77777777" w:rsidR="00436506" w:rsidRPr="00DA3E99" w:rsidRDefault="00436506" w:rsidP="00436506">
      <w:pPr>
        <w:ind w:firstLine="720"/>
        <w:jc w:val="both"/>
        <w:rPr>
          <w:rFonts w:ascii="Book Antiqua" w:hAnsi="Book Antiqua"/>
          <w:szCs w:val="24"/>
        </w:rPr>
      </w:pPr>
    </w:p>
    <w:p w14:paraId="3464626A" w14:textId="77777777" w:rsidR="006E7E86" w:rsidRDefault="00DA3E99" w:rsidP="00436506">
      <w:pPr>
        <w:ind w:firstLine="720"/>
        <w:jc w:val="both"/>
        <w:rPr>
          <w:rFonts w:ascii="Book Antiqua" w:hAnsi="Book Antiqua"/>
          <w:szCs w:val="24"/>
        </w:rPr>
      </w:pPr>
      <w:r w:rsidRPr="00DA3E99">
        <w:rPr>
          <w:rFonts w:ascii="Book Antiqua" w:hAnsi="Book Antiqua"/>
          <w:szCs w:val="24"/>
        </w:rPr>
        <w:t>Estos dispositivos no poseen valor razonable para la defensa personal ordinaria ni para el tiro recreativo responsable. En cambio, aumentan el riesgo de incidentes con múltiples víctimas, especialmente en jurisdicciones densamente pobladas como Puerto Rico.</w:t>
      </w:r>
      <w:r w:rsidR="00CA4D8E">
        <w:rPr>
          <w:rFonts w:ascii="Book Antiqua" w:hAnsi="Book Antiqua"/>
          <w:szCs w:val="24"/>
        </w:rPr>
        <w:t xml:space="preserve"> Al mismo tiempo, existe una alta probabilidad de causar más daño</w:t>
      </w:r>
      <w:r w:rsidR="002D2FC2">
        <w:rPr>
          <w:rFonts w:ascii="Book Antiqua" w:hAnsi="Book Antiqua"/>
          <w:szCs w:val="24"/>
        </w:rPr>
        <w:t xml:space="preserve"> del requerido para neutralizar una amenaza.</w:t>
      </w:r>
      <w:r w:rsidR="006E7E86" w:rsidRPr="006E7E86">
        <w:rPr>
          <w:rFonts w:ascii="Book Antiqua" w:hAnsi="Book Antiqua"/>
          <w:szCs w:val="24"/>
        </w:rPr>
        <w:t xml:space="preserve"> </w:t>
      </w:r>
    </w:p>
    <w:p w14:paraId="73C507BC" w14:textId="77777777" w:rsidR="00436506" w:rsidRDefault="00436506" w:rsidP="00436506">
      <w:pPr>
        <w:ind w:firstLine="720"/>
        <w:jc w:val="both"/>
        <w:rPr>
          <w:rFonts w:ascii="Book Antiqua" w:hAnsi="Book Antiqua"/>
          <w:szCs w:val="24"/>
        </w:rPr>
      </w:pPr>
    </w:p>
    <w:p w14:paraId="1CB419FE" w14:textId="05D0B380" w:rsidR="00DA3E99" w:rsidRDefault="006E7E86" w:rsidP="00436506">
      <w:pPr>
        <w:ind w:firstLine="720"/>
        <w:jc w:val="both"/>
        <w:rPr>
          <w:rFonts w:ascii="Book Antiqua" w:hAnsi="Book Antiqua"/>
          <w:szCs w:val="24"/>
        </w:rPr>
      </w:pPr>
      <w:r w:rsidRPr="00751A9B">
        <w:rPr>
          <w:rFonts w:ascii="Book Antiqua" w:hAnsi="Book Antiqua"/>
          <w:szCs w:val="24"/>
        </w:rPr>
        <w:t>El interés apremiante del Estado es reducir la letalidad en incidentes de violencia. Los dispositivos que facilitan el fuego rápido dificultan la capacidad de respuesta de las fuerzas del orden y aumentan exponencialmente el número de víctimas en un periodo corto de tiempo, lo que justifica la intervención legislativa para prohibir su venta, posesión y uso por civiles.</w:t>
      </w:r>
      <w:r w:rsidR="006B6B09">
        <w:rPr>
          <w:rFonts w:ascii="Book Antiqua" w:hAnsi="Book Antiqua"/>
          <w:szCs w:val="24"/>
        </w:rPr>
        <w:t xml:space="preserve"> Por ello, esta Ley hace la distinción entre un civil y agentes del orden público</w:t>
      </w:r>
      <w:r w:rsidR="00CC34F0">
        <w:rPr>
          <w:rFonts w:ascii="Book Antiqua" w:hAnsi="Book Antiqua"/>
          <w:szCs w:val="24"/>
        </w:rPr>
        <w:t>, velando así que nuestras fuerzas de seguridad pública no se encuentren</w:t>
      </w:r>
      <w:r w:rsidR="00DA5306">
        <w:rPr>
          <w:rFonts w:ascii="Book Antiqua" w:hAnsi="Book Antiqua"/>
          <w:szCs w:val="24"/>
        </w:rPr>
        <w:t xml:space="preserve"> en desventaja ante la superioridad de fuego producida por los gatillos binarios.</w:t>
      </w:r>
    </w:p>
    <w:p w14:paraId="1F77D94C" w14:textId="77777777" w:rsidR="00436506" w:rsidRPr="00DA3E99" w:rsidRDefault="00436506" w:rsidP="00436506">
      <w:pPr>
        <w:ind w:firstLine="720"/>
        <w:jc w:val="both"/>
        <w:rPr>
          <w:rFonts w:ascii="Book Antiqua" w:hAnsi="Book Antiqua"/>
          <w:szCs w:val="24"/>
        </w:rPr>
      </w:pPr>
    </w:p>
    <w:p w14:paraId="4455DDC5" w14:textId="2E5BCD4F" w:rsidR="00DA3E99" w:rsidRDefault="00DA3E99" w:rsidP="00436506">
      <w:pPr>
        <w:ind w:firstLine="720"/>
        <w:jc w:val="both"/>
        <w:rPr>
          <w:rFonts w:ascii="Book Antiqua" w:hAnsi="Book Antiqua"/>
          <w:szCs w:val="24"/>
        </w:rPr>
      </w:pPr>
      <w:r w:rsidRPr="00DA3E99">
        <w:rPr>
          <w:rFonts w:ascii="Book Antiqua" w:hAnsi="Book Antiqua"/>
          <w:szCs w:val="24"/>
        </w:rPr>
        <w:t>El Tribunal Supremo de los Estados Unidos ha reconocido reiteradamente que el derecho individual a poseer armas de fuego admite reglamentaciones razonables compatibles con la tradición histórica de regulación de armas peligrosas o inusuales, incluyendo aquellas que incrementan la capacidad de disparo más allá de usos ordinarios de defensa personal, según establecido en </w:t>
      </w:r>
      <w:r w:rsidRPr="00DA3E99">
        <w:rPr>
          <w:rFonts w:ascii="Book Antiqua" w:hAnsi="Book Antiqua"/>
          <w:i/>
          <w:iCs/>
          <w:szCs w:val="24"/>
        </w:rPr>
        <w:t>District of Columbia v. Heller</w:t>
      </w:r>
      <w:r w:rsidR="0094290E">
        <w:rPr>
          <w:rFonts w:ascii="Book Antiqua" w:hAnsi="Book Antiqua"/>
          <w:i/>
          <w:iCs/>
          <w:szCs w:val="24"/>
        </w:rPr>
        <w:t xml:space="preserve">, </w:t>
      </w:r>
      <w:r w:rsidR="0094290E" w:rsidRPr="003E11CE">
        <w:rPr>
          <w:rFonts w:ascii="Book Antiqua" w:hAnsi="Book Antiqua"/>
          <w:szCs w:val="24"/>
        </w:rPr>
        <w:t>554 U.S.</w:t>
      </w:r>
      <w:r w:rsidR="00505D05" w:rsidRPr="003E11CE">
        <w:rPr>
          <w:rFonts w:ascii="Book Antiqua" w:hAnsi="Book Antiqua"/>
          <w:szCs w:val="24"/>
        </w:rPr>
        <w:t xml:space="preserve"> 570 (2008)</w:t>
      </w:r>
      <w:r w:rsidRPr="00DA3E99">
        <w:rPr>
          <w:rFonts w:ascii="Book Antiqua" w:hAnsi="Book Antiqua"/>
          <w:szCs w:val="24"/>
        </w:rPr>
        <w:t> y reafirmado en </w:t>
      </w:r>
      <w:r w:rsidRPr="00DA3E99">
        <w:rPr>
          <w:rFonts w:ascii="Book Antiqua" w:hAnsi="Book Antiqua"/>
          <w:i/>
          <w:iCs/>
          <w:szCs w:val="24"/>
        </w:rPr>
        <w:t>New York State Rifle &amp; Pistol Association v. Bruen</w:t>
      </w:r>
      <w:r w:rsidR="00505D05">
        <w:rPr>
          <w:rFonts w:ascii="Book Antiqua" w:hAnsi="Book Antiqua"/>
          <w:i/>
          <w:iCs/>
          <w:szCs w:val="24"/>
        </w:rPr>
        <w:t xml:space="preserve">, </w:t>
      </w:r>
      <w:r w:rsidR="00274876" w:rsidRPr="003E11CE">
        <w:rPr>
          <w:rFonts w:ascii="Book Antiqua" w:hAnsi="Book Antiqua"/>
          <w:szCs w:val="24"/>
        </w:rPr>
        <w:t xml:space="preserve">597 U.S. </w:t>
      </w:r>
      <w:r w:rsidR="003E11CE" w:rsidRPr="003E11CE">
        <w:rPr>
          <w:rFonts w:ascii="Book Antiqua" w:hAnsi="Book Antiqua"/>
          <w:szCs w:val="24"/>
        </w:rPr>
        <w:t>1 (2022)</w:t>
      </w:r>
      <w:r w:rsidRPr="00DA3E99">
        <w:rPr>
          <w:rFonts w:ascii="Book Antiqua" w:hAnsi="Book Antiqua"/>
          <w:szCs w:val="24"/>
        </w:rPr>
        <w:t>.</w:t>
      </w:r>
    </w:p>
    <w:p w14:paraId="700C9A12" w14:textId="77777777" w:rsidR="00436506" w:rsidRPr="00DA3E99" w:rsidRDefault="00436506" w:rsidP="00436506">
      <w:pPr>
        <w:ind w:firstLine="720"/>
        <w:jc w:val="both"/>
        <w:rPr>
          <w:rFonts w:ascii="Book Antiqua" w:hAnsi="Book Antiqua"/>
          <w:szCs w:val="24"/>
        </w:rPr>
      </w:pPr>
    </w:p>
    <w:p w14:paraId="3D2598B8" w14:textId="251CD7AB" w:rsidR="00A969F0" w:rsidRDefault="00DA3E99" w:rsidP="00436506">
      <w:pPr>
        <w:ind w:firstLine="720"/>
        <w:jc w:val="both"/>
        <w:rPr>
          <w:rFonts w:ascii="Book Antiqua" w:hAnsi="Book Antiqua"/>
          <w:szCs w:val="24"/>
        </w:rPr>
      </w:pPr>
      <w:r w:rsidRPr="00DA3E99">
        <w:rPr>
          <w:rFonts w:ascii="Book Antiqua" w:hAnsi="Book Antiqua"/>
          <w:szCs w:val="24"/>
        </w:rPr>
        <w:t>En armonía con dicha doctrina constitucional, esta Asamblea Legislativa entiende razonable y necesario prohibir la posesión civil de dispositivos diseñados para aumentar la cadencia de disparo de armas semiautomáticas, manteniendo una excepción limitada para agentes del orden público en el desempeño de sus funciones oficiales.</w:t>
      </w:r>
      <w:r w:rsidR="00356910">
        <w:rPr>
          <w:rFonts w:ascii="Book Antiqua" w:hAnsi="Book Antiqua"/>
          <w:szCs w:val="24"/>
        </w:rPr>
        <w:t xml:space="preserve"> </w:t>
      </w:r>
    </w:p>
    <w:p w14:paraId="7F096C71" w14:textId="77777777" w:rsidR="00436506" w:rsidRDefault="00436506" w:rsidP="00436506">
      <w:pPr>
        <w:ind w:firstLine="720"/>
        <w:jc w:val="both"/>
        <w:rPr>
          <w:rFonts w:ascii="Book Antiqua" w:hAnsi="Book Antiqua"/>
          <w:szCs w:val="24"/>
        </w:rPr>
      </w:pPr>
    </w:p>
    <w:p w14:paraId="73C4CDA3" w14:textId="115CB887" w:rsidR="00721923" w:rsidRPr="00436506" w:rsidRDefault="00DA3E99" w:rsidP="00436506">
      <w:pPr>
        <w:ind w:firstLine="720"/>
        <w:jc w:val="both"/>
        <w:rPr>
          <w:rFonts w:ascii="Book Antiqua" w:hAnsi="Book Antiqua"/>
          <w:szCs w:val="24"/>
        </w:rPr>
      </w:pPr>
      <w:r w:rsidRPr="00DA3E99">
        <w:rPr>
          <w:rFonts w:ascii="Book Antiqua" w:hAnsi="Book Antiqua"/>
          <w:szCs w:val="24"/>
        </w:rPr>
        <w:t>Asimismo, esta medida incorpora un periodo de entrega voluntaria sin penalidad, con el propósito de facilitar la transición ordenada hacia el cumplimiento de la Ley.</w:t>
      </w:r>
    </w:p>
    <w:p w14:paraId="650E3C4A" w14:textId="77777777" w:rsidR="006E7E86" w:rsidRDefault="006E7E86" w:rsidP="00A07D20">
      <w:pPr>
        <w:rPr>
          <w:rFonts w:ascii="Book Antiqua" w:hAnsi="Book Antiqua"/>
          <w:i/>
          <w:szCs w:val="24"/>
          <w:lang w:val="es-ES_tradnl"/>
        </w:rPr>
      </w:pPr>
    </w:p>
    <w:p w14:paraId="67FBC7FF" w14:textId="0D46E4D1" w:rsidR="00BF7072" w:rsidRPr="009C6BAA" w:rsidRDefault="00BF7072" w:rsidP="00A07D20">
      <w:pPr>
        <w:rPr>
          <w:rFonts w:ascii="Book Antiqua" w:hAnsi="Book Antiqua"/>
          <w:i/>
          <w:szCs w:val="24"/>
          <w:lang w:val="es-ES_tradnl"/>
        </w:rPr>
      </w:pPr>
      <w:r w:rsidRPr="009C6BAA">
        <w:rPr>
          <w:rFonts w:ascii="Book Antiqua" w:hAnsi="Book Antiqua"/>
          <w:i/>
          <w:szCs w:val="24"/>
          <w:lang w:val="es-ES_tradnl"/>
        </w:rPr>
        <w:t>DECRÉTASE POR LA ASAMBLEA LEGISLATIVA DE PUERTO RICO:</w:t>
      </w:r>
    </w:p>
    <w:p w14:paraId="2E2ECD7D" w14:textId="77777777" w:rsidR="00BF7072" w:rsidRPr="009C6BAA" w:rsidRDefault="00BF7072" w:rsidP="00A07D20">
      <w:pPr>
        <w:jc w:val="both"/>
        <w:rPr>
          <w:rFonts w:ascii="Book Antiqua" w:hAnsi="Book Antiqua"/>
          <w:szCs w:val="24"/>
          <w:lang w:val="es-ES_tradnl"/>
        </w:rPr>
      </w:pPr>
    </w:p>
    <w:p w14:paraId="4134612C" w14:textId="77777777" w:rsidR="00A07D20" w:rsidRPr="009C6BAA" w:rsidRDefault="00A07D20" w:rsidP="00A07D20">
      <w:pPr>
        <w:jc w:val="both"/>
        <w:rPr>
          <w:rFonts w:ascii="Book Antiqua" w:hAnsi="Book Antiqua"/>
          <w:szCs w:val="24"/>
          <w:lang w:val="es-ES_tradnl"/>
        </w:rPr>
        <w:sectPr w:rsidR="00A07D20" w:rsidRPr="009C6BAA" w:rsidSect="00A07D20">
          <w:headerReference w:type="default" r:id="rId9"/>
          <w:type w:val="continuous"/>
          <w:pgSz w:w="12240" w:h="15840" w:code="1"/>
          <w:pgMar w:top="1440" w:right="1440" w:bottom="1440" w:left="1440" w:header="720" w:footer="720" w:gutter="0"/>
          <w:cols w:space="720"/>
          <w:titlePg/>
        </w:sectPr>
      </w:pPr>
    </w:p>
    <w:p w14:paraId="1351B8B7" w14:textId="60CBB757" w:rsidR="00B56D70" w:rsidRPr="00B844D5" w:rsidRDefault="00D06317" w:rsidP="00850990">
      <w:pPr>
        <w:spacing w:line="480" w:lineRule="auto"/>
        <w:ind w:firstLine="360"/>
        <w:jc w:val="both"/>
        <w:rPr>
          <w:rFonts w:ascii="Book Antiqua" w:hAnsi="Book Antiqua"/>
          <w:szCs w:val="24"/>
        </w:rPr>
      </w:pPr>
      <w:r w:rsidRPr="009C6BAA">
        <w:rPr>
          <w:rFonts w:ascii="Book Antiqua" w:hAnsi="Book Antiqua"/>
          <w:szCs w:val="24"/>
          <w:lang w:val="es-ES_tradnl"/>
        </w:rPr>
        <w:t>Artículo 1.-</w:t>
      </w:r>
      <w:r w:rsidR="00B844D5" w:rsidRPr="00B844D5">
        <w:rPr>
          <w:color w:val="222222"/>
          <w:sz w:val="30"/>
          <w:szCs w:val="30"/>
          <w:shd w:val="clear" w:color="auto" w:fill="FFFFFF"/>
        </w:rPr>
        <w:t xml:space="preserve"> </w:t>
      </w:r>
      <w:r w:rsidR="00B844D5" w:rsidRPr="00B844D5">
        <w:rPr>
          <w:rFonts w:ascii="Book Antiqua" w:hAnsi="Book Antiqua"/>
          <w:szCs w:val="24"/>
        </w:rPr>
        <w:t xml:space="preserve">Se </w:t>
      </w:r>
      <w:r w:rsidR="005D4D58">
        <w:rPr>
          <w:rFonts w:ascii="Book Antiqua" w:hAnsi="Book Antiqua"/>
          <w:szCs w:val="24"/>
        </w:rPr>
        <w:t xml:space="preserve">enmienda el </w:t>
      </w:r>
      <w:r w:rsidR="005D4D58" w:rsidRPr="005D4D58">
        <w:rPr>
          <w:rFonts w:ascii="Book Antiqua" w:hAnsi="Book Antiqua"/>
          <w:szCs w:val="24"/>
        </w:rPr>
        <w:t>Artículo 1.02</w:t>
      </w:r>
      <w:r w:rsidR="005D4D58">
        <w:rPr>
          <w:rFonts w:ascii="Book Antiqua" w:hAnsi="Book Antiqua"/>
          <w:szCs w:val="24"/>
        </w:rPr>
        <w:t xml:space="preserve"> </w:t>
      </w:r>
      <w:r w:rsidR="005D4D58" w:rsidRPr="005D4D58">
        <w:rPr>
          <w:rFonts w:ascii="Book Antiqua" w:hAnsi="Book Antiqua"/>
          <w:szCs w:val="24"/>
        </w:rPr>
        <w:t xml:space="preserve">de la Ley 168-2019, según enmendada, conocida como la “Ley de Armas de Puerto Rico de 2020”, </w:t>
      </w:r>
      <w:r w:rsidR="00B844D5" w:rsidRPr="00B844D5">
        <w:rPr>
          <w:rFonts w:ascii="Book Antiqua" w:hAnsi="Book Antiqua"/>
          <w:szCs w:val="24"/>
        </w:rPr>
        <w:t>para que lea como sigue:</w:t>
      </w:r>
    </w:p>
    <w:p w14:paraId="17CFCD5B" w14:textId="56E111F0" w:rsidR="00B844D5" w:rsidRPr="00B844D5" w:rsidRDefault="00B844D5" w:rsidP="00B844D5">
      <w:pPr>
        <w:spacing w:line="480" w:lineRule="auto"/>
        <w:ind w:firstLine="360"/>
        <w:jc w:val="both"/>
        <w:rPr>
          <w:rFonts w:ascii="Book Antiqua" w:hAnsi="Book Antiqua"/>
          <w:szCs w:val="24"/>
        </w:rPr>
      </w:pPr>
      <w:r w:rsidRPr="00B844D5">
        <w:rPr>
          <w:rFonts w:ascii="Book Antiqua" w:hAnsi="Book Antiqua"/>
          <w:szCs w:val="24"/>
        </w:rPr>
        <w:lastRenderedPageBreak/>
        <w:t xml:space="preserve">“Artículo </w:t>
      </w:r>
      <w:r w:rsidR="001875ED">
        <w:rPr>
          <w:rFonts w:ascii="Book Antiqua" w:hAnsi="Book Antiqua"/>
          <w:szCs w:val="24"/>
        </w:rPr>
        <w:t>1.02</w:t>
      </w:r>
      <w:r w:rsidRPr="00B844D5">
        <w:rPr>
          <w:rFonts w:ascii="Book Antiqua" w:hAnsi="Book Antiqua"/>
          <w:szCs w:val="24"/>
        </w:rPr>
        <w:t xml:space="preserve">.- </w:t>
      </w:r>
      <w:r w:rsidR="006F72C6">
        <w:rPr>
          <w:rFonts w:ascii="Book Antiqua" w:hAnsi="Book Antiqua"/>
          <w:szCs w:val="24"/>
        </w:rPr>
        <w:t>Definiciones</w:t>
      </w:r>
      <w:r w:rsidR="00414C08">
        <w:rPr>
          <w:rFonts w:ascii="Book Antiqua" w:hAnsi="Book Antiqua"/>
          <w:szCs w:val="24"/>
        </w:rPr>
        <w:t>.</w:t>
      </w:r>
    </w:p>
    <w:p w14:paraId="660FC301" w14:textId="708930CF" w:rsidR="00B61BA9" w:rsidRDefault="003E78C0" w:rsidP="001010B3">
      <w:pPr>
        <w:spacing w:line="480" w:lineRule="auto"/>
        <w:ind w:firstLine="360"/>
        <w:jc w:val="both"/>
        <w:rPr>
          <w:rFonts w:ascii="Book Antiqua" w:hAnsi="Book Antiqua"/>
          <w:szCs w:val="24"/>
        </w:rPr>
      </w:pPr>
      <w:r>
        <w:rPr>
          <w:rFonts w:ascii="Book Antiqua" w:hAnsi="Book Antiqua"/>
          <w:szCs w:val="24"/>
        </w:rPr>
        <w:t xml:space="preserve">Para </w:t>
      </w:r>
      <w:r w:rsidR="006F72C6" w:rsidRPr="006F72C6">
        <w:rPr>
          <w:rFonts w:ascii="Book Antiqua" w:hAnsi="Book Antiqua"/>
          <w:szCs w:val="24"/>
        </w:rPr>
        <w:t>efectos de esta Ley, los siguientes términos tendrán el significado que a continuación se expresa:</w:t>
      </w:r>
    </w:p>
    <w:p w14:paraId="2099BAAB" w14:textId="3355AA5D" w:rsidR="00375429" w:rsidRDefault="00A465B5" w:rsidP="00375429">
      <w:pPr>
        <w:pStyle w:val="Prrafodelista"/>
        <w:numPr>
          <w:ilvl w:val="0"/>
          <w:numId w:val="24"/>
        </w:numPr>
        <w:spacing w:line="480" w:lineRule="auto"/>
        <w:jc w:val="both"/>
        <w:rPr>
          <w:rFonts w:ascii="Book Antiqua" w:hAnsi="Book Antiqua"/>
          <w:szCs w:val="24"/>
        </w:rPr>
      </w:pPr>
      <w:r>
        <w:rPr>
          <w:rFonts w:ascii="Book Antiqua" w:hAnsi="Book Antiqua"/>
          <w:szCs w:val="24"/>
        </w:rPr>
        <w:t>…</w:t>
      </w:r>
    </w:p>
    <w:p w14:paraId="61600D16" w14:textId="77777777" w:rsidR="00A465B5" w:rsidRDefault="00A465B5" w:rsidP="00027140">
      <w:pPr>
        <w:pStyle w:val="Prrafodelista"/>
        <w:numPr>
          <w:ilvl w:val="0"/>
          <w:numId w:val="24"/>
        </w:numPr>
        <w:spacing w:line="480" w:lineRule="auto"/>
        <w:jc w:val="both"/>
        <w:rPr>
          <w:rFonts w:ascii="Book Antiqua" w:hAnsi="Book Antiqua"/>
          <w:szCs w:val="24"/>
        </w:rPr>
      </w:pPr>
      <w:r>
        <w:rPr>
          <w:rFonts w:ascii="Book Antiqua" w:hAnsi="Book Antiqua"/>
          <w:szCs w:val="24"/>
        </w:rPr>
        <w:t>..</w:t>
      </w:r>
      <w:r w:rsidR="007A0593">
        <w:rPr>
          <w:rFonts w:ascii="Book Antiqua" w:hAnsi="Book Antiqua"/>
          <w:szCs w:val="24"/>
        </w:rPr>
        <w:t>.</w:t>
      </w:r>
    </w:p>
    <w:p w14:paraId="774227CE" w14:textId="71F00C3C" w:rsidR="00644F1E" w:rsidRDefault="00E229A6" w:rsidP="00E229A6">
      <w:pPr>
        <w:spacing w:line="480" w:lineRule="auto"/>
        <w:ind w:left="360"/>
        <w:jc w:val="both"/>
        <w:rPr>
          <w:rFonts w:ascii="Book Antiqua" w:hAnsi="Book Antiqua"/>
          <w:szCs w:val="24"/>
        </w:rPr>
      </w:pPr>
      <w:r>
        <w:rPr>
          <w:rFonts w:ascii="Book Antiqua" w:hAnsi="Book Antiqua"/>
          <w:szCs w:val="24"/>
        </w:rPr>
        <w:t>…</w:t>
      </w:r>
    </w:p>
    <w:p w14:paraId="3EE96B45" w14:textId="59A80B85" w:rsidR="00E229A6" w:rsidRPr="00D719F7" w:rsidRDefault="0038543B" w:rsidP="00E229A6">
      <w:pPr>
        <w:spacing w:line="480" w:lineRule="auto"/>
        <w:ind w:left="360"/>
        <w:jc w:val="both"/>
        <w:rPr>
          <w:rFonts w:ascii="Book Antiqua" w:hAnsi="Book Antiqua"/>
          <w:i/>
          <w:iCs/>
          <w:szCs w:val="24"/>
        </w:rPr>
      </w:pPr>
      <w:r>
        <w:rPr>
          <w:rFonts w:ascii="Book Antiqua" w:hAnsi="Book Antiqua"/>
          <w:i/>
          <w:iCs/>
          <w:szCs w:val="24"/>
        </w:rPr>
        <w:t>(rr) “Gatillo</w:t>
      </w:r>
      <w:r w:rsidR="0021518D">
        <w:rPr>
          <w:rFonts w:ascii="Book Antiqua" w:hAnsi="Book Antiqua"/>
          <w:i/>
          <w:iCs/>
          <w:szCs w:val="24"/>
        </w:rPr>
        <w:t xml:space="preserve"> </w:t>
      </w:r>
      <w:r w:rsidR="00550443">
        <w:rPr>
          <w:rFonts w:ascii="Book Antiqua" w:hAnsi="Book Antiqua"/>
          <w:i/>
          <w:iCs/>
          <w:szCs w:val="24"/>
        </w:rPr>
        <w:t xml:space="preserve">Binario” – </w:t>
      </w:r>
      <w:r w:rsidR="00D719F7">
        <w:rPr>
          <w:rFonts w:ascii="Book Antiqua" w:hAnsi="Book Antiqua"/>
          <w:i/>
          <w:iCs/>
          <w:szCs w:val="24"/>
        </w:rPr>
        <w:t xml:space="preserve">se refiere a </w:t>
      </w:r>
      <w:r w:rsidR="00D719F7" w:rsidRPr="00D719F7">
        <w:rPr>
          <w:rFonts w:ascii="Book Antiqua" w:hAnsi="Book Antiqua"/>
          <w:i/>
          <w:iCs/>
          <w:szCs w:val="24"/>
        </w:rPr>
        <w:t>dispositivos</w:t>
      </w:r>
      <w:r w:rsidR="003142EE">
        <w:rPr>
          <w:rFonts w:ascii="Book Antiqua" w:hAnsi="Book Antiqua"/>
          <w:i/>
          <w:iCs/>
          <w:szCs w:val="24"/>
        </w:rPr>
        <w:t xml:space="preserve"> de gatillos de doble acción</w:t>
      </w:r>
      <w:r w:rsidR="00D719F7" w:rsidRPr="00D719F7">
        <w:rPr>
          <w:rFonts w:ascii="Book Antiqua" w:hAnsi="Book Antiqua"/>
          <w:i/>
          <w:iCs/>
          <w:szCs w:val="24"/>
        </w:rPr>
        <w:t xml:space="preserve"> conocidos como </w:t>
      </w:r>
      <w:r w:rsidR="00EF052C">
        <w:rPr>
          <w:rFonts w:ascii="Book Antiqua" w:hAnsi="Book Antiqua"/>
          <w:i/>
          <w:iCs/>
          <w:szCs w:val="24"/>
        </w:rPr>
        <w:t>“</w:t>
      </w:r>
      <w:r w:rsidR="00D719F7" w:rsidRPr="00D719F7">
        <w:rPr>
          <w:rFonts w:ascii="Book Antiqua" w:hAnsi="Book Antiqua"/>
          <w:i/>
          <w:iCs/>
          <w:szCs w:val="24"/>
        </w:rPr>
        <w:t>binary triggers, forced reset triggers, rapid fire triggers</w:t>
      </w:r>
      <w:r w:rsidR="00EF052C">
        <w:rPr>
          <w:rFonts w:ascii="Book Antiqua" w:hAnsi="Book Antiqua"/>
          <w:i/>
          <w:iCs/>
          <w:szCs w:val="24"/>
        </w:rPr>
        <w:t>”</w:t>
      </w:r>
      <w:r w:rsidR="00D719F7" w:rsidRPr="00D719F7">
        <w:rPr>
          <w:rFonts w:ascii="Book Antiqua" w:hAnsi="Book Antiqua"/>
          <w:i/>
          <w:iCs/>
          <w:szCs w:val="24"/>
        </w:rPr>
        <w:t> y otros mecanismos similares diseñados para aumentar sustancialmente la cadencia de disparo de armas semiautomáticas.</w:t>
      </w:r>
      <w:r w:rsidR="004F45CF">
        <w:rPr>
          <w:rFonts w:ascii="Book Antiqua" w:hAnsi="Book Antiqua"/>
          <w:i/>
          <w:iCs/>
          <w:szCs w:val="24"/>
        </w:rPr>
        <w:t xml:space="preserve"> Su efecto </w:t>
      </w:r>
      <w:r w:rsidR="00BD76F7">
        <w:rPr>
          <w:rFonts w:ascii="Book Antiqua" w:hAnsi="Book Antiqua"/>
          <w:i/>
          <w:iCs/>
          <w:szCs w:val="24"/>
        </w:rPr>
        <w:t>de acción</w:t>
      </w:r>
      <w:r w:rsidR="000A706F">
        <w:rPr>
          <w:rFonts w:ascii="Book Antiqua" w:hAnsi="Book Antiqua"/>
          <w:i/>
          <w:iCs/>
          <w:szCs w:val="24"/>
        </w:rPr>
        <w:t xml:space="preserve"> dual</w:t>
      </w:r>
      <w:r w:rsidR="009D16B0">
        <w:rPr>
          <w:rFonts w:ascii="Book Antiqua" w:hAnsi="Book Antiqua"/>
          <w:i/>
          <w:iCs/>
          <w:szCs w:val="24"/>
        </w:rPr>
        <w:t xml:space="preserve"> emite</w:t>
      </w:r>
      <w:r w:rsidR="004F45CF">
        <w:rPr>
          <w:rFonts w:ascii="Book Antiqua" w:hAnsi="Book Antiqua"/>
          <w:i/>
          <w:iCs/>
          <w:szCs w:val="24"/>
        </w:rPr>
        <w:t xml:space="preserve"> un</w:t>
      </w:r>
      <w:r w:rsidR="00E25B02">
        <w:rPr>
          <w:rFonts w:ascii="Book Antiqua" w:hAnsi="Book Antiqua"/>
          <w:i/>
          <w:iCs/>
          <w:szCs w:val="24"/>
        </w:rPr>
        <w:t xml:space="preserve"> disparo</w:t>
      </w:r>
      <w:r w:rsidR="009D16B0">
        <w:rPr>
          <w:rFonts w:ascii="Book Antiqua" w:hAnsi="Book Antiqua"/>
          <w:i/>
          <w:iCs/>
          <w:szCs w:val="24"/>
        </w:rPr>
        <w:t xml:space="preserve"> al</w:t>
      </w:r>
      <w:r w:rsidR="00E25B02">
        <w:rPr>
          <w:rFonts w:ascii="Book Antiqua" w:hAnsi="Book Antiqua"/>
          <w:i/>
          <w:iCs/>
          <w:szCs w:val="24"/>
        </w:rPr>
        <w:t xml:space="preserve"> accionar el gatillo y un segundo disparo al soltarlo.</w:t>
      </w:r>
      <w:r w:rsidR="009C755B">
        <w:rPr>
          <w:rFonts w:ascii="Book Antiqua" w:hAnsi="Book Antiqua"/>
          <w:i/>
          <w:iCs/>
          <w:szCs w:val="24"/>
        </w:rPr>
        <w:t>”</w:t>
      </w:r>
    </w:p>
    <w:p w14:paraId="0FF8F9E3" w14:textId="4828F9D9" w:rsidR="005B41CF" w:rsidRPr="005B41CF" w:rsidRDefault="004000D4" w:rsidP="005B41CF">
      <w:pPr>
        <w:spacing w:line="480" w:lineRule="auto"/>
        <w:ind w:firstLine="360"/>
        <w:jc w:val="both"/>
        <w:rPr>
          <w:rFonts w:ascii="Book Antiqua" w:hAnsi="Book Antiqua"/>
          <w:szCs w:val="24"/>
        </w:rPr>
      </w:pPr>
      <w:r w:rsidRPr="009C6BAA">
        <w:rPr>
          <w:rFonts w:ascii="Book Antiqua" w:hAnsi="Book Antiqua"/>
          <w:szCs w:val="24"/>
          <w:lang w:val="es-ES_tradnl"/>
        </w:rPr>
        <w:t xml:space="preserve">Artículo 2.- </w:t>
      </w:r>
      <w:r w:rsidR="005B41CF" w:rsidRPr="005B41CF">
        <w:rPr>
          <w:rFonts w:ascii="Book Antiqua" w:hAnsi="Book Antiqua"/>
          <w:szCs w:val="24"/>
        </w:rPr>
        <w:t xml:space="preserve">Se </w:t>
      </w:r>
      <w:r w:rsidR="002E78F3">
        <w:rPr>
          <w:rFonts w:ascii="Book Antiqua" w:hAnsi="Book Antiqua"/>
          <w:szCs w:val="24"/>
        </w:rPr>
        <w:t>añade un</w:t>
      </w:r>
      <w:r w:rsidR="005B41CF" w:rsidRPr="005B41CF">
        <w:rPr>
          <w:rFonts w:ascii="Book Antiqua" w:hAnsi="Book Antiqua"/>
          <w:szCs w:val="24"/>
        </w:rPr>
        <w:t xml:space="preserve"> Artículo </w:t>
      </w:r>
      <w:r w:rsidR="009C3852">
        <w:rPr>
          <w:rFonts w:ascii="Book Antiqua" w:hAnsi="Book Antiqua"/>
          <w:szCs w:val="24"/>
        </w:rPr>
        <w:t>6</w:t>
      </w:r>
      <w:r w:rsidR="005B41CF" w:rsidRPr="005B41CF">
        <w:rPr>
          <w:rFonts w:ascii="Book Antiqua" w:hAnsi="Book Antiqua"/>
          <w:szCs w:val="24"/>
        </w:rPr>
        <w:t>.</w:t>
      </w:r>
      <w:r w:rsidR="009C3852">
        <w:rPr>
          <w:rFonts w:ascii="Book Antiqua" w:hAnsi="Book Antiqua"/>
          <w:szCs w:val="24"/>
        </w:rPr>
        <w:t>27</w:t>
      </w:r>
      <w:r w:rsidR="005B41CF" w:rsidRPr="005B41CF">
        <w:rPr>
          <w:rFonts w:ascii="Book Antiqua" w:hAnsi="Book Antiqua"/>
          <w:szCs w:val="24"/>
        </w:rPr>
        <w:t xml:space="preserve"> de la Ley 168-2019, según enmendada, conocida como la “Ley de Armas de Puerto Rico de 2020”, para que lea como sigue:</w:t>
      </w:r>
    </w:p>
    <w:p w14:paraId="6ECF8A31" w14:textId="7505DFF2" w:rsidR="005B41CF" w:rsidRDefault="005B41CF" w:rsidP="00B325CE">
      <w:pPr>
        <w:spacing w:line="480" w:lineRule="auto"/>
        <w:ind w:firstLine="360"/>
        <w:jc w:val="both"/>
        <w:rPr>
          <w:rFonts w:ascii="Book Antiqua" w:hAnsi="Book Antiqua"/>
          <w:szCs w:val="24"/>
        </w:rPr>
      </w:pPr>
      <w:r w:rsidRPr="005B41CF">
        <w:rPr>
          <w:rFonts w:ascii="Book Antiqua" w:hAnsi="Book Antiqua"/>
          <w:szCs w:val="24"/>
        </w:rPr>
        <w:t xml:space="preserve">“Artículo </w:t>
      </w:r>
      <w:r w:rsidR="009C3852">
        <w:rPr>
          <w:rFonts w:ascii="Book Antiqua" w:hAnsi="Book Antiqua"/>
          <w:szCs w:val="24"/>
        </w:rPr>
        <w:t>6</w:t>
      </w:r>
      <w:r w:rsidR="000F6FF1">
        <w:rPr>
          <w:rFonts w:ascii="Book Antiqua" w:hAnsi="Book Antiqua"/>
          <w:szCs w:val="24"/>
        </w:rPr>
        <w:t>.</w:t>
      </w:r>
      <w:r w:rsidR="009C3852">
        <w:rPr>
          <w:rFonts w:ascii="Book Antiqua" w:hAnsi="Book Antiqua"/>
          <w:szCs w:val="24"/>
        </w:rPr>
        <w:t>27</w:t>
      </w:r>
      <w:r w:rsidRPr="005B41CF">
        <w:rPr>
          <w:rFonts w:ascii="Book Antiqua" w:hAnsi="Book Antiqua"/>
          <w:szCs w:val="24"/>
        </w:rPr>
        <w:t xml:space="preserve">.- </w:t>
      </w:r>
      <w:r w:rsidR="00B325CE">
        <w:rPr>
          <w:rFonts w:ascii="Book Antiqua" w:hAnsi="Book Antiqua"/>
          <w:szCs w:val="24"/>
        </w:rPr>
        <w:t>Prohibición de Gatillos Binarios.</w:t>
      </w:r>
    </w:p>
    <w:p w14:paraId="17163628" w14:textId="246F06C3" w:rsidR="00B325CE" w:rsidRDefault="007A2AF2" w:rsidP="00B325CE">
      <w:pPr>
        <w:spacing w:line="480" w:lineRule="auto"/>
        <w:ind w:firstLine="360"/>
        <w:jc w:val="both"/>
        <w:rPr>
          <w:rFonts w:ascii="Book Antiqua" w:hAnsi="Book Antiqua"/>
          <w:szCs w:val="24"/>
        </w:rPr>
      </w:pPr>
      <w:r>
        <w:rPr>
          <w:rFonts w:ascii="Book Antiqua" w:hAnsi="Book Antiqua"/>
          <w:szCs w:val="24"/>
        </w:rPr>
        <w:t xml:space="preserve">Se </w:t>
      </w:r>
      <w:r w:rsidR="00DA5306">
        <w:rPr>
          <w:rFonts w:ascii="Book Antiqua" w:hAnsi="Book Antiqua"/>
          <w:szCs w:val="24"/>
        </w:rPr>
        <w:t>prohíbe</w:t>
      </w:r>
      <w:r w:rsidRPr="007A2AF2">
        <w:rPr>
          <w:rFonts w:ascii="Book Antiqua" w:hAnsi="Book Antiqua"/>
          <w:szCs w:val="24"/>
        </w:rPr>
        <w:t xml:space="preserve"> la manufactura, importación, venta, transferencia, posesión o uso de dispositivos de aumento de cadencia de disparo (“rate-of-fire enhancement devices”), incluyendo gatillos binarios, “forced reset triggers” y otros mecanismos de “rapid fire”</w:t>
      </w:r>
      <w:r w:rsidR="003405A4">
        <w:rPr>
          <w:rFonts w:ascii="Book Antiqua" w:hAnsi="Book Antiqua"/>
          <w:szCs w:val="24"/>
        </w:rPr>
        <w:t>.</w:t>
      </w:r>
    </w:p>
    <w:p w14:paraId="4D89E1E5" w14:textId="5C5D08C9" w:rsidR="005B41CF" w:rsidRPr="00690A45" w:rsidRDefault="000A6F81" w:rsidP="00CA345E">
      <w:pPr>
        <w:spacing w:line="480" w:lineRule="auto"/>
        <w:ind w:firstLine="360"/>
        <w:jc w:val="both"/>
        <w:rPr>
          <w:rFonts w:ascii="Book Antiqua" w:hAnsi="Book Antiqua"/>
          <w:szCs w:val="24"/>
        </w:rPr>
      </w:pPr>
      <w:r w:rsidRPr="00690A45">
        <w:rPr>
          <w:rFonts w:ascii="Book Antiqua" w:hAnsi="Book Antiqua"/>
          <w:szCs w:val="24"/>
        </w:rPr>
        <w:t xml:space="preserve">Toda persona que </w:t>
      </w:r>
      <w:r w:rsidR="00EE579B" w:rsidRPr="00690A45">
        <w:rPr>
          <w:rFonts w:ascii="Book Antiqua" w:hAnsi="Book Antiqua"/>
          <w:szCs w:val="24"/>
        </w:rPr>
        <w:t>manufacture, importe, venda, transfiera,</w:t>
      </w:r>
      <w:r w:rsidR="00717279">
        <w:rPr>
          <w:rFonts w:ascii="Book Antiqua" w:hAnsi="Book Antiqua"/>
          <w:szCs w:val="24"/>
        </w:rPr>
        <w:t xml:space="preserve"> </w:t>
      </w:r>
      <w:r w:rsidR="00EE579B" w:rsidRPr="00690A45">
        <w:rPr>
          <w:rFonts w:ascii="Book Antiqua" w:hAnsi="Book Antiqua"/>
          <w:szCs w:val="24"/>
        </w:rPr>
        <w:t xml:space="preserve">posea o utilice </w:t>
      </w:r>
      <w:r w:rsidR="00690A45" w:rsidRPr="00690A45">
        <w:rPr>
          <w:rFonts w:ascii="Book Antiqua" w:hAnsi="Book Antiqua"/>
          <w:szCs w:val="24"/>
        </w:rPr>
        <w:t>gatillos binarios, según definido en es</w:t>
      </w:r>
      <w:r w:rsidR="00690A45">
        <w:rPr>
          <w:rFonts w:ascii="Book Antiqua" w:hAnsi="Book Antiqua"/>
          <w:szCs w:val="24"/>
        </w:rPr>
        <w:t xml:space="preserve">ta Ley, incurrirá </w:t>
      </w:r>
      <w:r w:rsidR="00D12D43" w:rsidRPr="00D12D43">
        <w:rPr>
          <w:rFonts w:ascii="Book Antiqua" w:hAnsi="Book Antiqua"/>
          <w:szCs w:val="24"/>
        </w:rPr>
        <w:t xml:space="preserve">en delito grave, y convicta que fuere será sancionada con pena de reclusión por un término fijo de </w:t>
      </w:r>
      <w:r w:rsidR="00D22FD2">
        <w:rPr>
          <w:rFonts w:ascii="Book Antiqua" w:hAnsi="Book Antiqua"/>
          <w:szCs w:val="24"/>
        </w:rPr>
        <w:t>quince</w:t>
      </w:r>
      <w:r w:rsidR="00D12D43" w:rsidRPr="00D12D43">
        <w:rPr>
          <w:rFonts w:ascii="Book Antiqua" w:hAnsi="Book Antiqua"/>
          <w:szCs w:val="24"/>
        </w:rPr>
        <w:t xml:space="preserve"> (</w:t>
      </w:r>
      <w:r w:rsidR="00D22FD2">
        <w:rPr>
          <w:rFonts w:ascii="Book Antiqua" w:hAnsi="Book Antiqua"/>
          <w:szCs w:val="24"/>
        </w:rPr>
        <w:t>15</w:t>
      </w:r>
      <w:r w:rsidR="00D12D43" w:rsidRPr="00D12D43">
        <w:rPr>
          <w:rFonts w:ascii="Book Antiqua" w:hAnsi="Book Antiqua"/>
          <w:szCs w:val="24"/>
        </w:rPr>
        <w:t xml:space="preserve">) años, sin derecho a sentencia suspendida, o a disfrutar de los beneficios de algún programa de desvío, bonificaciones o a cualquier alternativa a la reclusión reconocida en esta jurisdicción, </w:t>
      </w:r>
      <w:r w:rsidR="00D12D43" w:rsidRPr="00D12D43">
        <w:rPr>
          <w:rFonts w:ascii="Book Antiqua" w:hAnsi="Book Antiqua"/>
          <w:szCs w:val="24"/>
        </w:rPr>
        <w:lastRenderedPageBreak/>
        <w:t xml:space="preserve">debiendo cumplir en años naturales la totalidad de la pena impuesta. De mediar circunstancias agravantes, la pena fija establecida podrá ser aumentada hasta un máximo de </w:t>
      </w:r>
      <w:r w:rsidR="00D22FD2">
        <w:rPr>
          <w:rFonts w:ascii="Book Antiqua" w:hAnsi="Book Antiqua"/>
          <w:szCs w:val="24"/>
        </w:rPr>
        <w:t>veint</w:t>
      </w:r>
      <w:r w:rsidR="00C05ACA">
        <w:rPr>
          <w:rFonts w:ascii="Book Antiqua" w:hAnsi="Book Antiqua"/>
          <w:szCs w:val="24"/>
        </w:rPr>
        <w:t>e</w:t>
      </w:r>
      <w:r w:rsidR="00D12D43" w:rsidRPr="00D12D43">
        <w:rPr>
          <w:rFonts w:ascii="Book Antiqua" w:hAnsi="Book Antiqua"/>
          <w:szCs w:val="24"/>
        </w:rPr>
        <w:t xml:space="preserve"> (</w:t>
      </w:r>
      <w:r w:rsidR="00D22FD2">
        <w:rPr>
          <w:rFonts w:ascii="Book Antiqua" w:hAnsi="Book Antiqua"/>
          <w:szCs w:val="24"/>
        </w:rPr>
        <w:t>2</w:t>
      </w:r>
      <w:r w:rsidR="00C05ACA">
        <w:rPr>
          <w:rFonts w:ascii="Book Antiqua" w:hAnsi="Book Antiqua"/>
          <w:szCs w:val="24"/>
        </w:rPr>
        <w:t>0</w:t>
      </w:r>
      <w:r w:rsidR="00D12D43" w:rsidRPr="00D12D43">
        <w:rPr>
          <w:rFonts w:ascii="Book Antiqua" w:hAnsi="Book Antiqua"/>
          <w:szCs w:val="24"/>
        </w:rPr>
        <w:t xml:space="preserve">) años; de mediar circunstancias atenuantes, podrá ser reducida hasta un mínimo de </w:t>
      </w:r>
      <w:r w:rsidR="005D5EBD">
        <w:rPr>
          <w:rFonts w:ascii="Book Antiqua" w:hAnsi="Book Antiqua"/>
          <w:szCs w:val="24"/>
        </w:rPr>
        <w:t>diez</w:t>
      </w:r>
      <w:r w:rsidR="00D12D43" w:rsidRPr="00D12D43">
        <w:rPr>
          <w:rFonts w:ascii="Book Antiqua" w:hAnsi="Book Antiqua"/>
          <w:szCs w:val="24"/>
        </w:rPr>
        <w:t xml:space="preserve"> (1</w:t>
      </w:r>
      <w:r w:rsidR="005D5EBD">
        <w:rPr>
          <w:rFonts w:ascii="Book Antiqua" w:hAnsi="Book Antiqua"/>
          <w:szCs w:val="24"/>
        </w:rPr>
        <w:t>0</w:t>
      </w:r>
      <w:r w:rsidR="00D12D43" w:rsidRPr="00D12D43">
        <w:rPr>
          <w:rFonts w:ascii="Book Antiqua" w:hAnsi="Book Antiqua"/>
          <w:szCs w:val="24"/>
        </w:rPr>
        <w:t>) años.</w:t>
      </w:r>
    </w:p>
    <w:p w14:paraId="75065965" w14:textId="4B30A3D3" w:rsidR="00E268CB" w:rsidRPr="00E268CB" w:rsidRDefault="00E268CB" w:rsidP="00E268CB">
      <w:pPr>
        <w:spacing w:line="480" w:lineRule="auto"/>
        <w:ind w:firstLine="360"/>
        <w:jc w:val="both"/>
        <w:rPr>
          <w:rFonts w:ascii="Book Antiqua" w:hAnsi="Book Antiqua"/>
          <w:szCs w:val="24"/>
        </w:rPr>
      </w:pPr>
      <w:r w:rsidRPr="00E268CB">
        <w:rPr>
          <w:rFonts w:ascii="Book Antiqua" w:hAnsi="Book Antiqua"/>
          <w:szCs w:val="24"/>
        </w:rPr>
        <w:t xml:space="preserve">Se exime de esta prohibición a </w:t>
      </w:r>
      <w:r>
        <w:rPr>
          <w:rFonts w:ascii="Book Antiqua" w:hAnsi="Book Antiqua"/>
          <w:szCs w:val="24"/>
        </w:rPr>
        <w:t xml:space="preserve">la Policía de Puerto Rico, </w:t>
      </w:r>
      <w:r w:rsidR="00C3596D">
        <w:rPr>
          <w:rFonts w:ascii="Book Antiqua" w:hAnsi="Book Antiqua"/>
          <w:szCs w:val="24"/>
        </w:rPr>
        <w:t xml:space="preserve">Policías Municipales, </w:t>
      </w:r>
      <w:r w:rsidR="00CF6A31">
        <w:rPr>
          <w:rFonts w:ascii="Book Antiqua" w:hAnsi="Book Antiqua"/>
          <w:szCs w:val="24"/>
        </w:rPr>
        <w:t xml:space="preserve">agentes del </w:t>
      </w:r>
      <w:r w:rsidR="00C3596D">
        <w:rPr>
          <w:rFonts w:ascii="Book Antiqua" w:hAnsi="Book Antiqua"/>
          <w:szCs w:val="24"/>
        </w:rPr>
        <w:t>Negociado de Investigaciones Especiales</w:t>
      </w:r>
      <w:r w:rsidR="008616B1">
        <w:rPr>
          <w:rFonts w:ascii="Book Antiqua" w:hAnsi="Book Antiqua"/>
          <w:szCs w:val="24"/>
        </w:rPr>
        <w:t xml:space="preserve">, </w:t>
      </w:r>
      <w:r w:rsidR="00CF6A31">
        <w:rPr>
          <w:rFonts w:ascii="Book Antiqua" w:hAnsi="Book Antiqua"/>
          <w:szCs w:val="24"/>
        </w:rPr>
        <w:t>o</w:t>
      </w:r>
      <w:r w:rsidR="008616B1">
        <w:rPr>
          <w:rFonts w:ascii="Book Antiqua" w:hAnsi="Book Antiqua"/>
          <w:szCs w:val="24"/>
        </w:rPr>
        <w:t xml:space="preserve">ficiales </w:t>
      </w:r>
      <w:r w:rsidR="00CF6A31">
        <w:rPr>
          <w:rFonts w:ascii="Book Antiqua" w:hAnsi="Book Antiqua"/>
          <w:szCs w:val="24"/>
        </w:rPr>
        <w:t>c</w:t>
      </w:r>
      <w:r w:rsidR="008616B1">
        <w:rPr>
          <w:rFonts w:ascii="Book Antiqua" w:hAnsi="Book Antiqua"/>
          <w:szCs w:val="24"/>
        </w:rPr>
        <w:t>orreccionales</w:t>
      </w:r>
      <w:r w:rsidR="00344418">
        <w:rPr>
          <w:rFonts w:ascii="Book Antiqua" w:hAnsi="Book Antiqua"/>
          <w:szCs w:val="24"/>
        </w:rPr>
        <w:t xml:space="preserve"> del Departamento de Corrección y Rehabilitación</w:t>
      </w:r>
      <w:r w:rsidR="00CF6A31">
        <w:rPr>
          <w:rFonts w:ascii="Book Antiqua" w:hAnsi="Book Antiqua"/>
          <w:szCs w:val="24"/>
        </w:rPr>
        <w:t>,</w:t>
      </w:r>
      <w:r w:rsidR="008616B1">
        <w:rPr>
          <w:rFonts w:ascii="Book Antiqua" w:hAnsi="Book Antiqua"/>
          <w:szCs w:val="24"/>
        </w:rPr>
        <w:t xml:space="preserve"> y otras Agencias </w:t>
      </w:r>
      <w:r w:rsidRPr="00E268CB">
        <w:rPr>
          <w:rFonts w:ascii="Book Antiqua" w:hAnsi="Book Antiqua"/>
          <w:szCs w:val="24"/>
        </w:rPr>
        <w:t xml:space="preserve">del </w:t>
      </w:r>
      <w:r w:rsidR="008616B1">
        <w:rPr>
          <w:rFonts w:ascii="Book Antiqua" w:hAnsi="Book Antiqua"/>
          <w:szCs w:val="24"/>
        </w:rPr>
        <w:t>O</w:t>
      </w:r>
      <w:r w:rsidRPr="00E268CB">
        <w:rPr>
          <w:rFonts w:ascii="Book Antiqua" w:hAnsi="Book Antiqua"/>
          <w:szCs w:val="24"/>
        </w:rPr>
        <w:t xml:space="preserve">rden </w:t>
      </w:r>
      <w:r w:rsidR="008616B1">
        <w:rPr>
          <w:rFonts w:ascii="Book Antiqua" w:hAnsi="Book Antiqua"/>
          <w:szCs w:val="24"/>
        </w:rPr>
        <w:t>P</w:t>
      </w:r>
      <w:r w:rsidRPr="00E268CB">
        <w:rPr>
          <w:rFonts w:ascii="Book Antiqua" w:hAnsi="Book Antiqua"/>
          <w:szCs w:val="24"/>
        </w:rPr>
        <w:t>úblico, quienes pueden enfrentarse a situaciones de alta intensidad donde la superioridad de fuego es necesaria para repeler agresiones de organizaciones criminales que utilizan armas ilegales o modificadas. La exención aquí dispuesta, busca asegura</w:t>
      </w:r>
      <w:r w:rsidR="008616B1">
        <w:rPr>
          <w:rFonts w:ascii="Book Antiqua" w:hAnsi="Book Antiqua"/>
          <w:szCs w:val="24"/>
        </w:rPr>
        <w:t>r</w:t>
      </w:r>
      <w:r w:rsidRPr="00E268CB">
        <w:rPr>
          <w:rFonts w:ascii="Book Antiqua" w:hAnsi="Book Antiqua"/>
          <w:szCs w:val="24"/>
        </w:rPr>
        <w:t xml:space="preserve"> que el Estado no esté en desventaja táctica frente a la criminalidad organizada.</w:t>
      </w:r>
      <w:r w:rsidR="00A04C4D">
        <w:rPr>
          <w:rFonts w:ascii="Book Antiqua" w:hAnsi="Book Antiqua"/>
          <w:szCs w:val="24"/>
        </w:rPr>
        <w:t>”</w:t>
      </w:r>
    </w:p>
    <w:p w14:paraId="65D048CB" w14:textId="409F99E7" w:rsidR="00CF6A31" w:rsidRDefault="00530353" w:rsidP="00CA345E">
      <w:pPr>
        <w:spacing w:line="480" w:lineRule="auto"/>
        <w:ind w:firstLine="360"/>
        <w:jc w:val="both"/>
        <w:rPr>
          <w:rFonts w:ascii="Book Antiqua" w:hAnsi="Book Antiqua"/>
          <w:szCs w:val="24"/>
        </w:rPr>
      </w:pPr>
      <w:r w:rsidRPr="009C6BAA">
        <w:rPr>
          <w:rFonts w:ascii="Book Antiqua" w:hAnsi="Book Antiqua"/>
          <w:szCs w:val="24"/>
        </w:rPr>
        <w:t xml:space="preserve">Artículo 3.- </w:t>
      </w:r>
      <w:r w:rsidR="00CF6A31">
        <w:rPr>
          <w:rFonts w:ascii="Book Antiqua" w:hAnsi="Book Antiqua"/>
          <w:szCs w:val="24"/>
        </w:rPr>
        <w:t>Periodo de Entrega Voluntaria.</w:t>
      </w:r>
    </w:p>
    <w:p w14:paraId="25337912" w14:textId="615CFD5E" w:rsidR="00CF6A31" w:rsidRDefault="00CF6A31" w:rsidP="00CA345E">
      <w:pPr>
        <w:spacing w:line="480" w:lineRule="auto"/>
        <w:ind w:firstLine="360"/>
        <w:jc w:val="both"/>
        <w:rPr>
          <w:rFonts w:ascii="Book Antiqua" w:hAnsi="Book Antiqua"/>
          <w:szCs w:val="24"/>
        </w:rPr>
      </w:pPr>
      <w:r>
        <w:rPr>
          <w:rFonts w:ascii="Book Antiqua" w:hAnsi="Book Antiqua"/>
          <w:szCs w:val="24"/>
        </w:rPr>
        <w:t xml:space="preserve">Se establece un periodo de noventa (90) días para </w:t>
      </w:r>
      <w:r w:rsidR="00CD1268">
        <w:rPr>
          <w:rFonts w:ascii="Book Antiqua" w:hAnsi="Book Antiqua"/>
          <w:szCs w:val="24"/>
        </w:rPr>
        <w:t>que toda persona natural o jurídica que posea</w:t>
      </w:r>
      <w:r w:rsidR="00C12E5B">
        <w:rPr>
          <w:rFonts w:ascii="Book Antiqua" w:hAnsi="Book Antiqua"/>
          <w:szCs w:val="24"/>
        </w:rPr>
        <w:t xml:space="preserve"> un mecanismo de gatillo binario</w:t>
      </w:r>
      <w:r w:rsidR="00405BC0">
        <w:rPr>
          <w:rFonts w:ascii="Book Antiqua" w:hAnsi="Book Antiqua"/>
          <w:szCs w:val="24"/>
        </w:rPr>
        <w:t>, según definido en esta Ley, pueda hacer</w:t>
      </w:r>
      <w:r>
        <w:rPr>
          <w:rFonts w:ascii="Book Antiqua" w:hAnsi="Book Antiqua"/>
          <w:szCs w:val="24"/>
        </w:rPr>
        <w:t xml:space="preserve"> entrega voluntaria </w:t>
      </w:r>
      <w:r w:rsidR="00405BC0">
        <w:rPr>
          <w:rFonts w:ascii="Book Antiqua" w:hAnsi="Book Antiqua"/>
          <w:szCs w:val="24"/>
        </w:rPr>
        <w:t>del mismo</w:t>
      </w:r>
      <w:r w:rsidR="00F9683A">
        <w:rPr>
          <w:rFonts w:ascii="Book Antiqua" w:hAnsi="Book Antiqua"/>
          <w:szCs w:val="24"/>
        </w:rPr>
        <w:t xml:space="preserve"> a las autoridades correspondientes sin que ello conlleve </w:t>
      </w:r>
      <w:r w:rsidR="00936D67">
        <w:rPr>
          <w:rFonts w:ascii="Book Antiqua" w:hAnsi="Book Antiqua"/>
          <w:szCs w:val="24"/>
        </w:rPr>
        <w:t>la activación de procesos criminales por la posesión de dicho dispositivo.</w:t>
      </w:r>
    </w:p>
    <w:p w14:paraId="1558B7FE" w14:textId="1612B68D" w:rsidR="003D72FC" w:rsidRDefault="003D72FC" w:rsidP="00CA345E">
      <w:pPr>
        <w:spacing w:line="480" w:lineRule="auto"/>
        <w:ind w:firstLine="360"/>
        <w:jc w:val="both"/>
        <w:rPr>
          <w:rFonts w:ascii="Book Antiqua" w:hAnsi="Book Antiqua"/>
          <w:szCs w:val="24"/>
        </w:rPr>
      </w:pPr>
      <w:r w:rsidRPr="003D72FC">
        <w:rPr>
          <w:rFonts w:ascii="Book Antiqua" w:hAnsi="Book Antiqua"/>
          <w:szCs w:val="24"/>
        </w:rPr>
        <w:t xml:space="preserve">Cualquier persona que, durante el término </w:t>
      </w:r>
      <w:r w:rsidR="00F81112">
        <w:rPr>
          <w:rFonts w:ascii="Book Antiqua" w:hAnsi="Book Antiqua"/>
          <w:szCs w:val="24"/>
        </w:rPr>
        <w:t xml:space="preserve">aquí </w:t>
      </w:r>
      <w:r w:rsidRPr="003D72FC">
        <w:rPr>
          <w:rFonts w:ascii="Book Antiqua" w:hAnsi="Book Antiqua"/>
          <w:szCs w:val="24"/>
        </w:rPr>
        <w:t xml:space="preserve">establecido, acuda de forma voluntaria a entregar el dispositivo, no podrá ser procesada criminalmente por la posesión </w:t>
      </w:r>
      <w:r w:rsidR="00F81112" w:rsidRPr="003D72FC">
        <w:rPr>
          <w:rFonts w:ascii="Book Antiqua" w:hAnsi="Book Antiqua"/>
          <w:szCs w:val="24"/>
        </w:rPr>
        <w:t>de este</w:t>
      </w:r>
      <w:r w:rsidRPr="003D72FC">
        <w:rPr>
          <w:rFonts w:ascii="Book Antiqua" w:hAnsi="Book Antiqua"/>
          <w:szCs w:val="24"/>
        </w:rPr>
        <w:t xml:space="preserve">. Esta inmunidad se limitará exclusivamente a la posesión del mecanismo de disparo binario y no cubrirá otros delitos cometidos con el arma de fuego o la posesión de armas de fuego que sean ilegales por otras causales bajo la </w:t>
      </w:r>
      <w:r w:rsidRPr="00F81112">
        <w:rPr>
          <w:rFonts w:ascii="Book Antiqua" w:hAnsi="Book Antiqua"/>
          <w:szCs w:val="24"/>
        </w:rPr>
        <w:t>Ley 168-2019, según enmendada, c</w:t>
      </w:r>
      <w:r w:rsidRPr="003D72FC">
        <w:rPr>
          <w:rFonts w:ascii="Book Antiqua" w:hAnsi="Book Antiqua"/>
          <w:szCs w:val="24"/>
        </w:rPr>
        <w:t>onocida como la “Ley de Armas de Puerto Rico</w:t>
      </w:r>
      <w:r w:rsidR="00F81112">
        <w:rPr>
          <w:rFonts w:ascii="Book Antiqua" w:hAnsi="Book Antiqua"/>
          <w:szCs w:val="24"/>
        </w:rPr>
        <w:t xml:space="preserve"> de 2020</w:t>
      </w:r>
      <w:r w:rsidRPr="003D72FC">
        <w:rPr>
          <w:rFonts w:ascii="Book Antiqua" w:hAnsi="Book Antiqua"/>
          <w:szCs w:val="24"/>
        </w:rPr>
        <w:t>”.</w:t>
      </w:r>
    </w:p>
    <w:p w14:paraId="3F806256" w14:textId="647272C8" w:rsidR="00A8172D" w:rsidRDefault="00587596" w:rsidP="00CA345E">
      <w:pPr>
        <w:spacing w:line="480" w:lineRule="auto"/>
        <w:ind w:firstLine="360"/>
        <w:jc w:val="both"/>
        <w:rPr>
          <w:rFonts w:ascii="Book Antiqua" w:hAnsi="Book Antiqua"/>
          <w:szCs w:val="24"/>
        </w:rPr>
      </w:pPr>
      <w:r>
        <w:rPr>
          <w:rFonts w:ascii="Book Antiqua" w:hAnsi="Book Antiqua"/>
          <w:szCs w:val="24"/>
        </w:rPr>
        <w:lastRenderedPageBreak/>
        <w:t>Artículo 4.-</w:t>
      </w:r>
      <w:r w:rsidR="00A8172D">
        <w:rPr>
          <w:rFonts w:ascii="Book Antiqua" w:hAnsi="Book Antiqua"/>
          <w:szCs w:val="24"/>
        </w:rPr>
        <w:t>Lugares de Entrega y Disposición.</w:t>
      </w:r>
    </w:p>
    <w:p w14:paraId="7725E421" w14:textId="32600BF8" w:rsidR="00A8172D" w:rsidRDefault="00533BB1" w:rsidP="00CA345E">
      <w:pPr>
        <w:spacing w:line="480" w:lineRule="auto"/>
        <w:ind w:firstLine="360"/>
        <w:jc w:val="both"/>
        <w:rPr>
          <w:rFonts w:ascii="Book Antiqua" w:hAnsi="Book Antiqua"/>
          <w:szCs w:val="24"/>
        </w:rPr>
      </w:pPr>
      <w:r>
        <w:rPr>
          <w:rFonts w:ascii="Book Antiqua" w:hAnsi="Book Antiqua"/>
          <w:szCs w:val="24"/>
        </w:rPr>
        <w:t xml:space="preserve">La entrega </w:t>
      </w:r>
      <w:r w:rsidRPr="00533BB1">
        <w:rPr>
          <w:rFonts w:ascii="Book Antiqua" w:hAnsi="Book Antiqua"/>
          <w:szCs w:val="24"/>
        </w:rPr>
        <w:t>voluntaria podrá efectuarse en los siguientes lugares:</w:t>
      </w:r>
    </w:p>
    <w:p w14:paraId="37BF493C" w14:textId="07978515" w:rsidR="00533BB1" w:rsidRDefault="00185BB9" w:rsidP="00185BB9">
      <w:pPr>
        <w:pStyle w:val="Prrafodelista"/>
        <w:numPr>
          <w:ilvl w:val="0"/>
          <w:numId w:val="26"/>
        </w:numPr>
        <w:spacing w:line="480" w:lineRule="auto"/>
        <w:jc w:val="both"/>
        <w:rPr>
          <w:rFonts w:ascii="Book Antiqua" w:hAnsi="Book Antiqua"/>
          <w:szCs w:val="24"/>
        </w:rPr>
      </w:pPr>
      <w:r>
        <w:rPr>
          <w:rFonts w:ascii="Book Antiqua" w:hAnsi="Book Antiqua"/>
          <w:szCs w:val="24"/>
        </w:rPr>
        <w:t xml:space="preserve">Cuarteles de la Policía de Puerto Rico: en cualquier </w:t>
      </w:r>
      <w:r w:rsidR="00017045" w:rsidRPr="00017045">
        <w:rPr>
          <w:rFonts w:ascii="Book Antiqua" w:hAnsi="Book Antiqua"/>
          <w:szCs w:val="24"/>
        </w:rPr>
        <w:t>comandancia, distrito o precinto a nivel isla</w:t>
      </w:r>
      <w:r w:rsidR="00017045">
        <w:rPr>
          <w:rFonts w:ascii="Book Antiqua" w:hAnsi="Book Antiqua"/>
          <w:szCs w:val="24"/>
        </w:rPr>
        <w:t>.</w:t>
      </w:r>
    </w:p>
    <w:p w14:paraId="1B44ACA5" w14:textId="26F341C1" w:rsidR="00017045" w:rsidRDefault="00017045" w:rsidP="00185BB9">
      <w:pPr>
        <w:pStyle w:val="Prrafodelista"/>
        <w:numPr>
          <w:ilvl w:val="0"/>
          <w:numId w:val="26"/>
        </w:numPr>
        <w:spacing w:line="480" w:lineRule="auto"/>
        <w:jc w:val="both"/>
        <w:rPr>
          <w:rFonts w:ascii="Book Antiqua" w:hAnsi="Book Antiqua"/>
          <w:szCs w:val="24"/>
        </w:rPr>
      </w:pPr>
      <w:r>
        <w:rPr>
          <w:rFonts w:ascii="Book Antiqua" w:hAnsi="Book Antiqua"/>
          <w:szCs w:val="24"/>
        </w:rPr>
        <w:t>Armerías Autorizadas</w:t>
      </w:r>
      <w:r w:rsidR="0050296F">
        <w:rPr>
          <w:rFonts w:ascii="Book Antiqua" w:hAnsi="Book Antiqua"/>
          <w:szCs w:val="24"/>
        </w:rPr>
        <w:t>:</w:t>
      </w:r>
      <w:r w:rsidR="00A75693">
        <w:rPr>
          <w:rFonts w:ascii="Book Antiqua" w:hAnsi="Book Antiqua"/>
          <w:szCs w:val="24"/>
        </w:rPr>
        <w:t xml:space="preserve"> </w:t>
      </w:r>
      <w:r w:rsidR="00A75693" w:rsidRPr="00A75693">
        <w:rPr>
          <w:rFonts w:ascii="Book Antiqua" w:hAnsi="Book Antiqua"/>
          <w:szCs w:val="24"/>
        </w:rPr>
        <w:t xml:space="preserve">El </w:t>
      </w:r>
      <w:r w:rsidR="00A75693">
        <w:rPr>
          <w:rFonts w:ascii="Book Antiqua" w:hAnsi="Book Antiqua"/>
          <w:szCs w:val="24"/>
        </w:rPr>
        <w:t>Superintendente</w:t>
      </w:r>
      <w:r w:rsidR="00A75693" w:rsidRPr="00A75693">
        <w:rPr>
          <w:rFonts w:ascii="Book Antiqua" w:hAnsi="Book Antiqua"/>
          <w:szCs w:val="24"/>
        </w:rPr>
        <w:t xml:space="preserve"> de la Policía podrá designar armerías privadas mediante reglamento para que sirvan como centros de acopio temporales, siempre que estas cumplan con los protocolos de seguridad establecidos.</w:t>
      </w:r>
    </w:p>
    <w:p w14:paraId="19EF9C3E" w14:textId="4FD5A806" w:rsidR="0050296F" w:rsidRDefault="0050296F" w:rsidP="00185BB9">
      <w:pPr>
        <w:pStyle w:val="Prrafodelista"/>
        <w:numPr>
          <w:ilvl w:val="0"/>
          <w:numId w:val="26"/>
        </w:numPr>
        <w:spacing w:line="480" w:lineRule="auto"/>
        <w:jc w:val="both"/>
        <w:rPr>
          <w:rFonts w:ascii="Book Antiqua" w:hAnsi="Book Antiqua"/>
          <w:szCs w:val="24"/>
        </w:rPr>
      </w:pPr>
      <w:r>
        <w:rPr>
          <w:rFonts w:ascii="Book Antiqua" w:hAnsi="Book Antiqua"/>
          <w:szCs w:val="24"/>
        </w:rPr>
        <w:t>Lugares designados mediante Reglamento u Orden Administrativa por e</w:t>
      </w:r>
      <w:r w:rsidR="009F57F5">
        <w:rPr>
          <w:rFonts w:ascii="Book Antiqua" w:hAnsi="Book Antiqua"/>
          <w:szCs w:val="24"/>
        </w:rPr>
        <w:t xml:space="preserve">l Superintendente de la Policía: el Superintendente </w:t>
      </w:r>
      <w:r w:rsidR="009F57F5" w:rsidRPr="009F57F5">
        <w:rPr>
          <w:rFonts w:ascii="Book Antiqua" w:hAnsi="Book Antiqua"/>
          <w:szCs w:val="24"/>
        </w:rPr>
        <w:t>podrá designar centros comunitarios o unidades móviles para facilitar la entrega en zonas de alta densidad poblacional</w:t>
      </w:r>
      <w:r w:rsidR="009F57F5">
        <w:rPr>
          <w:rFonts w:ascii="Book Antiqua" w:hAnsi="Book Antiqua"/>
          <w:szCs w:val="24"/>
        </w:rPr>
        <w:t>.</w:t>
      </w:r>
    </w:p>
    <w:p w14:paraId="20874A44" w14:textId="421988A9" w:rsidR="00101797" w:rsidRPr="00101797" w:rsidRDefault="00101797" w:rsidP="000577D7">
      <w:pPr>
        <w:spacing w:line="480" w:lineRule="auto"/>
        <w:ind w:firstLine="360"/>
        <w:jc w:val="both"/>
        <w:rPr>
          <w:rFonts w:ascii="Book Antiqua" w:hAnsi="Book Antiqua"/>
          <w:szCs w:val="24"/>
        </w:rPr>
      </w:pPr>
      <w:r>
        <w:rPr>
          <w:rFonts w:ascii="Book Antiqua" w:hAnsi="Book Antiqua"/>
          <w:szCs w:val="24"/>
        </w:rPr>
        <w:t xml:space="preserve">La Policía de Puerto Rico </w:t>
      </w:r>
      <w:r w:rsidR="000577D7" w:rsidRPr="000577D7">
        <w:rPr>
          <w:rFonts w:ascii="Book Antiqua" w:hAnsi="Book Antiqua"/>
          <w:szCs w:val="24"/>
        </w:rPr>
        <w:t>será responsable de la incautación definitiva, el inventario y la destrucción de los dispositivos entregados. Se levantará un acta sucinta de la entrega que servirá como comprobante para el ciudadano, garantizando que el dispositivo ha sido retirado de circulación de forma legal.</w:t>
      </w:r>
    </w:p>
    <w:p w14:paraId="780C62C6" w14:textId="4ED874BC" w:rsidR="00CF6A31" w:rsidRDefault="00A8172D" w:rsidP="00CA345E">
      <w:pPr>
        <w:spacing w:line="480" w:lineRule="auto"/>
        <w:ind w:firstLine="360"/>
        <w:jc w:val="both"/>
        <w:rPr>
          <w:rFonts w:ascii="Book Antiqua" w:hAnsi="Book Antiqua"/>
          <w:szCs w:val="24"/>
        </w:rPr>
      </w:pPr>
      <w:r>
        <w:rPr>
          <w:rFonts w:ascii="Book Antiqua" w:hAnsi="Book Antiqua"/>
          <w:szCs w:val="24"/>
        </w:rPr>
        <w:t>Artículo 5.-</w:t>
      </w:r>
      <w:r w:rsidR="00587596">
        <w:rPr>
          <w:rFonts w:ascii="Book Antiqua" w:hAnsi="Book Antiqua"/>
          <w:szCs w:val="24"/>
        </w:rPr>
        <w:t>Reglamentación.</w:t>
      </w:r>
    </w:p>
    <w:p w14:paraId="30C49223" w14:textId="50708D29" w:rsidR="00CF6A31" w:rsidRDefault="00594FB0" w:rsidP="00594FB0">
      <w:pPr>
        <w:spacing w:line="480" w:lineRule="auto"/>
        <w:ind w:firstLine="360"/>
        <w:jc w:val="both"/>
        <w:rPr>
          <w:rFonts w:ascii="Book Antiqua" w:hAnsi="Book Antiqua"/>
          <w:szCs w:val="24"/>
        </w:rPr>
      </w:pPr>
      <w:r>
        <w:rPr>
          <w:rFonts w:ascii="Book Antiqua" w:hAnsi="Book Antiqua"/>
          <w:szCs w:val="24"/>
        </w:rPr>
        <w:t>Se autoriza al</w:t>
      </w:r>
      <w:r w:rsidR="00587596">
        <w:rPr>
          <w:rFonts w:ascii="Book Antiqua" w:hAnsi="Book Antiqua"/>
          <w:szCs w:val="24"/>
        </w:rPr>
        <w:t xml:space="preserve"> Superintendente de la Policía </w:t>
      </w:r>
      <w:r>
        <w:rPr>
          <w:rFonts w:ascii="Book Antiqua" w:hAnsi="Book Antiqua"/>
          <w:szCs w:val="24"/>
        </w:rPr>
        <w:t>a enmendar o adoptar reglamentación que estime necesaria a los fines de cumplir con las disposiciones de esta Ley.</w:t>
      </w:r>
    </w:p>
    <w:p w14:paraId="35E146E0" w14:textId="589A226D" w:rsidR="00391DE3" w:rsidRPr="009C6BAA" w:rsidRDefault="00057085" w:rsidP="00CA345E">
      <w:pPr>
        <w:spacing w:line="480" w:lineRule="auto"/>
        <w:ind w:firstLine="360"/>
        <w:jc w:val="both"/>
        <w:rPr>
          <w:rFonts w:ascii="Book Antiqua" w:hAnsi="Book Antiqua"/>
          <w:szCs w:val="24"/>
        </w:rPr>
      </w:pPr>
      <w:r>
        <w:rPr>
          <w:rFonts w:ascii="Book Antiqua" w:hAnsi="Book Antiqua"/>
          <w:szCs w:val="24"/>
        </w:rPr>
        <w:t xml:space="preserve">Artículo </w:t>
      </w:r>
      <w:r w:rsidR="002B4307">
        <w:rPr>
          <w:rFonts w:ascii="Book Antiqua" w:hAnsi="Book Antiqua"/>
          <w:szCs w:val="24"/>
        </w:rPr>
        <w:t>6</w:t>
      </w:r>
      <w:r>
        <w:rPr>
          <w:rFonts w:ascii="Book Antiqua" w:hAnsi="Book Antiqua"/>
          <w:szCs w:val="24"/>
        </w:rPr>
        <w:t xml:space="preserve">.- </w:t>
      </w:r>
      <w:r w:rsidR="00391DE3" w:rsidRPr="009C6BAA">
        <w:rPr>
          <w:rFonts w:ascii="Book Antiqua" w:hAnsi="Book Antiqua"/>
          <w:szCs w:val="24"/>
        </w:rPr>
        <w:t>Cláusula de separabilidad.</w:t>
      </w:r>
    </w:p>
    <w:p w14:paraId="4ABBC315" w14:textId="5DB409BE" w:rsidR="00391DE3" w:rsidRPr="009C6BAA" w:rsidRDefault="003A4B63" w:rsidP="00832B18">
      <w:pPr>
        <w:spacing w:line="480" w:lineRule="auto"/>
        <w:ind w:firstLine="360"/>
        <w:jc w:val="both"/>
        <w:rPr>
          <w:rFonts w:ascii="Book Antiqua" w:hAnsi="Book Antiqua"/>
          <w:szCs w:val="24"/>
        </w:rPr>
      </w:pPr>
      <w:r w:rsidRPr="009C6BAA">
        <w:rPr>
          <w:rFonts w:ascii="Book Antiqua" w:hAnsi="Book Antiqua"/>
          <w:szCs w:val="24"/>
        </w:rPr>
        <w:t xml:space="preserve">Si cualquier cláusula, párrafo, artículo o parte de esta Ley fuera declarada inconstitucional por un Tribunal con competencia y jurisdicción, la sentencia dictada no </w:t>
      </w:r>
      <w:r w:rsidRPr="009C6BAA">
        <w:rPr>
          <w:rFonts w:ascii="Book Antiqua" w:hAnsi="Book Antiqua"/>
          <w:szCs w:val="24"/>
        </w:rPr>
        <w:lastRenderedPageBreak/>
        <w:t>afectará ni invalidará el resto de esta Ley y su efecto se limitará a la cláusula, párrafo, artículo o parte declarada inconstitucional.</w:t>
      </w:r>
    </w:p>
    <w:p w14:paraId="238FE876" w14:textId="41FEF488" w:rsidR="003A4B63" w:rsidRPr="009C6BAA" w:rsidRDefault="003A4B63" w:rsidP="00832B18">
      <w:pPr>
        <w:spacing w:line="480" w:lineRule="auto"/>
        <w:ind w:firstLine="360"/>
        <w:jc w:val="both"/>
        <w:rPr>
          <w:rFonts w:ascii="Book Antiqua" w:hAnsi="Book Antiqua"/>
          <w:szCs w:val="24"/>
        </w:rPr>
      </w:pPr>
      <w:r w:rsidRPr="009C6BAA">
        <w:rPr>
          <w:rFonts w:ascii="Book Antiqua" w:hAnsi="Book Antiqua"/>
          <w:szCs w:val="24"/>
        </w:rPr>
        <w:t xml:space="preserve">Artículo </w:t>
      </w:r>
      <w:r w:rsidR="002B4307">
        <w:rPr>
          <w:rFonts w:ascii="Book Antiqua" w:hAnsi="Book Antiqua"/>
          <w:szCs w:val="24"/>
        </w:rPr>
        <w:t>7</w:t>
      </w:r>
      <w:r w:rsidRPr="009C6BAA">
        <w:rPr>
          <w:rFonts w:ascii="Book Antiqua" w:hAnsi="Book Antiqua"/>
          <w:szCs w:val="24"/>
        </w:rPr>
        <w:t>.-Vigencia.</w:t>
      </w:r>
    </w:p>
    <w:p w14:paraId="11607146" w14:textId="453A057F" w:rsidR="007D2985" w:rsidRPr="009C6BAA" w:rsidRDefault="003A4B63" w:rsidP="009E6485">
      <w:pPr>
        <w:spacing w:line="480" w:lineRule="auto"/>
        <w:ind w:firstLine="360"/>
        <w:jc w:val="both"/>
        <w:rPr>
          <w:rFonts w:ascii="Book Antiqua" w:hAnsi="Book Antiqua"/>
          <w:szCs w:val="24"/>
        </w:rPr>
      </w:pPr>
      <w:r w:rsidRPr="009C6BAA">
        <w:rPr>
          <w:rFonts w:ascii="Book Antiqua" w:hAnsi="Book Antiqua"/>
          <w:szCs w:val="24"/>
        </w:rPr>
        <w:t xml:space="preserve">Esta Ley </w:t>
      </w:r>
      <w:r w:rsidR="00D67391" w:rsidRPr="009C6BAA">
        <w:rPr>
          <w:rFonts w:ascii="Book Antiqua" w:hAnsi="Book Antiqua"/>
          <w:szCs w:val="24"/>
        </w:rPr>
        <w:t xml:space="preserve">comenzará a regir </w:t>
      </w:r>
      <w:r w:rsidR="00981E71">
        <w:rPr>
          <w:rFonts w:ascii="Book Antiqua" w:hAnsi="Book Antiqua"/>
          <w:szCs w:val="24"/>
        </w:rPr>
        <w:t xml:space="preserve">inmediatamente después </w:t>
      </w:r>
      <w:r w:rsidR="00D67391" w:rsidRPr="009C6BAA">
        <w:rPr>
          <w:rFonts w:ascii="Book Antiqua" w:hAnsi="Book Antiqua"/>
          <w:szCs w:val="24"/>
        </w:rPr>
        <w:t>de su aprobación.</w:t>
      </w:r>
    </w:p>
    <w:sectPr w:rsidR="007D2985" w:rsidRPr="009C6BAA" w:rsidSect="0042594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40470" w14:textId="77777777" w:rsidR="00D25FFF" w:rsidRDefault="00D25FFF">
      <w:r>
        <w:separator/>
      </w:r>
    </w:p>
  </w:endnote>
  <w:endnote w:type="continuationSeparator" w:id="0">
    <w:p w14:paraId="516D3F89" w14:textId="77777777" w:rsidR="00D25FFF" w:rsidRDefault="00D25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5BDFC" w14:textId="77777777" w:rsidR="00D25FFF" w:rsidRDefault="00D25FFF">
      <w:r>
        <w:separator/>
      </w:r>
    </w:p>
  </w:footnote>
  <w:footnote w:type="continuationSeparator" w:id="0">
    <w:p w14:paraId="5022F24A" w14:textId="77777777" w:rsidR="00D25FFF" w:rsidRDefault="00D25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E0AC1">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75F3"/>
    <w:multiLevelType w:val="hybridMultilevel"/>
    <w:tmpl w:val="81DEC54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663D27"/>
    <w:multiLevelType w:val="hybridMultilevel"/>
    <w:tmpl w:val="DFFA26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83FAB"/>
    <w:multiLevelType w:val="hybridMultilevel"/>
    <w:tmpl w:val="5038092A"/>
    <w:lvl w:ilvl="0" w:tplc="BD9238E0">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E52DDF"/>
    <w:multiLevelType w:val="hybridMultilevel"/>
    <w:tmpl w:val="2F9834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CF44F3"/>
    <w:multiLevelType w:val="hybridMultilevel"/>
    <w:tmpl w:val="1F347F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411667"/>
    <w:multiLevelType w:val="hybridMultilevel"/>
    <w:tmpl w:val="310AA7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53253C"/>
    <w:multiLevelType w:val="hybridMultilevel"/>
    <w:tmpl w:val="F4786230"/>
    <w:lvl w:ilvl="0" w:tplc="F184DFBC">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20895B6C"/>
    <w:multiLevelType w:val="hybridMultilevel"/>
    <w:tmpl w:val="9FD4F5D8"/>
    <w:lvl w:ilvl="0" w:tplc="3B5E12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E55F1"/>
    <w:multiLevelType w:val="multilevel"/>
    <w:tmpl w:val="80F4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4382A"/>
    <w:multiLevelType w:val="hybridMultilevel"/>
    <w:tmpl w:val="B4080A5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AAE6D7D"/>
    <w:multiLevelType w:val="hybridMultilevel"/>
    <w:tmpl w:val="22BCE3C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C762AE5"/>
    <w:multiLevelType w:val="hybridMultilevel"/>
    <w:tmpl w:val="84CE6CAA"/>
    <w:lvl w:ilvl="0" w:tplc="A8A2FDC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F06E5C"/>
    <w:multiLevelType w:val="hybridMultilevel"/>
    <w:tmpl w:val="7E6441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044FA9"/>
    <w:multiLevelType w:val="hybridMultilevel"/>
    <w:tmpl w:val="6DE42C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FD2E1F"/>
    <w:multiLevelType w:val="hybridMultilevel"/>
    <w:tmpl w:val="C6728E1A"/>
    <w:lvl w:ilvl="0" w:tplc="3F749E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F62DF4"/>
    <w:multiLevelType w:val="hybridMultilevel"/>
    <w:tmpl w:val="404641B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A74115F"/>
    <w:multiLevelType w:val="hybridMultilevel"/>
    <w:tmpl w:val="BE8A4FD6"/>
    <w:lvl w:ilvl="0" w:tplc="72CED59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252518"/>
    <w:multiLevelType w:val="hybridMultilevel"/>
    <w:tmpl w:val="C1520E34"/>
    <w:lvl w:ilvl="0" w:tplc="174AF1CC">
      <w:start w:val="1"/>
      <w:numFmt w:val="lowerLetter"/>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2C2F14"/>
    <w:multiLevelType w:val="hybridMultilevel"/>
    <w:tmpl w:val="82C8BF7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FC80F7B"/>
    <w:multiLevelType w:val="hybridMultilevel"/>
    <w:tmpl w:val="7B40A3F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5E116DE"/>
    <w:multiLevelType w:val="hybridMultilevel"/>
    <w:tmpl w:val="968AC90C"/>
    <w:lvl w:ilvl="0" w:tplc="F69419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910FD6"/>
    <w:multiLevelType w:val="hybridMultilevel"/>
    <w:tmpl w:val="F976A9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B2135E"/>
    <w:multiLevelType w:val="hybridMultilevel"/>
    <w:tmpl w:val="779AB1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38184280">
    <w:abstractNumId w:val="9"/>
  </w:num>
  <w:num w:numId="2" w16cid:durableId="1665014715">
    <w:abstractNumId w:val="20"/>
  </w:num>
  <w:num w:numId="3" w16cid:durableId="2135127737">
    <w:abstractNumId w:val="5"/>
  </w:num>
  <w:num w:numId="4" w16cid:durableId="1126658395">
    <w:abstractNumId w:val="19"/>
  </w:num>
  <w:num w:numId="5" w16cid:durableId="1743528321">
    <w:abstractNumId w:val="7"/>
  </w:num>
  <w:num w:numId="6" w16cid:durableId="1685479099">
    <w:abstractNumId w:val="22"/>
  </w:num>
  <w:num w:numId="7" w16cid:durableId="607585477">
    <w:abstractNumId w:val="3"/>
  </w:num>
  <w:num w:numId="8" w16cid:durableId="281422564">
    <w:abstractNumId w:val="12"/>
  </w:num>
  <w:num w:numId="9" w16cid:durableId="215439687">
    <w:abstractNumId w:val="24"/>
  </w:num>
  <w:num w:numId="10" w16cid:durableId="43139925">
    <w:abstractNumId w:val="17"/>
  </w:num>
  <w:num w:numId="11" w16cid:durableId="1808820024">
    <w:abstractNumId w:val="16"/>
  </w:num>
  <w:num w:numId="12" w16cid:durableId="1078089859">
    <w:abstractNumId w:val="1"/>
  </w:num>
  <w:num w:numId="13" w16cid:durableId="1754668907">
    <w:abstractNumId w:val="4"/>
  </w:num>
  <w:num w:numId="14" w16cid:durableId="348869770">
    <w:abstractNumId w:val="0"/>
  </w:num>
  <w:num w:numId="15" w16cid:durableId="1015376257">
    <w:abstractNumId w:val="14"/>
  </w:num>
  <w:num w:numId="16" w16cid:durableId="1519926467">
    <w:abstractNumId w:val="15"/>
  </w:num>
  <w:num w:numId="17" w16cid:durableId="2114589635">
    <w:abstractNumId w:val="21"/>
  </w:num>
  <w:num w:numId="18" w16cid:durableId="691224471">
    <w:abstractNumId w:val="11"/>
  </w:num>
  <w:num w:numId="19" w16cid:durableId="276569777">
    <w:abstractNumId w:val="6"/>
  </w:num>
  <w:num w:numId="20" w16cid:durableId="280579437">
    <w:abstractNumId w:val="8"/>
  </w:num>
  <w:num w:numId="21" w16cid:durableId="1611552297">
    <w:abstractNumId w:val="10"/>
  </w:num>
  <w:num w:numId="22" w16cid:durableId="519587991">
    <w:abstractNumId w:val="25"/>
  </w:num>
  <w:num w:numId="23" w16cid:durableId="894969780">
    <w:abstractNumId w:val="2"/>
  </w:num>
  <w:num w:numId="24" w16cid:durableId="1703357234">
    <w:abstractNumId w:val="13"/>
  </w:num>
  <w:num w:numId="25" w16cid:durableId="1628244503">
    <w:abstractNumId w:val="18"/>
  </w:num>
  <w:num w:numId="26" w16cid:durableId="7068384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041D9"/>
    <w:rsid w:val="000045AD"/>
    <w:rsid w:val="00005EC3"/>
    <w:rsid w:val="00011676"/>
    <w:rsid w:val="000120A2"/>
    <w:rsid w:val="00017045"/>
    <w:rsid w:val="000203CC"/>
    <w:rsid w:val="00020BBB"/>
    <w:rsid w:val="00023DA5"/>
    <w:rsid w:val="00025ABC"/>
    <w:rsid w:val="00025B8C"/>
    <w:rsid w:val="00027140"/>
    <w:rsid w:val="0003554D"/>
    <w:rsid w:val="0004425A"/>
    <w:rsid w:val="00045B1F"/>
    <w:rsid w:val="00050F88"/>
    <w:rsid w:val="00051931"/>
    <w:rsid w:val="000529FD"/>
    <w:rsid w:val="00056024"/>
    <w:rsid w:val="00057085"/>
    <w:rsid w:val="000577D7"/>
    <w:rsid w:val="00061190"/>
    <w:rsid w:val="00065071"/>
    <w:rsid w:val="000725F2"/>
    <w:rsid w:val="000741B4"/>
    <w:rsid w:val="0008088A"/>
    <w:rsid w:val="00082223"/>
    <w:rsid w:val="000825AD"/>
    <w:rsid w:val="00090888"/>
    <w:rsid w:val="00094DCC"/>
    <w:rsid w:val="000958AD"/>
    <w:rsid w:val="00095AE1"/>
    <w:rsid w:val="000A10E9"/>
    <w:rsid w:val="000A270D"/>
    <w:rsid w:val="000A6B6C"/>
    <w:rsid w:val="000A6F81"/>
    <w:rsid w:val="000A706F"/>
    <w:rsid w:val="000A7B4D"/>
    <w:rsid w:val="000B0DBB"/>
    <w:rsid w:val="000B4359"/>
    <w:rsid w:val="000C2E68"/>
    <w:rsid w:val="000D0372"/>
    <w:rsid w:val="000E05DE"/>
    <w:rsid w:val="000E2A95"/>
    <w:rsid w:val="000E3DDD"/>
    <w:rsid w:val="000E7B3E"/>
    <w:rsid w:val="000F03E7"/>
    <w:rsid w:val="000F6AB4"/>
    <w:rsid w:val="000F6FF1"/>
    <w:rsid w:val="000F7EB9"/>
    <w:rsid w:val="001010B3"/>
    <w:rsid w:val="00101797"/>
    <w:rsid w:val="001066D8"/>
    <w:rsid w:val="00110831"/>
    <w:rsid w:val="00111E71"/>
    <w:rsid w:val="00116406"/>
    <w:rsid w:val="0011708D"/>
    <w:rsid w:val="001172D7"/>
    <w:rsid w:val="00117A6C"/>
    <w:rsid w:val="00117CA1"/>
    <w:rsid w:val="0012680A"/>
    <w:rsid w:val="00126E2E"/>
    <w:rsid w:val="00127C6A"/>
    <w:rsid w:val="001320B0"/>
    <w:rsid w:val="00134BE2"/>
    <w:rsid w:val="001359ED"/>
    <w:rsid w:val="001363FE"/>
    <w:rsid w:val="00147A99"/>
    <w:rsid w:val="00153A10"/>
    <w:rsid w:val="0015598F"/>
    <w:rsid w:val="0017132B"/>
    <w:rsid w:val="0017318E"/>
    <w:rsid w:val="00181281"/>
    <w:rsid w:val="001819DA"/>
    <w:rsid w:val="001849D6"/>
    <w:rsid w:val="001856AA"/>
    <w:rsid w:val="00185BB9"/>
    <w:rsid w:val="001865B5"/>
    <w:rsid w:val="001875ED"/>
    <w:rsid w:val="00190928"/>
    <w:rsid w:val="00192A63"/>
    <w:rsid w:val="00193B39"/>
    <w:rsid w:val="00197796"/>
    <w:rsid w:val="001A1E09"/>
    <w:rsid w:val="001A1FF0"/>
    <w:rsid w:val="001A6EFF"/>
    <w:rsid w:val="001B51C8"/>
    <w:rsid w:val="001B7E93"/>
    <w:rsid w:val="001B7F40"/>
    <w:rsid w:val="001C2B1B"/>
    <w:rsid w:val="001C6881"/>
    <w:rsid w:val="001D1A9A"/>
    <w:rsid w:val="001D3246"/>
    <w:rsid w:val="001D341C"/>
    <w:rsid w:val="001D65B8"/>
    <w:rsid w:val="001D702A"/>
    <w:rsid w:val="001E0632"/>
    <w:rsid w:val="001E4A8E"/>
    <w:rsid w:val="001E6AB2"/>
    <w:rsid w:val="001F0824"/>
    <w:rsid w:val="001F18B1"/>
    <w:rsid w:val="001F336C"/>
    <w:rsid w:val="001F3D94"/>
    <w:rsid w:val="001F4507"/>
    <w:rsid w:val="001F4CA3"/>
    <w:rsid w:val="001F612A"/>
    <w:rsid w:val="00210ACA"/>
    <w:rsid w:val="00211396"/>
    <w:rsid w:val="0021518D"/>
    <w:rsid w:val="00215884"/>
    <w:rsid w:val="002161BF"/>
    <w:rsid w:val="002215C5"/>
    <w:rsid w:val="002238A2"/>
    <w:rsid w:val="00226AE6"/>
    <w:rsid w:val="00231725"/>
    <w:rsid w:val="0023532C"/>
    <w:rsid w:val="00235410"/>
    <w:rsid w:val="00245B34"/>
    <w:rsid w:val="002479AF"/>
    <w:rsid w:val="0025549C"/>
    <w:rsid w:val="0026141B"/>
    <w:rsid w:val="0026202E"/>
    <w:rsid w:val="00263355"/>
    <w:rsid w:val="00263FF7"/>
    <w:rsid w:val="002662BC"/>
    <w:rsid w:val="0027065F"/>
    <w:rsid w:val="002733DD"/>
    <w:rsid w:val="00273792"/>
    <w:rsid w:val="00274876"/>
    <w:rsid w:val="002850DE"/>
    <w:rsid w:val="002873F9"/>
    <w:rsid w:val="0029356F"/>
    <w:rsid w:val="002A46F1"/>
    <w:rsid w:val="002B0233"/>
    <w:rsid w:val="002B16DD"/>
    <w:rsid w:val="002B4307"/>
    <w:rsid w:val="002C4F8A"/>
    <w:rsid w:val="002C6DA0"/>
    <w:rsid w:val="002C793F"/>
    <w:rsid w:val="002D0147"/>
    <w:rsid w:val="002D2FC2"/>
    <w:rsid w:val="002D3965"/>
    <w:rsid w:val="002D4AC8"/>
    <w:rsid w:val="002D56EE"/>
    <w:rsid w:val="002D6A74"/>
    <w:rsid w:val="002E78F3"/>
    <w:rsid w:val="002F0F53"/>
    <w:rsid w:val="002F7DE7"/>
    <w:rsid w:val="003033B5"/>
    <w:rsid w:val="003142EE"/>
    <w:rsid w:val="003200B8"/>
    <w:rsid w:val="00320D78"/>
    <w:rsid w:val="00322448"/>
    <w:rsid w:val="0032270A"/>
    <w:rsid w:val="003317FD"/>
    <w:rsid w:val="00334389"/>
    <w:rsid w:val="003365F3"/>
    <w:rsid w:val="003405A4"/>
    <w:rsid w:val="00340861"/>
    <w:rsid w:val="003417C2"/>
    <w:rsid w:val="00342039"/>
    <w:rsid w:val="00344418"/>
    <w:rsid w:val="0034701D"/>
    <w:rsid w:val="00350756"/>
    <w:rsid w:val="00355F14"/>
    <w:rsid w:val="00356910"/>
    <w:rsid w:val="0035788A"/>
    <w:rsid w:val="00375429"/>
    <w:rsid w:val="00377362"/>
    <w:rsid w:val="00380FE5"/>
    <w:rsid w:val="00381493"/>
    <w:rsid w:val="0038543B"/>
    <w:rsid w:val="00386E33"/>
    <w:rsid w:val="00386F6A"/>
    <w:rsid w:val="00391A2E"/>
    <w:rsid w:val="00391DE3"/>
    <w:rsid w:val="003924DD"/>
    <w:rsid w:val="003936EC"/>
    <w:rsid w:val="00394FCB"/>
    <w:rsid w:val="003963F4"/>
    <w:rsid w:val="00397719"/>
    <w:rsid w:val="003A2EC0"/>
    <w:rsid w:val="003A4B63"/>
    <w:rsid w:val="003A7304"/>
    <w:rsid w:val="003B3369"/>
    <w:rsid w:val="003B477E"/>
    <w:rsid w:val="003B5254"/>
    <w:rsid w:val="003B75A6"/>
    <w:rsid w:val="003C063F"/>
    <w:rsid w:val="003C5160"/>
    <w:rsid w:val="003D72FC"/>
    <w:rsid w:val="003E0D10"/>
    <w:rsid w:val="003E11CE"/>
    <w:rsid w:val="003E2127"/>
    <w:rsid w:val="003E53FB"/>
    <w:rsid w:val="003E78C0"/>
    <w:rsid w:val="003F1038"/>
    <w:rsid w:val="003F2839"/>
    <w:rsid w:val="003F3A3E"/>
    <w:rsid w:val="003F602C"/>
    <w:rsid w:val="004000D4"/>
    <w:rsid w:val="00403D2A"/>
    <w:rsid w:val="00403D3C"/>
    <w:rsid w:val="00404859"/>
    <w:rsid w:val="00405387"/>
    <w:rsid w:val="00405BC0"/>
    <w:rsid w:val="004061CA"/>
    <w:rsid w:val="00411193"/>
    <w:rsid w:val="00411B44"/>
    <w:rsid w:val="00414C08"/>
    <w:rsid w:val="00415689"/>
    <w:rsid w:val="00415C4C"/>
    <w:rsid w:val="00422580"/>
    <w:rsid w:val="00422E2B"/>
    <w:rsid w:val="00424107"/>
    <w:rsid w:val="00424771"/>
    <w:rsid w:val="00425949"/>
    <w:rsid w:val="00433594"/>
    <w:rsid w:val="00433E1B"/>
    <w:rsid w:val="00434247"/>
    <w:rsid w:val="00436506"/>
    <w:rsid w:val="004421CD"/>
    <w:rsid w:val="004434A0"/>
    <w:rsid w:val="004440CB"/>
    <w:rsid w:val="00444D7C"/>
    <w:rsid w:val="00447C54"/>
    <w:rsid w:val="004504C2"/>
    <w:rsid w:val="00450C16"/>
    <w:rsid w:val="0046545D"/>
    <w:rsid w:val="00466965"/>
    <w:rsid w:val="004707F8"/>
    <w:rsid w:val="00470A0A"/>
    <w:rsid w:val="00470F9F"/>
    <w:rsid w:val="004713D2"/>
    <w:rsid w:val="004753F4"/>
    <w:rsid w:val="00482143"/>
    <w:rsid w:val="00483DAF"/>
    <w:rsid w:val="00485D39"/>
    <w:rsid w:val="00492705"/>
    <w:rsid w:val="00494867"/>
    <w:rsid w:val="0049639F"/>
    <w:rsid w:val="004A722C"/>
    <w:rsid w:val="004B0201"/>
    <w:rsid w:val="004B0B0F"/>
    <w:rsid w:val="004B293A"/>
    <w:rsid w:val="004B6ABA"/>
    <w:rsid w:val="004C4330"/>
    <w:rsid w:val="004D5A5D"/>
    <w:rsid w:val="004E1A3E"/>
    <w:rsid w:val="004E2361"/>
    <w:rsid w:val="004E7495"/>
    <w:rsid w:val="004F45CF"/>
    <w:rsid w:val="004F49B9"/>
    <w:rsid w:val="004F7B75"/>
    <w:rsid w:val="0050296F"/>
    <w:rsid w:val="00503D1B"/>
    <w:rsid w:val="00505D05"/>
    <w:rsid w:val="00506CF7"/>
    <w:rsid w:val="005102C6"/>
    <w:rsid w:val="00521639"/>
    <w:rsid w:val="00524569"/>
    <w:rsid w:val="00530353"/>
    <w:rsid w:val="005324DB"/>
    <w:rsid w:val="00532BB7"/>
    <w:rsid w:val="005332E4"/>
    <w:rsid w:val="00533BB1"/>
    <w:rsid w:val="0053550C"/>
    <w:rsid w:val="005437E8"/>
    <w:rsid w:val="00546BED"/>
    <w:rsid w:val="00546C6B"/>
    <w:rsid w:val="00550443"/>
    <w:rsid w:val="00552310"/>
    <w:rsid w:val="00552505"/>
    <w:rsid w:val="00553D6C"/>
    <w:rsid w:val="00555018"/>
    <w:rsid w:val="00560B3A"/>
    <w:rsid w:val="005638E3"/>
    <w:rsid w:val="00565404"/>
    <w:rsid w:val="0056721A"/>
    <w:rsid w:val="005723DC"/>
    <w:rsid w:val="00577B83"/>
    <w:rsid w:val="00583D75"/>
    <w:rsid w:val="00583E59"/>
    <w:rsid w:val="00584B9D"/>
    <w:rsid w:val="005869C4"/>
    <w:rsid w:val="00587596"/>
    <w:rsid w:val="005900FE"/>
    <w:rsid w:val="005919D0"/>
    <w:rsid w:val="00593559"/>
    <w:rsid w:val="005942AC"/>
    <w:rsid w:val="00594E0D"/>
    <w:rsid w:val="00594FB0"/>
    <w:rsid w:val="005A09AD"/>
    <w:rsid w:val="005B41CF"/>
    <w:rsid w:val="005C1263"/>
    <w:rsid w:val="005C3EF1"/>
    <w:rsid w:val="005C48C6"/>
    <w:rsid w:val="005D4D58"/>
    <w:rsid w:val="005D5EBD"/>
    <w:rsid w:val="005D6138"/>
    <w:rsid w:val="005E12A8"/>
    <w:rsid w:val="005F3557"/>
    <w:rsid w:val="005F43E5"/>
    <w:rsid w:val="0060104B"/>
    <w:rsid w:val="00602572"/>
    <w:rsid w:val="00604CDB"/>
    <w:rsid w:val="00604ECE"/>
    <w:rsid w:val="00605793"/>
    <w:rsid w:val="00605C7E"/>
    <w:rsid w:val="00605D4F"/>
    <w:rsid w:val="00606511"/>
    <w:rsid w:val="00614212"/>
    <w:rsid w:val="00615872"/>
    <w:rsid w:val="006210DC"/>
    <w:rsid w:val="00624AC7"/>
    <w:rsid w:val="00631529"/>
    <w:rsid w:val="00632017"/>
    <w:rsid w:val="00634523"/>
    <w:rsid w:val="00636917"/>
    <w:rsid w:val="006423DB"/>
    <w:rsid w:val="00642FC4"/>
    <w:rsid w:val="0064349D"/>
    <w:rsid w:val="00644F1E"/>
    <w:rsid w:val="00652ADB"/>
    <w:rsid w:val="00652F6D"/>
    <w:rsid w:val="00653EED"/>
    <w:rsid w:val="006548C5"/>
    <w:rsid w:val="00655861"/>
    <w:rsid w:val="00661DE0"/>
    <w:rsid w:val="00662714"/>
    <w:rsid w:val="00670502"/>
    <w:rsid w:val="00672706"/>
    <w:rsid w:val="00674DA8"/>
    <w:rsid w:val="00684085"/>
    <w:rsid w:val="00685549"/>
    <w:rsid w:val="00690A45"/>
    <w:rsid w:val="00690BD9"/>
    <w:rsid w:val="00690E1C"/>
    <w:rsid w:val="006912C6"/>
    <w:rsid w:val="006A7E74"/>
    <w:rsid w:val="006B0076"/>
    <w:rsid w:val="006B0FF2"/>
    <w:rsid w:val="006B2DC9"/>
    <w:rsid w:val="006B3A86"/>
    <w:rsid w:val="006B3B23"/>
    <w:rsid w:val="006B3E39"/>
    <w:rsid w:val="006B6B09"/>
    <w:rsid w:val="006B7365"/>
    <w:rsid w:val="006C175C"/>
    <w:rsid w:val="006C2D81"/>
    <w:rsid w:val="006C549E"/>
    <w:rsid w:val="006C7DF8"/>
    <w:rsid w:val="006E1841"/>
    <w:rsid w:val="006E7BCB"/>
    <w:rsid w:val="006E7E86"/>
    <w:rsid w:val="006F0B49"/>
    <w:rsid w:val="006F0BEB"/>
    <w:rsid w:val="006F4E54"/>
    <w:rsid w:val="006F6109"/>
    <w:rsid w:val="006F72C6"/>
    <w:rsid w:val="00700225"/>
    <w:rsid w:val="00701B26"/>
    <w:rsid w:val="007051C4"/>
    <w:rsid w:val="0070548B"/>
    <w:rsid w:val="00712864"/>
    <w:rsid w:val="00717279"/>
    <w:rsid w:val="00721923"/>
    <w:rsid w:val="00722C38"/>
    <w:rsid w:val="007242FA"/>
    <w:rsid w:val="00730160"/>
    <w:rsid w:val="00730375"/>
    <w:rsid w:val="0073162E"/>
    <w:rsid w:val="00732A81"/>
    <w:rsid w:val="00732F0C"/>
    <w:rsid w:val="00734F47"/>
    <w:rsid w:val="00740627"/>
    <w:rsid w:val="007433F9"/>
    <w:rsid w:val="00750FC8"/>
    <w:rsid w:val="00751A9B"/>
    <w:rsid w:val="007533D0"/>
    <w:rsid w:val="00754C10"/>
    <w:rsid w:val="00755069"/>
    <w:rsid w:val="007614EA"/>
    <w:rsid w:val="00766C10"/>
    <w:rsid w:val="00766D67"/>
    <w:rsid w:val="0077509B"/>
    <w:rsid w:val="007753AE"/>
    <w:rsid w:val="007768E9"/>
    <w:rsid w:val="00776CEB"/>
    <w:rsid w:val="00784FAA"/>
    <w:rsid w:val="00786258"/>
    <w:rsid w:val="00792027"/>
    <w:rsid w:val="00797037"/>
    <w:rsid w:val="007A0593"/>
    <w:rsid w:val="007A2AF2"/>
    <w:rsid w:val="007A4682"/>
    <w:rsid w:val="007B0660"/>
    <w:rsid w:val="007B36F8"/>
    <w:rsid w:val="007C1A25"/>
    <w:rsid w:val="007C29A4"/>
    <w:rsid w:val="007C6A19"/>
    <w:rsid w:val="007C7D2E"/>
    <w:rsid w:val="007D1626"/>
    <w:rsid w:val="007D2985"/>
    <w:rsid w:val="007D53BB"/>
    <w:rsid w:val="007E302C"/>
    <w:rsid w:val="007E3868"/>
    <w:rsid w:val="007E4A29"/>
    <w:rsid w:val="007E5394"/>
    <w:rsid w:val="007E6711"/>
    <w:rsid w:val="007F5A82"/>
    <w:rsid w:val="00801434"/>
    <w:rsid w:val="0080677E"/>
    <w:rsid w:val="00806DB2"/>
    <w:rsid w:val="00812E1B"/>
    <w:rsid w:val="00813444"/>
    <w:rsid w:val="00813FBF"/>
    <w:rsid w:val="00814087"/>
    <w:rsid w:val="0081683B"/>
    <w:rsid w:val="008173C8"/>
    <w:rsid w:val="00820C41"/>
    <w:rsid w:val="00821468"/>
    <w:rsid w:val="00822CE4"/>
    <w:rsid w:val="0082425C"/>
    <w:rsid w:val="00826B8D"/>
    <w:rsid w:val="00832B18"/>
    <w:rsid w:val="00850256"/>
    <w:rsid w:val="00850990"/>
    <w:rsid w:val="00852E71"/>
    <w:rsid w:val="00857830"/>
    <w:rsid w:val="008616B1"/>
    <w:rsid w:val="00870383"/>
    <w:rsid w:val="008707CD"/>
    <w:rsid w:val="0087255B"/>
    <w:rsid w:val="00873DC8"/>
    <w:rsid w:val="00874990"/>
    <w:rsid w:val="008755FE"/>
    <w:rsid w:val="00877D66"/>
    <w:rsid w:val="0088703A"/>
    <w:rsid w:val="00891A5A"/>
    <w:rsid w:val="008929FB"/>
    <w:rsid w:val="00892C7B"/>
    <w:rsid w:val="00893F2E"/>
    <w:rsid w:val="008947E7"/>
    <w:rsid w:val="00897696"/>
    <w:rsid w:val="00897BD8"/>
    <w:rsid w:val="008A26EC"/>
    <w:rsid w:val="008B7DBC"/>
    <w:rsid w:val="008C2EB6"/>
    <w:rsid w:val="008C7227"/>
    <w:rsid w:val="008D2070"/>
    <w:rsid w:val="008D33B4"/>
    <w:rsid w:val="008E0AC1"/>
    <w:rsid w:val="008E547E"/>
    <w:rsid w:val="008E59C7"/>
    <w:rsid w:val="008E74FF"/>
    <w:rsid w:val="008F080D"/>
    <w:rsid w:val="008F1658"/>
    <w:rsid w:val="008F1DE6"/>
    <w:rsid w:val="008F4649"/>
    <w:rsid w:val="008F5C9D"/>
    <w:rsid w:val="00905866"/>
    <w:rsid w:val="009075A2"/>
    <w:rsid w:val="0091086F"/>
    <w:rsid w:val="00911B61"/>
    <w:rsid w:val="009130FB"/>
    <w:rsid w:val="0093638F"/>
    <w:rsid w:val="0093651E"/>
    <w:rsid w:val="0093686F"/>
    <w:rsid w:val="00936D67"/>
    <w:rsid w:val="009419AC"/>
    <w:rsid w:val="0094290E"/>
    <w:rsid w:val="00942FD4"/>
    <w:rsid w:val="009440E2"/>
    <w:rsid w:val="00945785"/>
    <w:rsid w:val="009506CC"/>
    <w:rsid w:val="00951997"/>
    <w:rsid w:val="00954D83"/>
    <w:rsid w:val="009611B5"/>
    <w:rsid w:val="00961209"/>
    <w:rsid w:val="0096196B"/>
    <w:rsid w:val="009704F0"/>
    <w:rsid w:val="00970CFC"/>
    <w:rsid w:val="00981E71"/>
    <w:rsid w:val="0098290E"/>
    <w:rsid w:val="00990352"/>
    <w:rsid w:val="009934D0"/>
    <w:rsid w:val="00993E78"/>
    <w:rsid w:val="00994B8A"/>
    <w:rsid w:val="00997B5B"/>
    <w:rsid w:val="009A077B"/>
    <w:rsid w:val="009A1B5F"/>
    <w:rsid w:val="009B28AA"/>
    <w:rsid w:val="009C0DB7"/>
    <w:rsid w:val="009C3852"/>
    <w:rsid w:val="009C5AD6"/>
    <w:rsid w:val="009C6BAA"/>
    <w:rsid w:val="009C755B"/>
    <w:rsid w:val="009D0F09"/>
    <w:rsid w:val="009D16B0"/>
    <w:rsid w:val="009D2447"/>
    <w:rsid w:val="009D7CC7"/>
    <w:rsid w:val="009E5210"/>
    <w:rsid w:val="009E6485"/>
    <w:rsid w:val="009F0EF6"/>
    <w:rsid w:val="009F2D4B"/>
    <w:rsid w:val="009F312C"/>
    <w:rsid w:val="009F57F5"/>
    <w:rsid w:val="009F7531"/>
    <w:rsid w:val="00A02246"/>
    <w:rsid w:val="00A03405"/>
    <w:rsid w:val="00A04862"/>
    <w:rsid w:val="00A048F6"/>
    <w:rsid w:val="00A04C4D"/>
    <w:rsid w:val="00A07D20"/>
    <w:rsid w:val="00A11999"/>
    <w:rsid w:val="00A1528A"/>
    <w:rsid w:val="00A206D0"/>
    <w:rsid w:val="00A23DEA"/>
    <w:rsid w:val="00A24C11"/>
    <w:rsid w:val="00A306A3"/>
    <w:rsid w:val="00A3331C"/>
    <w:rsid w:val="00A33918"/>
    <w:rsid w:val="00A34888"/>
    <w:rsid w:val="00A37BAA"/>
    <w:rsid w:val="00A465B5"/>
    <w:rsid w:val="00A501E2"/>
    <w:rsid w:val="00A52694"/>
    <w:rsid w:val="00A52B69"/>
    <w:rsid w:val="00A564D6"/>
    <w:rsid w:val="00A60863"/>
    <w:rsid w:val="00A6272A"/>
    <w:rsid w:val="00A6369B"/>
    <w:rsid w:val="00A64A37"/>
    <w:rsid w:val="00A710CE"/>
    <w:rsid w:val="00A75693"/>
    <w:rsid w:val="00A7629F"/>
    <w:rsid w:val="00A7727A"/>
    <w:rsid w:val="00A8172D"/>
    <w:rsid w:val="00A8392D"/>
    <w:rsid w:val="00A850A7"/>
    <w:rsid w:val="00A85CEE"/>
    <w:rsid w:val="00A8725E"/>
    <w:rsid w:val="00A94226"/>
    <w:rsid w:val="00A969F0"/>
    <w:rsid w:val="00AA087D"/>
    <w:rsid w:val="00AA3B13"/>
    <w:rsid w:val="00AB7481"/>
    <w:rsid w:val="00AB7858"/>
    <w:rsid w:val="00AC0FED"/>
    <w:rsid w:val="00AC15A3"/>
    <w:rsid w:val="00AC68EA"/>
    <w:rsid w:val="00AE1111"/>
    <w:rsid w:val="00AE5430"/>
    <w:rsid w:val="00AE6BD8"/>
    <w:rsid w:val="00AE6F5E"/>
    <w:rsid w:val="00AF0CEE"/>
    <w:rsid w:val="00AF225D"/>
    <w:rsid w:val="00AF2F7E"/>
    <w:rsid w:val="00AF680E"/>
    <w:rsid w:val="00B06480"/>
    <w:rsid w:val="00B316B0"/>
    <w:rsid w:val="00B325CE"/>
    <w:rsid w:val="00B44B28"/>
    <w:rsid w:val="00B4571F"/>
    <w:rsid w:val="00B45CF0"/>
    <w:rsid w:val="00B47D0A"/>
    <w:rsid w:val="00B5063A"/>
    <w:rsid w:val="00B5222E"/>
    <w:rsid w:val="00B56216"/>
    <w:rsid w:val="00B56D70"/>
    <w:rsid w:val="00B61BA9"/>
    <w:rsid w:val="00B629B1"/>
    <w:rsid w:val="00B63706"/>
    <w:rsid w:val="00B63B97"/>
    <w:rsid w:val="00B65866"/>
    <w:rsid w:val="00B667AD"/>
    <w:rsid w:val="00B672AC"/>
    <w:rsid w:val="00B81C06"/>
    <w:rsid w:val="00B8390C"/>
    <w:rsid w:val="00B844D5"/>
    <w:rsid w:val="00B84C38"/>
    <w:rsid w:val="00B85BD2"/>
    <w:rsid w:val="00B8685C"/>
    <w:rsid w:val="00B86C00"/>
    <w:rsid w:val="00B87587"/>
    <w:rsid w:val="00B947F6"/>
    <w:rsid w:val="00BA40BB"/>
    <w:rsid w:val="00BB2318"/>
    <w:rsid w:val="00BB2BDD"/>
    <w:rsid w:val="00BB460A"/>
    <w:rsid w:val="00BB5F17"/>
    <w:rsid w:val="00BB66C8"/>
    <w:rsid w:val="00BB70FA"/>
    <w:rsid w:val="00BC7620"/>
    <w:rsid w:val="00BD0D7A"/>
    <w:rsid w:val="00BD1BAA"/>
    <w:rsid w:val="00BD20E5"/>
    <w:rsid w:val="00BD26CB"/>
    <w:rsid w:val="00BD5BE1"/>
    <w:rsid w:val="00BD76F7"/>
    <w:rsid w:val="00BE337B"/>
    <w:rsid w:val="00BE48E6"/>
    <w:rsid w:val="00BE6511"/>
    <w:rsid w:val="00BF0FEB"/>
    <w:rsid w:val="00BF16AA"/>
    <w:rsid w:val="00BF7072"/>
    <w:rsid w:val="00C05ACA"/>
    <w:rsid w:val="00C07C5C"/>
    <w:rsid w:val="00C12B93"/>
    <w:rsid w:val="00C12E5B"/>
    <w:rsid w:val="00C13044"/>
    <w:rsid w:val="00C13594"/>
    <w:rsid w:val="00C2441E"/>
    <w:rsid w:val="00C264BF"/>
    <w:rsid w:val="00C30B98"/>
    <w:rsid w:val="00C354B8"/>
    <w:rsid w:val="00C3596D"/>
    <w:rsid w:val="00C4632A"/>
    <w:rsid w:val="00C503DC"/>
    <w:rsid w:val="00C52517"/>
    <w:rsid w:val="00C52CAC"/>
    <w:rsid w:val="00C53335"/>
    <w:rsid w:val="00C60921"/>
    <w:rsid w:val="00C62936"/>
    <w:rsid w:val="00C653F2"/>
    <w:rsid w:val="00C66322"/>
    <w:rsid w:val="00C679E6"/>
    <w:rsid w:val="00C709E5"/>
    <w:rsid w:val="00C70C56"/>
    <w:rsid w:val="00C75D37"/>
    <w:rsid w:val="00C76D14"/>
    <w:rsid w:val="00C8246A"/>
    <w:rsid w:val="00C908F9"/>
    <w:rsid w:val="00C96C07"/>
    <w:rsid w:val="00CA0917"/>
    <w:rsid w:val="00CA0AB0"/>
    <w:rsid w:val="00CA1099"/>
    <w:rsid w:val="00CA345E"/>
    <w:rsid w:val="00CA4D8E"/>
    <w:rsid w:val="00CB2C8E"/>
    <w:rsid w:val="00CB6AEF"/>
    <w:rsid w:val="00CC122F"/>
    <w:rsid w:val="00CC17DC"/>
    <w:rsid w:val="00CC34F0"/>
    <w:rsid w:val="00CC5A58"/>
    <w:rsid w:val="00CD1268"/>
    <w:rsid w:val="00CD2E0E"/>
    <w:rsid w:val="00CD5EC0"/>
    <w:rsid w:val="00CE39EB"/>
    <w:rsid w:val="00CE4584"/>
    <w:rsid w:val="00CE6233"/>
    <w:rsid w:val="00CF0503"/>
    <w:rsid w:val="00CF0578"/>
    <w:rsid w:val="00CF0902"/>
    <w:rsid w:val="00CF1F93"/>
    <w:rsid w:val="00CF6A31"/>
    <w:rsid w:val="00D00D58"/>
    <w:rsid w:val="00D0473C"/>
    <w:rsid w:val="00D06317"/>
    <w:rsid w:val="00D12D43"/>
    <w:rsid w:val="00D2270B"/>
    <w:rsid w:val="00D22FD2"/>
    <w:rsid w:val="00D243C0"/>
    <w:rsid w:val="00D25FFF"/>
    <w:rsid w:val="00D335F2"/>
    <w:rsid w:val="00D34EEA"/>
    <w:rsid w:val="00D358C0"/>
    <w:rsid w:val="00D36843"/>
    <w:rsid w:val="00D417C2"/>
    <w:rsid w:val="00D447DF"/>
    <w:rsid w:val="00D51652"/>
    <w:rsid w:val="00D60936"/>
    <w:rsid w:val="00D615DE"/>
    <w:rsid w:val="00D62512"/>
    <w:rsid w:val="00D65906"/>
    <w:rsid w:val="00D67391"/>
    <w:rsid w:val="00D67B6E"/>
    <w:rsid w:val="00D709EB"/>
    <w:rsid w:val="00D719F7"/>
    <w:rsid w:val="00D72937"/>
    <w:rsid w:val="00D74714"/>
    <w:rsid w:val="00D82F3F"/>
    <w:rsid w:val="00D86DA1"/>
    <w:rsid w:val="00D921C6"/>
    <w:rsid w:val="00D92787"/>
    <w:rsid w:val="00D92DD0"/>
    <w:rsid w:val="00D958C2"/>
    <w:rsid w:val="00DA16D9"/>
    <w:rsid w:val="00DA39D3"/>
    <w:rsid w:val="00DA3E99"/>
    <w:rsid w:val="00DA5306"/>
    <w:rsid w:val="00DA74BD"/>
    <w:rsid w:val="00DB1BB8"/>
    <w:rsid w:val="00DB541B"/>
    <w:rsid w:val="00DB65FB"/>
    <w:rsid w:val="00DB6B56"/>
    <w:rsid w:val="00DC15AC"/>
    <w:rsid w:val="00DC1FD1"/>
    <w:rsid w:val="00DC7122"/>
    <w:rsid w:val="00DC750E"/>
    <w:rsid w:val="00DD30B3"/>
    <w:rsid w:val="00DD51A6"/>
    <w:rsid w:val="00DD799D"/>
    <w:rsid w:val="00DE37E5"/>
    <w:rsid w:val="00DE6FC9"/>
    <w:rsid w:val="00DE7F9D"/>
    <w:rsid w:val="00DF0B73"/>
    <w:rsid w:val="00DF0F34"/>
    <w:rsid w:val="00DF1C16"/>
    <w:rsid w:val="00DF1D2F"/>
    <w:rsid w:val="00E03F05"/>
    <w:rsid w:val="00E04AB5"/>
    <w:rsid w:val="00E10162"/>
    <w:rsid w:val="00E10A97"/>
    <w:rsid w:val="00E1489C"/>
    <w:rsid w:val="00E16CC4"/>
    <w:rsid w:val="00E20591"/>
    <w:rsid w:val="00E20DF2"/>
    <w:rsid w:val="00E229A6"/>
    <w:rsid w:val="00E233C2"/>
    <w:rsid w:val="00E25B02"/>
    <w:rsid w:val="00E268CB"/>
    <w:rsid w:val="00E33C86"/>
    <w:rsid w:val="00E34147"/>
    <w:rsid w:val="00E44C22"/>
    <w:rsid w:val="00E50EEA"/>
    <w:rsid w:val="00E51EDC"/>
    <w:rsid w:val="00E52F58"/>
    <w:rsid w:val="00E53D18"/>
    <w:rsid w:val="00E67128"/>
    <w:rsid w:val="00E67E3B"/>
    <w:rsid w:val="00E76012"/>
    <w:rsid w:val="00E777EA"/>
    <w:rsid w:val="00E847CC"/>
    <w:rsid w:val="00E85A29"/>
    <w:rsid w:val="00E90E07"/>
    <w:rsid w:val="00E90ED6"/>
    <w:rsid w:val="00E9215D"/>
    <w:rsid w:val="00E93F16"/>
    <w:rsid w:val="00EA3485"/>
    <w:rsid w:val="00EA6B96"/>
    <w:rsid w:val="00EA715B"/>
    <w:rsid w:val="00EB19FA"/>
    <w:rsid w:val="00EB1F5B"/>
    <w:rsid w:val="00EB4539"/>
    <w:rsid w:val="00EB5479"/>
    <w:rsid w:val="00EC0B92"/>
    <w:rsid w:val="00EC14CD"/>
    <w:rsid w:val="00EC2546"/>
    <w:rsid w:val="00EC26AA"/>
    <w:rsid w:val="00EC6866"/>
    <w:rsid w:val="00ED59A9"/>
    <w:rsid w:val="00ED7A53"/>
    <w:rsid w:val="00EE1E2B"/>
    <w:rsid w:val="00EE1E90"/>
    <w:rsid w:val="00EE4273"/>
    <w:rsid w:val="00EE4603"/>
    <w:rsid w:val="00EE579B"/>
    <w:rsid w:val="00EF052C"/>
    <w:rsid w:val="00EF78DA"/>
    <w:rsid w:val="00F00FF1"/>
    <w:rsid w:val="00F02004"/>
    <w:rsid w:val="00F042CB"/>
    <w:rsid w:val="00F04A06"/>
    <w:rsid w:val="00F102F6"/>
    <w:rsid w:val="00F10702"/>
    <w:rsid w:val="00F15C51"/>
    <w:rsid w:val="00F21DDC"/>
    <w:rsid w:val="00F22886"/>
    <w:rsid w:val="00F23355"/>
    <w:rsid w:val="00F41F52"/>
    <w:rsid w:val="00F463C3"/>
    <w:rsid w:val="00F601DC"/>
    <w:rsid w:val="00F60A20"/>
    <w:rsid w:val="00F66A5C"/>
    <w:rsid w:val="00F76E9C"/>
    <w:rsid w:val="00F778AD"/>
    <w:rsid w:val="00F81112"/>
    <w:rsid w:val="00F81FB9"/>
    <w:rsid w:val="00F83A33"/>
    <w:rsid w:val="00F87C77"/>
    <w:rsid w:val="00F913C5"/>
    <w:rsid w:val="00F92782"/>
    <w:rsid w:val="00F94311"/>
    <w:rsid w:val="00F943C7"/>
    <w:rsid w:val="00F9683A"/>
    <w:rsid w:val="00F97542"/>
    <w:rsid w:val="00FA28EB"/>
    <w:rsid w:val="00FB572D"/>
    <w:rsid w:val="00FB6BD5"/>
    <w:rsid w:val="00FC0A95"/>
    <w:rsid w:val="00FC3D9C"/>
    <w:rsid w:val="00FD19DC"/>
    <w:rsid w:val="00FD1E46"/>
    <w:rsid w:val="00FE1F3D"/>
    <w:rsid w:val="00FE2AD9"/>
    <w:rsid w:val="00FF0153"/>
    <w:rsid w:val="00FF262B"/>
    <w:rsid w:val="00FF4DD7"/>
    <w:rsid w:val="00FF6BD2"/>
    <w:rsid w:val="00FF6CC0"/>
    <w:rsid w:val="00FF788E"/>
    <w:rsid w:val="00FF78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4">
    <w:name w:val="heading 4"/>
    <w:basedOn w:val="Normal"/>
    <w:next w:val="Normal"/>
    <w:link w:val="Ttulo4Car"/>
    <w:uiPriority w:val="9"/>
    <w:semiHidden/>
    <w:unhideWhenUsed/>
    <w:qFormat/>
    <w:rsid w:val="009704F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FD19D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Fuerte">
    <w:name w:val="Strong"/>
    <w:basedOn w:val="Fuentedeprrafopredeter"/>
    <w:uiPriority w:val="22"/>
    <w:qFormat/>
    <w:rsid w:val="007D2985"/>
    <w:rPr>
      <w:b/>
      <w:bCs/>
    </w:rPr>
  </w:style>
  <w:style w:type="paragraph" w:styleId="Prrafodelista">
    <w:name w:val="List Paragraph"/>
    <w:basedOn w:val="Normal"/>
    <w:uiPriority w:val="34"/>
    <w:qFormat/>
    <w:rsid w:val="00D335F2"/>
    <w:pPr>
      <w:ind w:left="720"/>
      <w:contextualSpacing/>
    </w:pPr>
  </w:style>
  <w:style w:type="character" w:customStyle="1" w:styleId="Ttulo4Car">
    <w:name w:val="Título 4 Car"/>
    <w:basedOn w:val="Fuentedeprrafopredeter"/>
    <w:link w:val="Ttulo4"/>
    <w:uiPriority w:val="9"/>
    <w:semiHidden/>
    <w:rsid w:val="009704F0"/>
    <w:rPr>
      <w:rFonts w:asciiTheme="majorHAnsi" w:eastAsiaTheme="majorEastAsia" w:hAnsiTheme="majorHAnsi" w:cstheme="majorBidi"/>
      <w:i/>
      <w:iCs/>
      <w:color w:val="2E74B5" w:themeColor="accent1" w:themeShade="BF"/>
      <w:sz w:val="24"/>
    </w:rPr>
  </w:style>
  <w:style w:type="paragraph" w:styleId="Sinespaciado">
    <w:name w:val="No Spacing"/>
    <w:uiPriority w:val="1"/>
    <w:qFormat/>
    <w:rsid w:val="00C709E5"/>
    <w:rPr>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961BB8B-894C-457A-AD17-EAE447A45D7B}">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1367</Words>
  <Characters>7796</Characters>
  <Application>Microsoft Office Word</Application>
  <DocSecurity>0</DocSecurity>
  <Lines>64</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Rocío Alayón Morell</cp:lastModifiedBy>
  <cp:revision>3</cp:revision>
  <cp:lastPrinted>2026-05-06T17:03:00Z</cp:lastPrinted>
  <dcterms:created xsi:type="dcterms:W3CDTF">2026-05-06T18:04:00Z</dcterms:created>
  <dcterms:modified xsi:type="dcterms:W3CDTF">2026-05-07T13:46:00Z</dcterms:modified>
</cp:coreProperties>
</file>