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BEAAA04" w14:textId="77777777" w:rsidR="00DB541B" w:rsidRDefault="00DB541B" w:rsidP="00DB541B">
      <w:pPr>
        <w:tabs>
          <w:tab w:val="center" w:pos="4680"/>
        </w:tabs>
        <w:jc w:val="center"/>
        <w:rPr>
          <w:rFonts w:ascii="Book Antiqua" w:hAnsi="Book Antiqua"/>
          <w:sz w:val="28"/>
          <w:szCs w:val="28"/>
          <w:lang w:val="es-ES_tradnl"/>
        </w:rPr>
      </w:pPr>
      <w:r>
        <w:rPr>
          <w:rFonts w:ascii="Book Antiqua" w:hAnsi="Book Antiqua"/>
          <w:sz w:val="28"/>
          <w:szCs w:val="28"/>
          <w:lang w:val="es-ES_tradnl"/>
        </w:rPr>
        <w:t>GOBIERNO DE PUERTO RICO</w:t>
      </w:r>
    </w:p>
    <w:p w14:paraId="34891D3E" w14:textId="77777777" w:rsidR="00DB541B" w:rsidRDefault="00DB541B" w:rsidP="00DB541B">
      <w:pPr>
        <w:tabs>
          <w:tab w:val="center" w:pos="4680"/>
        </w:tabs>
        <w:jc w:val="center"/>
        <w:rPr>
          <w:rFonts w:ascii="Book Antiqua" w:hAnsi="Book Antiqua"/>
          <w:szCs w:val="24"/>
          <w:lang w:val="es-ES_tradnl"/>
        </w:rPr>
      </w:pPr>
    </w:p>
    <w:p w14:paraId="0B33996F" w14:textId="42A09AFB" w:rsidR="00DB541B" w:rsidRDefault="00DB541B" w:rsidP="00DB541B">
      <w:pPr>
        <w:pStyle w:val="Title2"/>
        <w:rPr>
          <w:rFonts w:ascii="Book Antiqua" w:hAnsi="Book Antiqua"/>
          <w:lang w:val="es-ES_tradnl"/>
        </w:rPr>
      </w:pPr>
      <w:r>
        <w:rPr>
          <w:rFonts w:ascii="Book Antiqua" w:hAnsi="Book Antiqua"/>
          <w:lang w:val="es-ES_tradnl"/>
        </w:rPr>
        <w:t xml:space="preserve">20 </w:t>
      </w:r>
      <w:proofErr w:type="spellStart"/>
      <w:r w:rsidRPr="009704F0">
        <w:rPr>
          <w:rFonts w:ascii="Book Antiqua" w:hAnsi="Book Antiqua"/>
          <w:vertAlign w:val="superscript"/>
        </w:rPr>
        <w:t>ma</w:t>
      </w:r>
      <w:proofErr w:type="spellEnd"/>
      <w:r>
        <w:rPr>
          <w:rFonts w:ascii="Book Antiqua" w:hAnsi="Book Antiqua"/>
          <w:lang w:val="es-ES_tradnl"/>
        </w:rPr>
        <w:tab/>
        <w:t>Asamblea</w:t>
      </w:r>
      <w:r>
        <w:rPr>
          <w:rFonts w:ascii="Book Antiqua" w:hAnsi="Book Antiqua"/>
          <w:lang w:val="es-ES_tradnl"/>
        </w:rPr>
        <w:tab/>
      </w:r>
      <w:r w:rsidR="00DB65FB">
        <w:rPr>
          <w:rFonts w:ascii="Book Antiqua" w:hAnsi="Book Antiqua"/>
          <w:lang w:val="es-ES_tradnl"/>
        </w:rPr>
        <w:t>3</w:t>
      </w:r>
      <w:r w:rsidR="00CD5EC0">
        <w:rPr>
          <w:rFonts w:ascii="Book Antiqua" w:hAnsi="Book Antiqua"/>
          <w:lang w:val="es-ES_tradnl"/>
        </w:rPr>
        <w:t xml:space="preserve"> </w:t>
      </w:r>
      <w:proofErr w:type="spellStart"/>
      <w:r w:rsidR="00DB65FB">
        <w:rPr>
          <w:rFonts w:ascii="Book Antiqua" w:hAnsi="Book Antiqua"/>
          <w:vertAlign w:val="superscript"/>
          <w:lang w:val="es-ES_tradnl"/>
        </w:rPr>
        <w:t>r</w:t>
      </w:r>
      <w:r>
        <w:rPr>
          <w:rFonts w:ascii="Book Antiqua" w:hAnsi="Book Antiqua"/>
          <w:vertAlign w:val="superscript"/>
          <w:lang w:val="es-ES_tradnl"/>
        </w:rPr>
        <w:t>a</w:t>
      </w:r>
      <w:proofErr w:type="spellEnd"/>
      <w:r>
        <w:rPr>
          <w:rFonts w:ascii="Book Antiqua" w:hAnsi="Book Antiqua"/>
          <w:lang w:val="es-ES_tradnl"/>
        </w:rPr>
        <w:tab/>
        <w:t>Sesión</w:t>
      </w:r>
    </w:p>
    <w:p w14:paraId="5591FCDB" w14:textId="77777777" w:rsidR="00DB541B" w:rsidRDefault="00DB541B" w:rsidP="00DB541B">
      <w:pPr>
        <w:tabs>
          <w:tab w:val="left" w:pos="7560"/>
        </w:tabs>
        <w:rPr>
          <w:rFonts w:ascii="Book Antiqua" w:hAnsi="Book Antiqua"/>
          <w:szCs w:val="24"/>
          <w:lang w:val="es-ES_tradnl"/>
        </w:rPr>
      </w:pPr>
      <w:r>
        <w:rPr>
          <w:rFonts w:ascii="Book Antiqua" w:hAnsi="Book Antiqua"/>
          <w:lang w:val="es-ES_tradnl"/>
        </w:rPr>
        <w:t xml:space="preserve">            Legislativa</w:t>
      </w:r>
      <w:r>
        <w:rPr>
          <w:rFonts w:ascii="Book Antiqua" w:hAnsi="Book Antiqua"/>
          <w:lang w:val="es-ES_tradnl"/>
        </w:rPr>
        <w:tab/>
      </w:r>
      <w:r>
        <w:rPr>
          <w:rFonts w:ascii="Book Antiqua" w:hAnsi="Book Antiqua"/>
          <w:lang w:val="es-ES_tradnl"/>
        </w:rPr>
        <w:tab/>
        <w:t xml:space="preserve"> Ordinaria</w:t>
      </w:r>
      <w:r>
        <w:rPr>
          <w:rFonts w:ascii="Book Antiqua" w:hAnsi="Book Antiqua"/>
          <w:szCs w:val="24"/>
          <w:lang w:val="es-ES_tradnl"/>
        </w:rPr>
        <w:t xml:space="preserve"> </w:t>
      </w:r>
    </w:p>
    <w:p w14:paraId="5C9E4CFA" w14:textId="77777777" w:rsidR="00DB541B" w:rsidRDefault="00DB541B" w:rsidP="00DB541B">
      <w:pPr>
        <w:rPr>
          <w:rFonts w:ascii="Book Antiqua" w:hAnsi="Book Antiqua"/>
          <w:szCs w:val="24"/>
          <w:lang w:val="es-ES_tradnl"/>
        </w:rPr>
      </w:pPr>
    </w:p>
    <w:p w14:paraId="25DE88F8" w14:textId="77777777" w:rsidR="00FF78A0" w:rsidRDefault="00FF78A0" w:rsidP="00DB541B">
      <w:pPr>
        <w:rPr>
          <w:rFonts w:ascii="Book Antiqua" w:hAnsi="Book Antiqua"/>
          <w:szCs w:val="24"/>
          <w:lang w:val="es-ES_tradnl"/>
        </w:rPr>
      </w:pPr>
    </w:p>
    <w:p w14:paraId="3FFBF07B" w14:textId="77777777" w:rsidR="00DB541B" w:rsidRDefault="00DB541B" w:rsidP="00DB541B">
      <w:pPr>
        <w:jc w:val="center"/>
        <w:rPr>
          <w:rFonts w:ascii="Book Antiqua" w:hAnsi="Book Antiqua"/>
          <w:b/>
          <w:sz w:val="36"/>
          <w:szCs w:val="36"/>
          <w:lang w:val="es-ES_tradnl"/>
        </w:rPr>
      </w:pPr>
      <w:r>
        <w:rPr>
          <w:rFonts w:ascii="Book Antiqua" w:hAnsi="Book Antiqua"/>
          <w:b/>
          <w:sz w:val="36"/>
          <w:szCs w:val="36"/>
          <w:lang w:val="es-ES_tradnl"/>
        </w:rPr>
        <w:t>CÁMARA DE REPRESENTANTES</w:t>
      </w:r>
    </w:p>
    <w:p w14:paraId="3F457A79" w14:textId="77777777" w:rsidR="00DB541B" w:rsidRDefault="00DB541B" w:rsidP="00DB541B">
      <w:pPr>
        <w:jc w:val="center"/>
        <w:rPr>
          <w:rFonts w:ascii="Book Antiqua" w:hAnsi="Book Antiqua"/>
          <w:szCs w:val="24"/>
          <w:lang w:val="es-ES_tradnl"/>
        </w:rPr>
      </w:pPr>
    </w:p>
    <w:p w14:paraId="67783AFD" w14:textId="0BE054AE" w:rsidR="00DB541B" w:rsidRDefault="00DB541B" w:rsidP="00DB541B">
      <w:pPr>
        <w:jc w:val="center"/>
        <w:rPr>
          <w:rFonts w:ascii="Book Antiqua" w:hAnsi="Book Antiqua"/>
          <w:b/>
          <w:sz w:val="52"/>
          <w:szCs w:val="52"/>
          <w:lang w:val="es-ES_tradnl"/>
        </w:rPr>
      </w:pPr>
      <w:r>
        <w:rPr>
          <w:rFonts w:ascii="Book Antiqua" w:hAnsi="Book Antiqua"/>
          <w:b/>
          <w:sz w:val="52"/>
          <w:szCs w:val="52"/>
          <w:lang w:val="es-ES_tradnl"/>
        </w:rPr>
        <w:t xml:space="preserve">P. de la C. </w:t>
      </w:r>
      <w:r w:rsidR="00626B9F">
        <w:rPr>
          <w:rFonts w:ascii="Book Antiqua" w:hAnsi="Book Antiqua"/>
          <w:b/>
          <w:sz w:val="52"/>
          <w:szCs w:val="52"/>
          <w:lang w:val="es-ES_tradnl"/>
        </w:rPr>
        <w:t>1259</w:t>
      </w:r>
    </w:p>
    <w:p w14:paraId="0A7BDD3F" w14:textId="77777777" w:rsidR="00DB541B" w:rsidRDefault="00DB541B" w:rsidP="00DB541B">
      <w:pPr>
        <w:jc w:val="center"/>
        <w:rPr>
          <w:rFonts w:ascii="Book Antiqua" w:hAnsi="Book Antiqua"/>
          <w:szCs w:val="24"/>
          <w:lang w:val="es-ES_tradnl"/>
        </w:rPr>
      </w:pPr>
    </w:p>
    <w:p w14:paraId="4CE36B7D" w14:textId="0DC72362" w:rsidR="00DB541B" w:rsidRDefault="009934D0" w:rsidP="00DB541B">
      <w:pPr>
        <w:jc w:val="center"/>
        <w:rPr>
          <w:rFonts w:ascii="Book Antiqua" w:hAnsi="Book Antiqua"/>
          <w:szCs w:val="24"/>
          <w:lang w:val="es-ES_tradnl"/>
        </w:rPr>
      </w:pPr>
      <w:r>
        <w:rPr>
          <w:rFonts w:ascii="Book Antiqua" w:hAnsi="Book Antiqua"/>
          <w:szCs w:val="24"/>
          <w:lang w:val="es-ES_tradnl"/>
        </w:rPr>
        <w:t>6</w:t>
      </w:r>
      <w:r w:rsidR="00D86DA1">
        <w:rPr>
          <w:rFonts w:ascii="Book Antiqua" w:hAnsi="Book Antiqua"/>
          <w:szCs w:val="24"/>
          <w:lang w:val="es-ES_tradnl"/>
        </w:rPr>
        <w:t xml:space="preserve"> </w:t>
      </w:r>
      <w:r w:rsidR="00F251F6">
        <w:rPr>
          <w:rFonts w:ascii="Book Antiqua" w:hAnsi="Book Antiqua"/>
          <w:szCs w:val="24"/>
          <w:lang w:val="es-ES_tradnl"/>
        </w:rPr>
        <w:t>DE MAYO</w:t>
      </w:r>
      <w:r w:rsidR="00DB541B">
        <w:rPr>
          <w:rFonts w:ascii="Book Antiqua" w:hAnsi="Book Antiqua"/>
          <w:szCs w:val="24"/>
          <w:lang w:val="es-ES_tradnl"/>
        </w:rPr>
        <w:t xml:space="preserve"> DE 202</w:t>
      </w:r>
      <w:r w:rsidR="00DB65FB">
        <w:rPr>
          <w:rFonts w:ascii="Book Antiqua" w:hAnsi="Book Antiqua"/>
          <w:szCs w:val="24"/>
          <w:lang w:val="es-ES_tradnl"/>
        </w:rPr>
        <w:t>6</w:t>
      </w:r>
    </w:p>
    <w:p w14:paraId="4B9F7DB1" w14:textId="77777777" w:rsidR="00DB541B" w:rsidRDefault="00DB541B" w:rsidP="00DB541B">
      <w:pPr>
        <w:jc w:val="center"/>
        <w:rPr>
          <w:rFonts w:ascii="Book Antiqua" w:hAnsi="Book Antiqua"/>
          <w:i/>
          <w:szCs w:val="24"/>
          <w:lang w:val="es-ES_tradnl"/>
        </w:rPr>
      </w:pPr>
    </w:p>
    <w:p w14:paraId="40A5BCA1" w14:textId="77777777" w:rsidR="00DB541B" w:rsidRDefault="00DB541B" w:rsidP="00DB541B">
      <w:pPr>
        <w:ind w:left="720" w:hanging="720"/>
        <w:jc w:val="center"/>
        <w:rPr>
          <w:rFonts w:ascii="Book Antiqua" w:hAnsi="Book Antiqua"/>
          <w:i/>
          <w:szCs w:val="24"/>
          <w:lang w:val="es-ES_tradnl"/>
        </w:rPr>
      </w:pPr>
      <w:r>
        <w:rPr>
          <w:rFonts w:ascii="Book Antiqua" w:hAnsi="Book Antiqua"/>
          <w:szCs w:val="24"/>
          <w:lang w:val="es-ES_tradnl"/>
        </w:rPr>
        <w:t xml:space="preserve">Presentado por el representante </w:t>
      </w:r>
      <w:r>
        <w:rPr>
          <w:rFonts w:ascii="Book Antiqua" w:hAnsi="Book Antiqua"/>
          <w:i/>
          <w:szCs w:val="24"/>
          <w:lang w:val="es-ES_tradnl"/>
        </w:rPr>
        <w:t>Santiago Guzmán</w:t>
      </w:r>
    </w:p>
    <w:p w14:paraId="536BFA66" w14:textId="77777777" w:rsidR="00DB541B" w:rsidRDefault="00DB541B" w:rsidP="00DB541B">
      <w:pPr>
        <w:ind w:left="720" w:hanging="720"/>
        <w:jc w:val="center"/>
        <w:rPr>
          <w:rFonts w:ascii="Book Antiqua" w:hAnsi="Book Antiqua"/>
          <w:i/>
          <w:szCs w:val="24"/>
          <w:lang w:val="es-ES_tradnl"/>
        </w:rPr>
      </w:pPr>
    </w:p>
    <w:p w14:paraId="7071F770" w14:textId="08EC8823" w:rsidR="00DB541B" w:rsidRDefault="00DB541B" w:rsidP="00DB541B">
      <w:pPr>
        <w:jc w:val="center"/>
        <w:rPr>
          <w:rFonts w:ascii="Book Antiqua" w:hAnsi="Book Antiqua"/>
          <w:szCs w:val="24"/>
          <w:lang w:val="es-ES_tradnl"/>
        </w:rPr>
      </w:pPr>
      <w:r>
        <w:rPr>
          <w:rFonts w:ascii="Book Antiqua" w:hAnsi="Book Antiqua"/>
          <w:szCs w:val="24"/>
          <w:lang w:val="es-ES_tradnl"/>
        </w:rPr>
        <w:t xml:space="preserve">Referido a </w:t>
      </w:r>
      <w:r w:rsidR="00F251F6">
        <w:rPr>
          <w:rFonts w:ascii="Book Antiqua" w:hAnsi="Book Antiqua"/>
          <w:szCs w:val="24"/>
          <w:lang w:val="es-ES_tradnl"/>
        </w:rPr>
        <w:t>la Comisión de Seguridad Pública</w:t>
      </w:r>
    </w:p>
    <w:p w14:paraId="5F2E8277" w14:textId="77777777" w:rsidR="00DB541B" w:rsidRDefault="00DB541B" w:rsidP="00DB541B">
      <w:pPr>
        <w:jc w:val="center"/>
        <w:rPr>
          <w:rFonts w:ascii="Book Antiqua" w:hAnsi="Book Antiqua"/>
          <w:bCs/>
          <w:szCs w:val="24"/>
          <w:lang w:val="es-ES_tradnl"/>
        </w:rPr>
      </w:pPr>
    </w:p>
    <w:p w14:paraId="164FF5F6" w14:textId="77777777" w:rsidR="00DB541B" w:rsidRDefault="00DB541B" w:rsidP="00DB541B">
      <w:pPr>
        <w:jc w:val="center"/>
        <w:rPr>
          <w:rFonts w:ascii="Book Antiqua" w:hAnsi="Book Antiqua"/>
          <w:b/>
          <w:sz w:val="28"/>
          <w:lang w:val="es-ES_tradnl"/>
        </w:rPr>
      </w:pPr>
      <w:r>
        <w:rPr>
          <w:rFonts w:ascii="Book Antiqua" w:hAnsi="Book Antiqua"/>
          <w:b/>
          <w:sz w:val="28"/>
          <w:lang w:val="es-ES_tradnl"/>
        </w:rPr>
        <w:t>LEY</w:t>
      </w:r>
    </w:p>
    <w:p w14:paraId="15B4D609" w14:textId="77777777" w:rsidR="00BF7072" w:rsidRPr="008F1DE6" w:rsidRDefault="00BF7072" w:rsidP="00FB572D">
      <w:pPr>
        <w:jc w:val="both"/>
        <w:rPr>
          <w:rFonts w:ascii="Book Antiqua" w:hAnsi="Book Antiqua"/>
          <w:lang w:val="es-ES_tradnl"/>
        </w:rPr>
      </w:pPr>
    </w:p>
    <w:p w14:paraId="3C05D30F" w14:textId="7EEA581B" w:rsidR="00BF7072" w:rsidRPr="00662714" w:rsidRDefault="00BF7072" w:rsidP="00011676">
      <w:pPr>
        <w:ind w:left="540" w:hanging="540"/>
        <w:jc w:val="both"/>
        <w:rPr>
          <w:rFonts w:ascii="Book Antiqua" w:hAnsi="Book Antiqua"/>
          <w:lang w:val="es-ES_tradnl"/>
        </w:rPr>
      </w:pPr>
      <w:r w:rsidRPr="00662714">
        <w:rPr>
          <w:rFonts w:ascii="Book Antiqua" w:hAnsi="Book Antiqua"/>
          <w:lang w:val="es-ES_tradnl"/>
        </w:rPr>
        <w:t xml:space="preserve">Para </w:t>
      </w:r>
      <w:r w:rsidR="009934D0">
        <w:rPr>
          <w:rFonts w:ascii="Book Antiqua" w:hAnsi="Book Antiqua"/>
        </w:rPr>
        <w:t>añadir un Artículo 6.27</w:t>
      </w:r>
      <w:r w:rsidR="005900FE">
        <w:rPr>
          <w:rFonts w:ascii="Book Antiqua" w:hAnsi="Book Antiqua"/>
        </w:rPr>
        <w:t xml:space="preserve"> y un Artículo 6.28</w:t>
      </w:r>
      <w:r w:rsidR="00C75D37">
        <w:rPr>
          <w:rFonts w:ascii="Book Antiqua" w:hAnsi="Book Antiqua"/>
        </w:rPr>
        <w:t xml:space="preserve"> a la </w:t>
      </w:r>
      <w:r w:rsidR="002D56EE">
        <w:rPr>
          <w:rFonts w:ascii="Book Antiqua" w:hAnsi="Book Antiqua"/>
        </w:rPr>
        <w:t>Ley 168-2019, según enmendada, conocida como “</w:t>
      </w:r>
      <w:r w:rsidR="000958AD" w:rsidRPr="000958AD">
        <w:rPr>
          <w:rFonts w:ascii="Book Antiqua" w:hAnsi="Book Antiqua"/>
        </w:rPr>
        <w:t>Ley de Armas de Puerto Rico</w:t>
      </w:r>
      <w:r w:rsidR="002D56EE">
        <w:rPr>
          <w:rFonts w:ascii="Book Antiqua" w:hAnsi="Book Antiqua"/>
        </w:rPr>
        <w:t xml:space="preserve"> de 2020”</w:t>
      </w:r>
      <w:r w:rsidR="0073162E">
        <w:rPr>
          <w:rFonts w:ascii="Book Antiqua" w:hAnsi="Book Antiqua"/>
        </w:rPr>
        <w:t>,</w:t>
      </w:r>
      <w:r w:rsidR="000958AD" w:rsidRPr="000958AD">
        <w:rPr>
          <w:rFonts w:ascii="Book Antiqua" w:hAnsi="Book Antiqua"/>
        </w:rPr>
        <w:t xml:space="preserve"> </w:t>
      </w:r>
      <w:r w:rsidR="00CC5A58">
        <w:rPr>
          <w:rFonts w:ascii="Book Antiqua" w:hAnsi="Book Antiqua"/>
        </w:rPr>
        <w:t>a los fines de establecer</w:t>
      </w:r>
      <w:r w:rsidR="005900FE">
        <w:rPr>
          <w:rFonts w:ascii="Book Antiqua" w:hAnsi="Book Antiqua"/>
        </w:rPr>
        <w:t xml:space="preserve"> el término</w:t>
      </w:r>
      <w:r w:rsidR="000A10E9">
        <w:rPr>
          <w:rFonts w:ascii="Book Antiqua" w:hAnsi="Book Antiqua"/>
        </w:rPr>
        <w:t xml:space="preserve"> prescriptivo para los delitos contenidos en dicha Ley;</w:t>
      </w:r>
      <w:r w:rsidR="00605C7E">
        <w:rPr>
          <w:rFonts w:ascii="Book Antiqua" w:hAnsi="Book Antiqua"/>
        </w:rPr>
        <w:t xml:space="preserve"> establecer los delitos que no prescriben</w:t>
      </w:r>
      <w:r w:rsidR="000958AD" w:rsidRPr="000958AD">
        <w:rPr>
          <w:rFonts w:ascii="Book Antiqua" w:hAnsi="Book Antiqua"/>
        </w:rPr>
        <w:t>; y para otros fines relacionados</w:t>
      </w:r>
      <w:r w:rsidR="00ED59A9" w:rsidRPr="00662714">
        <w:rPr>
          <w:rFonts w:ascii="Book Antiqua" w:hAnsi="Book Antiqua"/>
          <w:lang w:val="es-ES_tradnl"/>
        </w:rPr>
        <w:t>.</w:t>
      </w:r>
      <w:r w:rsidR="00DD799D">
        <w:rPr>
          <w:rFonts w:ascii="Book Antiqua" w:hAnsi="Book Antiqua"/>
          <w:lang w:val="es-ES_tradnl"/>
        </w:rPr>
        <w:t xml:space="preserve">  </w:t>
      </w:r>
    </w:p>
    <w:p w14:paraId="2273C9BA" w14:textId="77777777" w:rsidR="00011676" w:rsidRPr="008F1DE6" w:rsidRDefault="00011676" w:rsidP="00011676">
      <w:pPr>
        <w:ind w:left="540" w:hanging="540"/>
        <w:jc w:val="both"/>
        <w:rPr>
          <w:rFonts w:ascii="Book Antiqua" w:hAnsi="Book Antiqua"/>
          <w:lang w:val="es-ES_tradnl"/>
        </w:rPr>
      </w:pPr>
    </w:p>
    <w:p w14:paraId="48E2F99F" w14:textId="1CBCCE07" w:rsidR="00EE4603" w:rsidRDefault="00BF7072" w:rsidP="00F251F6">
      <w:pPr>
        <w:ind w:firstLine="360"/>
        <w:jc w:val="center"/>
        <w:rPr>
          <w:rFonts w:ascii="Book Antiqua" w:hAnsi="Book Antiqua"/>
          <w:lang w:val="es-ES_tradnl"/>
        </w:rPr>
      </w:pPr>
      <w:r w:rsidRPr="008F1DE6">
        <w:rPr>
          <w:rFonts w:ascii="Book Antiqua" w:hAnsi="Book Antiqua"/>
          <w:lang w:val="es-ES_tradnl"/>
        </w:rPr>
        <w:t>EXPOSICIÓN DE MOTIVOS</w:t>
      </w:r>
    </w:p>
    <w:p w14:paraId="285541B0" w14:textId="77777777" w:rsidR="00F251F6" w:rsidRPr="00F251F6" w:rsidRDefault="00F251F6" w:rsidP="00F251F6">
      <w:pPr>
        <w:ind w:firstLine="360"/>
        <w:jc w:val="center"/>
        <w:rPr>
          <w:rFonts w:ascii="Book Antiqua" w:hAnsi="Book Antiqua"/>
          <w:lang w:val="es-ES_tradnl"/>
        </w:rPr>
      </w:pPr>
    </w:p>
    <w:p w14:paraId="70275B7D" w14:textId="3BA2040A" w:rsidR="009704F0" w:rsidRDefault="009704F0" w:rsidP="00F251F6">
      <w:pPr>
        <w:ind w:firstLine="720"/>
        <w:jc w:val="both"/>
        <w:rPr>
          <w:rFonts w:ascii="Book Antiqua" w:hAnsi="Book Antiqua"/>
          <w:szCs w:val="24"/>
        </w:rPr>
      </w:pPr>
      <w:r w:rsidRPr="009704F0">
        <w:rPr>
          <w:rFonts w:ascii="Book Antiqua" w:hAnsi="Book Antiqua"/>
          <w:szCs w:val="24"/>
        </w:rPr>
        <w:t xml:space="preserve">La seguridad pública y la protección de la vida humana constituyen la piedra angular de toda sociedad democrática y el mandato primordial </w:t>
      </w:r>
      <w:r w:rsidR="00334389">
        <w:rPr>
          <w:rFonts w:ascii="Book Antiqua" w:hAnsi="Book Antiqua"/>
          <w:szCs w:val="24"/>
        </w:rPr>
        <w:t>del Gobierno de Puerto Rico</w:t>
      </w:r>
      <w:r w:rsidRPr="009704F0">
        <w:rPr>
          <w:rFonts w:ascii="Book Antiqua" w:hAnsi="Book Antiqua"/>
          <w:szCs w:val="24"/>
        </w:rPr>
        <w:t>. No obstante, el sistema de justicia penal enfrenta retos constantes frente a la evolución de la criminalidad organizada y el uso de armas de fuego</w:t>
      </w:r>
      <w:r w:rsidR="00583D75">
        <w:rPr>
          <w:rFonts w:ascii="Book Antiqua" w:hAnsi="Book Antiqua"/>
          <w:szCs w:val="24"/>
        </w:rPr>
        <w:t xml:space="preserve"> o armas blancas</w:t>
      </w:r>
      <w:r w:rsidRPr="009704F0">
        <w:rPr>
          <w:rFonts w:ascii="Book Antiqua" w:hAnsi="Book Antiqua"/>
          <w:szCs w:val="24"/>
        </w:rPr>
        <w:t xml:space="preserve"> como herramientas principales para la ejecución de delitos de alta violencia, específicamente el asesinato y su tentativa.</w:t>
      </w:r>
    </w:p>
    <w:p w14:paraId="3816648F" w14:textId="77777777" w:rsidR="00F251F6" w:rsidRPr="009704F0" w:rsidRDefault="00F251F6" w:rsidP="00F251F6">
      <w:pPr>
        <w:ind w:firstLine="720"/>
        <w:jc w:val="both"/>
        <w:rPr>
          <w:rFonts w:ascii="Book Antiqua" w:hAnsi="Book Antiqua"/>
          <w:szCs w:val="24"/>
        </w:rPr>
      </w:pPr>
    </w:p>
    <w:p w14:paraId="7296B4DF" w14:textId="40D3B751" w:rsidR="00A02246" w:rsidRDefault="00340861" w:rsidP="00F251F6">
      <w:pPr>
        <w:ind w:firstLine="720"/>
        <w:jc w:val="both"/>
        <w:rPr>
          <w:rFonts w:ascii="Book Antiqua" w:hAnsi="Book Antiqua"/>
          <w:szCs w:val="24"/>
        </w:rPr>
      </w:pPr>
      <w:r>
        <w:rPr>
          <w:rFonts w:ascii="Book Antiqua" w:hAnsi="Book Antiqua"/>
          <w:szCs w:val="24"/>
        </w:rPr>
        <w:t>Actualmente</w:t>
      </w:r>
      <w:r w:rsidR="00730160">
        <w:rPr>
          <w:rFonts w:ascii="Book Antiqua" w:hAnsi="Book Antiqua"/>
          <w:szCs w:val="24"/>
        </w:rPr>
        <w:t xml:space="preserve"> la Ley</w:t>
      </w:r>
      <w:r w:rsidR="00730160" w:rsidRPr="009704F0">
        <w:rPr>
          <w:rFonts w:ascii="Book Antiqua" w:hAnsi="Book Antiqua"/>
          <w:szCs w:val="24"/>
        </w:rPr>
        <w:t xml:space="preserve"> 168-2019</w:t>
      </w:r>
      <w:r w:rsidR="00730160">
        <w:rPr>
          <w:rFonts w:ascii="Book Antiqua" w:hAnsi="Book Antiqua"/>
          <w:szCs w:val="24"/>
        </w:rPr>
        <w:t>, según enmendada, conocida como “</w:t>
      </w:r>
      <w:r w:rsidR="00730160" w:rsidRPr="009704F0">
        <w:rPr>
          <w:rFonts w:ascii="Book Antiqua" w:hAnsi="Book Antiqua"/>
          <w:szCs w:val="24"/>
        </w:rPr>
        <w:t xml:space="preserve">Ley de Armas de Puerto Rico </w:t>
      </w:r>
      <w:r w:rsidR="00730160">
        <w:rPr>
          <w:rFonts w:ascii="Book Antiqua" w:hAnsi="Book Antiqua"/>
          <w:szCs w:val="24"/>
        </w:rPr>
        <w:t>de 2020”, nada provee sobre la prescripción de</w:t>
      </w:r>
      <w:r w:rsidR="00A02246">
        <w:rPr>
          <w:rFonts w:ascii="Book Antiqua" w:hAnsi="Book Antiqua"/>
          <w:szCs w:val="24"/>
        </w:rPr>
        <w:t xml:space="preserve"> los delitos contenidos en la misma. Dicho </w:t>
      </w:r>
      <w:r>
        <w:rPr>
          <w:rFonts w:ascii="Book Antiqua" w:hAnsi="Book Antiqua"/>
          <w:szCs w:val="24"/>
        </w:rPr>
        <w:t>asunto</w:t>
      </w:r>
      <w:r w:rsidR="00A02246">
        <w:rPr>
          <w:rFonts w:ascii="Book Antiqua" w:hAnsi="Book Antiqua"/>
          <w:szCs w:val="24"/>
        </w:rPr>
        <w:t xml:space="preserve"> es atendido mediante la </w:t>
      </w:r>
      <w:r w:rsidR="007768E9" w:rsidRPr="007768E9">
        <w:rPr>
          <w:rFonts w:ascii="Book Antiqua" w:hAnsi="Book Antiqua"/>
          <w:szCs w:val="24"/>
        </w:rPr>
        <w:t xml:space="preserve">Ley </w:t>
      </w:r>
      <w:r w:rsidR="00A52694">
        <w:rPr>
          <w:rFonts w:ascii="Book Antiqua" w:hAnsi="Book Antiqua"/>
          <w:szCs w:val="24"/>
        </w:rPr>
        <w:t>1</w:t>
      </w:r>
      <w:r w:rsidR="007768E9" w:rsidRPr="007768E9">
        <w:rPr>
          <w:rFonts w:ascii="Book Antiqua" w:hAnsi="Book Antiqua"/>
          <w:szCs w:val="24"/>
        </w:rPr>
        <w:t>46-2012, según enmendada, conocida como “Código Penal de Puerto Rico”</w:t>
      </w:r>
      <w:r w:rsidR="007768E9">
        <w:rPr>
          <w:rFonts w:ascii="Book Antiqua" w:hAnsi="Book Antiqua"/>
          <w:szCs w:val="24"/>
        </w:rPr>
        <w:t>,</w:t>
      </w:r>
      <w:r w:rsidR="009704F0" w:rsidRPr="009704F0">
        <w:rPr>
          <w:rFonts w:ascii="Book Antiqua" w:hAnsi="Book Antiqua"/>
          <w:szCs w:val="24"/>
        </w:rPr>
        <w:t xml:space="preserve"> </w:t>
      </w:r>
      <w:r w:rsidR="00A02246">
        <w:rPr>
          <w:rFonts w:ascii="Book Antiqua" w:hAnsi="Book Antiqua"/>
          <w:szCs w:val="24"/>
        </w:rPr>
        <w:t xml:space="preserve">la cual </w:t>
      </w:r>
      <w:r w:rsidR="009704F0" w:rsidRPr="009704F0">
        <w:rPr>
          <w:rFonts w:ascii="Book Antiqua" w:hAnsi="Book Antiqua"/>
          <w:szCs w:val="24"/>
        </w:rPr>
        <w:t xml:space="preserve">establece términos prescriptivos para la mayoría de los delitos, basándose en la premisa de que el transcurso del tiempo debilita la confiabilidad de la prueba y el interés del Estado en procesar. </w:t>
      </w:r>
    </w:p>
    <w:p w14:paraId="3BB698DD" w14:textId="77777777" w:rsidR="00F251F6" w:rsidRDefault="00F251F6" w:rsidP="00F251F6">
      <w:pPr>
        <w:ind w:firstLine="720"/>
        <w:jc w:val="both"/>
        <w:rPr>
          <w:rFonts w:ascii="Book Antiqua" w:hAnsi="Book Antiqua"/>
          <w:szCs w:val="24"/>
        </w:rPr>
      </w:pPr>
    </w:p>
    <w:p w14:paraId="5E4B87DC" w14:textId="77777777" w:rsidR="00970CFC" w:rsidRDefault="0046545D" w:rsidP="00F251F6">
      <w:pPr>
        <w:ind w:firstLine="720"/>
        <w:jc w:val="both"/>
        <w:rPr>
          <w:rFonts w:ascii="Book Antiqua" w:hAnsi="Book Antiqua"/>
          <w:szCs w:val="24"/>
        </w:rPr>
      </w:pPr>
      <w:r>
        <w:rPr>
          <w:rFonts w:ascii="Book Antiqua" w:hAnsi="Book Antiqua"/>
          <w:szCs w:val="24"/>
        </w:rPr>
        <w:t>L</w:t>
      </w:r>
      <w:r w:rsidR="009704F0" w:rsidRPr="009704F0">
        <w:rPr>
          <w:rFonts w:ascii="Book Antiqua" w:hAnsi="Book Antiqua"/>
          <w:szCs w:val="24"/>
        </w:rPr>
        <w:t>a Asamblea Legislativa ya ha reconocido que ciertos delitos, por su naturaleza atroz y el daño irreparable que causan</w:t>
      </w:r>
      <w:r w:rsidR="0027065F">
        <w:rPr>
          <w:rFonts w:ascii="Book Antiqua" w:hAnsi="Book Antiqua"/>
          <w:szCs w:val="24"/>
        </w:rPr>
        <w:t xml:space="preserve">, como </w:t>
      </w:r>
      <w:r w:rsidR="009704F0" w:rsidRPr="009704F0">
        <w:rPr>
          <w:rFonts w:ascii="Book Antiqua" w:hAnsi="Book Antiqua"/>
          <w:szCs w:val="24"/>
        </w:rPr>
        <w:t xml:space="preserve">el asesinato en todas sus modalidades, no </w:t>
      </w:r>
      <w:r w:rsidR="009704F0" w:rsidRPr="009704F0">
        <w:rPr>
          <w:rFonts w:ascii="Book Antiqua" w:hAnsi="Book Antiqua"/>
          <w:szCs w:val="24"/>
        </w:rPr>
        <w:lastRenderedPageBreak/>
        <w:t>deben prescribir.</w:t>
      </w:r>
      <w:r w:rsidR="00870383">
        <w:rPr>
          <w:rFonts w:ascii="Book Antiqua" w:hAnsi="Book Antiqua"/>
          <w:szCs w:val="24"/>
        </w:rPr>
        <w:t xml:space="preserve"> No obstante</w:t>
      </w:r>
      <w:r w:rsidR="0027065F">
        <w:rPr>
          <w:rFonts w:ascii="Book Antiqua" w:hAnsi="Book Antiqua"/>
          <w:szCs w:val="24"/>
        </w:rPr>
        <w:t>,</w:t>
      </w:r>
      <w:r w:rsidR="00CF0578">
        <w:rPr>
          <w:rFonts w:ascii="Book Antiqua" w:hAnsi="Book Antiqua"/>
          <w:szCs w:val="24"/>
        </w:rPr>
        <w:t xml:space="preserve"> en nuestro ordenamiento subsisten retos jurídicos que requieren ser atendidos </w:t>
      </w:r>
      <w:r w:rsidR="000E3DDD">
        <w:rPr>
          <w:rFonts w:ascii="Book Antiqua" w:hAnsi="Book Antiqua"/>
          <w:szCs w:val="24"/>
        </w:rPr>
        <w:t>legislativamente</w:t>
      </w:r>
      <w:r w:rsidR="00CF0578">
        <w:rPr>
          <w:rFonts w:ascii="Book Antiqua" w:hAnsi="Book Antiqua"/>
          <w:szCs w:val="24"/>
        </w:rPr>
        <w:t xml:space="preserve"> para propiciar un justo procesamiento</w:t>
      </w:r>
      <w:r w:rsidR="00B56216">
        <w:rPr>
          <w:rFonts w:ascii="Book Antiqua" w:hAnsi="Book Antiqua"/>
          <w:szCs w:val="24"/>
        </w:rPr>
        <w:t xml:space="preserve"> penal. </w:t>
      </w:r>
    </w:p>
    <w:p w14:paraId="33550472" w14:textId="77777777" w:rsidR="00F251F6" w:rsidRDefault="00F251F6" w:rsidP="00F251F6">
      <w:pPr>
        <w:ind w:firstLine="720"/>
        <w:jc w:val="both"/>
        <w:rPr>
          <w:rFonts w:ascii="Book Antiqua" w:hAnsi="Book Antiqua"/>
          <w:szCs w:val="24"/>
        </w:rPr>
      </w:pPr>
    </w:p>
    <w:p w14:paraId="299A67CA" w14:textId="065159FA" w:rsidR="009704F0" w:rsidRDefault="00BD5BE1" w:rsidP="00F251F6">
      <w:pPr>
        <w:ind w:firstLine="720"/>
        <w:jc w:val="both"/>
        <w:rPr>
          <w:rFonts w:ascii="Book Antiqua" w:hAnsi="Book Antiqua"/>
          <w:szCs w:val="24"/>
        </w:rPr>
      </w:pPr>
      <w:r>
        <w:rPr>
          <w:rFonts w:ascii="Book Antiqua" w:hAnsi="Book Antiqua"/>
          <w:szCs w:val="24"/>
        </w:rPr>
        <w:t xml:space="preserve">Un ejemplo de esto lo es </w:t>
      </w:r>
      <w:r w:rsidR="009704F0" w:rsidRPr="009704F0">
        <w:rPr>
          <w:rFonts w:ascii="Book Antiqua" w:hAnsi="Book Antiqua"/>
          <w:szCs w:val="24"/>
        </w:rPr>
        <w:t>cuando el Ministerio Público se dispone a procesar un asesinato ocurrido años atrás. Aunque el delito de asesinato no prescribe, los delitos contenidos en la</w:t>
      </w:r>
      <w:r w:rsidR="00470F9F">
        <w:rPr>
          <w:rFonts w:ascii="Book Antiqua" w:hAnsi="Book Antiqua"/>
          <w:szCs w:val="24"/>
        </w:rPr>
        <w:t xml:space="preserve"> </w:t>
      </w:r>
      <w:r w:rsidR="00470F9F" w:rsidRPr="009704F0">
        <w:rPr>
          <w:rFonts w:ascii="Book Antiqua" w:hAnsi="Book Antiqua"/>
          <w:szCs w:val="24"/>
        </w:rPr>
        <w:t>Ley 168-2019</w:t>
      </w:r>
      <w:r w:rsidR="00470F9F">
        <w:rPr>
          <w:rFonts w:ascii="Book Antiqua" w:hAnsi="Book Antiqua"/>
          <w:szCs w:val="24"/>
        </w:rPr>
        <w:t>, según enmendada, conocida como “</w:t>
      </w:r>
      <w:r w:rsidR="009704F0" w:rsidRPr="009704F0">
        <w:rPr>
          <w:rFonts w:ascii="Book Antiqua" w:hAnsi="Book Antiqua"/>
          <w:szCs w:val="24"/>
        </w:rPr>
        <w:t xml:space="preserve">Ley de Armas de Puerto Rico </w:t>
      </w:r>
      <w:r w:rsidR="0093651E">
        <w:rPr>
          <w:rFonts w:ascii="Book Antiqua" w:hAnsi="Book Antiqua"/>
          <w:szCs w:val="24"/>
        </w:rPr>
        <w:t>de 2020”</w:t>
      </w:r>
      <w:r w:rsidR="009A1B5F">
        <w:rPr>
          <w:rFonts w:ascii="Book Antiqua" w:hAnsi="Book Antiqua"/>
          <w:szCs w:val="24"/>
        </w:rPr>
        <w:t>,</w:t>
      </w:r>
      <w:r w:rsidR="009704F0" w:rsidRPr="009704F0">
        <w:rPr>
          <w:rFonts w:ascii="Book Antiqua" w:hAnsi="Book Antiqua"/>
          <w:szCs w:val="24"/>
        </w:rPr>
        <w:t xml:space="preserve"> que se cometieron simultáneamente para lograr dicho fin, sí están sujetos a términos de prescripción. Esta discrepancia crea una laguna procesal y sustantiva que debilita la capacidad del Estado para hacer justicia de manera integral.</w:t>
      </w:r>
    </w:p>
    <w:p w14:paraId="715306BE" w14:textId="77777777" w:rsidR="00F251F6" w:rsidRDefault="00F251F6" w:rsidP="00F251F6">
      <w:pPr>
        <w:ind w:firstLine="720"/>
        <w:jc w:val="both"/>
        <w:rPr>
          <w:rFonts w:ascii="Book Antiqua" w:hAnsi="Book Antiqua"/>
          <w:szCs w:val="24"/>
        </w:rPr>
      </w:pPr>
    </w:p>
    <w:p w14:paraId="312F4D2A" w14:textId="152C85FB" w:rsidR="00A7727A" w:rsidRDefault="00A7727A" w:rsidP="00F251F6">
      <w:pPr>
        <w:ind w:firstLine="720"/>
        <w:jc w:val="both"/>
        <w:rPr>
          <w:rFonts w:ascii="Book Antiqua" w:hAnsi="Book Antiqua"/>
          <w:szCs w:val="24"/>
        </w:rPr>
      </w:pPr>
      <w:r>
        <w:rPr>
          <w:rFonts w:ascii="Book Antiqua" w:hAnsi="Book Antiqua"/>
          <w:szCs w:val="24"/>
        </w:rPr>
        <w:t>El Artículo 87 de l</w:t>
      </w:r>
      <w:r w:rsidR="005919D0">
        <w:rPr>
          <w:rFonts w:ascii="Book Antiqua" w:hAnsi="Book Antiqua"/>
          <w:szCs w:val="24"/>
        </w:rPr>
        <w:t xml:space="preserve">a Ley </w:t>
      </w:r>
      <w:r w:rsidR="00A52694">
        <w:rPr>
          <w:rFonts w:ascii="Book Antiqua" w:hAnsi="Book Antiqua"/>
          <w:szCs w:val="24"/>
        </w:rPr>
        <w:t>1</w:t>
      </w:r>
      <w:r w:rsidR="000E05DE">
        <w:rPr>
          <w:rFonts w:ascii="Book Antiqua" w:hAnsi="Book Antiqua"/>
          <w:szCs w:val="24"/>
        </w:rPr>
        <w:t>46</w:t>
      </w:r>
      <w:r w:rsidR="005919D0">
        <w:rPr>
          <w:rFonts w:ascii="Book Antiqua" w:hAnsi="Book Antiqua"/>
          <w:szCs w:val="24"/>
        </w:rPr>
        <w:t xml:space="preserve">, </w:t>
      </w:r>
      <w:r w:rsidR="005919D0">
        <w:rPr>
          <w:rFonts w:ascii="Book Antiqua" w:hAnsi="Book Antiqua"/>
          <w:i/>
          <w:iCs/>
          <w:szCs w:val="24"/>
        </w:rPr>
        <w:t>supra</w:t>
      </w:r>
      <w:r w:rsidR="005919D0">
        <w:rPr>
          <w:rFonts w:ascii="Book Antiqua" w:hAnsi="Book Antiqua"/>
          <w:szCs w:val="24"/>
        </w:rPr>
        <w:t>, establece que los delitos graves prescri</w:t>
      </w:r>
      <w:r w:rsidR="008C2EB6">
        <w:rPr>
          <w:rFonts w:ascii="Book Antiqua" w:hAnsi="Book Antiqua"/>
          <w:szCs w:val="24"/>
        </w:rPr>
        <w:t>birán</w:t>
      </w:r>
      <w:r>
        <w:rPr>
          <w:rFonts w:ascii="Book Antiqua" w:hAnsi="Book Antiqua"/>
          <w:szCs w:val="24"/>
        </w:rPr>
        <w:t xml:space="preserve"> de la siguiente forma:</w:t>
      </w:r>
    </w:p>
    <w:p w14:paraId="08E06DC4" w14:textId="77777777" w:rsidR="00F251F6" w:rsidRDefault="00F251F6" w:rsidP="00F251F6">
      <w:pPr>
        <w:ind w:firstLine="720"/>
        <w:jc w:val="both"/>
        <w:rPr>
          <w:rFonts w:ascii="Book Antiqua" w:hAnsi="Book Antiqua"/>
          <w:szCs w:val="24"/>
        </w:rPr>
      </w:pPr>
    </w:p>
    <w:p w14:paraId="09953C45" w14:textId="026D2133" w:rsidR="00A7727A" w:rsidRDefault="00342039" w:rsidP="00C709E5">
      <w:pPr>
        <w:pStyle w:val="Sinespaciado"/>
        <w:ind w:left="720" w:right="720"/>
        <w:jc w:val="both"/>
        <w:rPr>
          <w:rFonts w:ascii="Book Antiqua" w:hAnsi="Book Antiqua"/>
        </w:rPr>
      </w:pPr>
      <w:r w:rsidRPr="00C709E5">
        <w:rPr>
          <w:rFonts w:ascii="Book Antiqua" w:hAnsi="Book Antiqua"/>
        </w:rPr>
        <w:t>“La acción penal prescribirá:</w:t>
      </w:r>
      <w:r w:rsidR="00A7727A" w:rsidRPr="00C709E5">
        <w:rPr>
          <w:rFonts w:ascii="Book Antiqua" w:hAnsi="Book Antiqua"/>
        </w:rPr>
        <w:t xml:space="preserve"> </w:t>
      </w:r>
    </w:p>
    <w:p w14:paraId="0C96D412" w14:textId="77777777" w:rsidR="00F251F6" w:rsidRPr="00C709E5" w:rsidRDefault="00F251F6" w:rsidP="00C709E5">
      <w:pPr>
        <w:pStyle w:val="Sinespaciado"/>
        <w:ind w:left="720" w:right="720"/>
        <w:jc w:val="both"/>
        <w:rPr>
          <w:rFonts w:ascii="Book Antiqua" w:hAnsi="Book Antiqua"/>
        </w:rPr>
      </w:pPr>
    </w:p>
    <w:p w14:paraId="36D3A04D" w14:textId="4359DE7F" w:rsidR="00A7727A" w:rsidRPr="00C709E5" w:rsidRDefault="00A7727A" w:rsidP="00E233C2">
      <w:pPr>
        <w:pStyle w:val="Sinespaciado"/>
        <w:numPr>
          <w:ilvl w:val="0"/>
          <w:numId w:val="23"/>
        </w:numPr>
        <w:ind w:right="720"/>
        <w:jc w:val="both"/>
        <w:rPr>
          <w:rFonts w:ascii="Book Antiqua" w:hAnsi="Book Antiqua"/>
        </w:rPr>
      </w:pPr>
      <w:r w:rsidRPr="00C709E5">
        <w:rPr>
          <w:rFonts w:ascii="Book Antiqua" w:hAnsi="Book Antiqua"/>
        </w:rPr>
        <w:t xml:space="preserve">A los cinco (5) años, en los delitos graves, y en los delitos graves clasificados en la ley especial. </w:t>
      </w:r>
    </w:p>
    <w:p w14:paraId="2B995CB4" w14:textId="04A423E8" w:rsidR="00A7727A" w:rsidRPr="00C709E5" w:rsidRDefault="00A7727A" w:rsidP="00E233C2">
      <w:pPr>
        <w:pStyle w:val="Sinespaciado"/>
        <w:numPr>
          <w:ilvl w:val="0"/>
          <w:numId w:val="23"/>
        </w:numPr>
        <w:ind w:right="720"/>
        <w:jc w:val="both"/>
        <w:rPr>
          <w:rFonts w:ascii="Book Antiqua" w:hAnsi="Book Antiqua"/>
        </w:rPr>
      </w:pPr>
      <w:r w:rsidRPr="00C709E5">
        <w:rPr>
          <w:rFonts w:ascii="Book Antiqua" w:hAnsi="Book Antiqua"/>
        </w:rPr>
        <w:t>A los diez (10) años en los delitos de apropiación ilegal agravada, fraude y lavado de dinero; cuando la cuantía ascienda a quinientos mil dólares ($500,000) o más</w:t>
      </w:r>
    </w:p>
    <w:p w14:paraId="2C37A0BB" w14:textId="28021EB9" w:rsidR="00A7727A" w:rsidRPr="00C709E5" w:rsidRDefault="00A7727A" w:rsidP="00E233C2">
      <w:pPr>
        <w:pStyle w:val="Sinespaciado"/>
        <w:numPr>
          <w:ilvl w:val="0"/>
          <w:numId w:val="23"/>
        </w:numPr>
        <w:ind w:right="720"/>
        <w:jc w:val="both"/>
        <w:rPr>
          <w:rFonts w:ascii="Book Antiqua" w:hAnsi="Book Antiqua"/>
        </w:rPr>
      </w:pPr>
      <w:r w:rsidRPr="00C709E5">
        <w:rPr>
          <w:rFonts w:ascii="Book Antiqua" w:hAnsi="Book Antiqua"/>
        </w:rPr>
        <w:t xml:space="preserve">Al año, en los delitos menos graves, salvo los provenientes de infracciones a las leyes fiscales y todo delito menos grave, cometido por funcionarios o empleados públicos en el desempeño de sus funciones, que prescribirán a los cinco (5) años. </w:t>
      </w:r>
    </w:p>
    <w:p w14:paraId="478F4D73" w14:textId="746175D2" w:rsidR="00A7727A" w:rsidRPr="00C709E5" w:rsidRDefault="00A7727A" w:rsidP="00E233C2">
      <w:pPr>
        <w:pStyle w:val="Sinespaciado"/>
        <w:numPr>
          <w:ilvl w:val="0"/>
          <w:numId w:val="23"/>
        </w:numPr>
        <w:ind w:right="720"/>
        <w:jc w:val="both"/>
        <w:rPr>
          <w:rFonts w:ascii="Book Antiqua" w:hAnsi="Book Antiqua"/>
        </w:rPr>
      </w:pPr>
      <w:r w:rsidRPr="00C709E5">
        <w:rPr>
          <w:rFonts w:ascii="Book Antiqua" w:hAnsi="Book Antiqua"/>
        </w:rPr>
        <w:t xml:space="preserve">Los delitos de encubrimiento y conspiración prescribirán a los diez (10) años, cuando se cometan </w:t>
      </w:r>
      <w:proofErr w:type="gramStart"/>
      <w:r w:rsidRPr="00C709E5">
        <w:rPr>
          <w:rFonts w:ascii="Book Antiqua" w:hAnsi="Book Antiqua"/>
        </w:rPr>
        <w:t>en relación al</w:t>
      </w:r>
      <w:proofErr w:type="gramEnd"/>
      <w:r w:rsidRPr="00C709E5">
        <w:rPr>
          <w:rFonts w:ascii="Book Antiqua" w:hAnsi="Book Antiqua"/>
        </w:rPr>
        <w:t xml:space="preserve"> delito de asesinato. </w:t>
      </w:r>
    </w:p>
    <w:p w14:paraId="08A28A31" w14:textId="59F1F897" w:rsidR="00A7727A" w:rsidRPr="00C709E5" w:rsidRDefault="00A7727A" w:rsidP="00E233C2">
      <w:pPr>
        <w:pStyle w:val="Sinespaciado"/>
        <w:numPr>
          <w:ilvl w:val="0"/>
          <w:numId w:val="23"/>
        </w:numPr>
        <w:ind w:right="720"/>
        <w:jc w:val="both"/>
        <w:rPr>
          <w:rFonts w:ascii="Book Antiqua" w:hAnsi="Book Antiqua"/>
        </w:rPr>
      </w:pPr>
      <w:r w:rsidRPr="00C709E5">
        <w:rPr>
          <w:rFonts w:ascii="Book Antiqua" w:hAnsi="Book Antiqua"/>
        </w:rPr>
        <w:t xml:space="preserve">A los diez (10) años, en los delitos de homicidio. </w:t>
      </w:r>
    </w:p>
    <w:p w14:paraId="266566C8" w14:textId="32DAAA13" w:rsidR="00A7727A" w:rsidRDefault="00A7727A" w:rsidP="00E233C2">
      <w:pPr>
        <w:pStyle w:val="Sinespaciado"/>
        <w:numPr>
          <w:ilvl w:val="0"/>
          <w:numId w:val="23"/>
        </w:numPr>
        <w:ind w:right="720"/>
        <w:jc w:val="both"/>
        <w:rPr>
          <w:rFonts w:ascii="Book Antiqua" w:hAnsi="Book Antiqua"/>
        </w:rPr>
      </w:pPr>
      <w:r w:rsidRPr="00C709E5">
        <w:rPr>
          <w:rFonts w:ascii="Book Antiqua" w:hAnsi="Book Antiqua"/>
        </w:rPr>
        <w:t xml:space="preserve">A los veinte (20) años, en los delitos de agresión sexual, incesto y actos lascivos. </w:t>
      </w:r>
    </w:p>
    <w:p w14:paraId="0CD82592" w14:textId="77777777" w:rsidR="00F251F6" w:rsidRPr="00C709E5" w:rsidRDefault="00F251F6" w:rsidP="00F251F6">
      <w:pPr>
        <w:pStyle w:val="Sinespaciado"/>
        <w:ind w:left="1110" w:right="720"/>
        <w:jc w:val="both"/>
        <w:rPr>
          <w:rFonts w:ascii="Book Antiqua" w:hAnsi="Book Antiqua"/>
        </w:rPr>
      </w:pPr>
    </w:p>
    <w:p w14:paraId="46E07C44" w14:textId="2BA204FA" w:rsidR="00A7727A" w:rsidRPr="00C709E5" w:rsidRDefault="00A7727A" w:rsidP="00C709E5">
      <w:pPr>
        <w:pStyle w:val="Sinespaciado"/>
        <w:ind w:left="720" w:right="720"/>
        <w:jc w:val="both"/>
        <w:rPr>
          <w:rFonts w:ascii="Book Antiqua" w:hAnsi="Book Antiqua"/>
        </w:rPr>
      </w:pPr>
      <w:r w:rsidRPr="00C709E5">
        <w:rPr>
          <w:rFonts w:ascii="Book Antiqua" w:hAnsi="Book Antiqua"/>
        </w:rPr>
        <w:t>Lo dispuesto en los incisos (a) y (c) de este Artículo no aplica a las leyes especiales, cuyos</w:t>
      </w:r>
      <w:r w:rsidR="00C709E5" w:rsidRPr="00C709E5">
        <w:rPr>
          <w:rFonts w:ascii="Book Antiqua" w:hAnsi="Book Antiqua"/>
        </w:rPr>
        <w:t xml:space="preserve"> delitos tengan un período prescriptivo mayor al aquí propuesto.”</w:t>
      </w:r>
    </w:p>
    <w:p w14:paraId="4519F509" w14:textId="77777777" w:rsidR="00A7727A" w:rsidRDefault="00A7727A" w:rsidP="0008088A">
      <w:pPr>
        <w:spacing w:after="160" w:line="278" w:lineRule="auto"/>
        <w:ind w:firstLine="720"/>
        <w:jc w:val="both"/>
        <w:rPr>
          <w:rFonts w:ascii="Book Antiqua" w:hAnsi="Book Antiqua"/>
          <w:szCs w:val="24"/>
        </w:rPr>
      </w:pPr>
    </w:p>
    <w:p w14:paraId="5109F353" w14:textId="598D9CE1" w:rsidR="0008088A" w:rsidRDefault="009E5210" w:rsidP="00F251F6">
      <w:pPr>
        <w:ind w:firstLine="720"/>
        <w:jc w:val="both"/>
        <w:rPr>
          <w:rFonts w:ascii="Book Antiqua" w:hAnsi="Book Antiqua"/>
          <w:szCs w:val="24"/>
        </w:rPr>
      </w:pPr>
      <w:r>
        <w:rPr>
          <w:rFonts w:ascii="Book Antiqua" w:hAnsi="Book Antiqua"/>
          <w:szCs w:val="24"/>
        </w:rPr>
        <w:t>Como podemos observar, b</w:t>
      </w:r>
      <w:r w:rsidR="00404859">
        <w:rPr>
          <w:rFonts w:ascii="Book Antiqua" w:hAnsi="Book Antiqua"/>
          <w:szCs w:val="24"/>
        </w:rPr>
        <w:t>ajo el ordenamiento vigente, un delito contenido en la Ley de Armas</w:t>
      </w:r>
      <w:r w:rsidR="00A52694">
        <w:rPr>
          <w:rFonts w:ascii="Book Antiqua" w:hAnsi="Book Antiqua"/>
          <w:szCs w:val="24"/>
        </w:rPr>
        <w:t xml:space="preserve"> de 2020</w:t>
      </w:r>
      <w:r w:rsidR="000C2E68">
        <w:rPr>
          <w:rFonts w:ascii="Book Antiqua" w:hAnsi="Book Antiqua"/>
          <w:szCs w:val="24"/>
        </w:rPr>
        <w:t xml:space="preserve"> y </w:t>
      </w:r>
      <w:r w:rsidR="00404859">
        <w:rPr>
          <w:rFonts w:ascii="Book Antiqua" w:hAnsi="Book Antiqua"/>
          <w:szCs w:val="24"/>
        </w:rPr>
        <w:t>cometido en el curso de acción para cometer un asesinato</w:t>
      </w:r>
      <w:r>
        <w:rPr>
          <w:rFonts w:ascii="Book Antiqua" w:hAnsi="Book Antiqua"/>
          <w:szCs w:val="24"/>
        </w:rPr>
        <w:t xml:space="preserve"> </w:t>
      </w:r>
      <w:r w:rsidR="005102C6">
        <w:rPr>
          <w:rFonts w:ascii="Book Antiqua" w:hAnsi="Book Antiqua"/>
          <w:szCs w:val="24"/>
        </w:rPr>
        <w:t>tiene un término prescriptivo</w:t>
      </w:r>
      <w:r>
        <w:rPr>
          <w:rFonts w:ascii="Book Antiqua" w:hAnsi="Book Antiqua"/>
          <w:szCs w:val="24"/>
        </w:rPr>
        <w:t xml:space="preserve">. </w:t>
      </w:r>
      <w:r w:rsidR="001B7F40" w:rsidRPr="007F5A82">
        <w:rPr>
          <w:rFonts w:ascii="Book Antiqua" w:hAnsi="Book Antiqua"/>
          <w:szCs w:val="24"/>
        </w:rPr>
        <w:t>Esta brecha jurídica permite la fragmentación de la responsabilidad penal, debilitando así la capacidad del Estado para procesar de manera integral la conducta delictiva.</w:t>
      </w:r>
      <w:r w:rsidR="00552505">
        <w:rPr>
          <w:rFonts w:ascii="Book Antiqua" w:hAnsi="Book Antiqua"/>
          <w:szCs w:val="24"/>
        </w:rPr>
        <w:t xml:space="preserve"> </w:t>
      </w:r>
      <w:r w:rsidR="009704F0" w:rsidRPr="009704F0">
        <w:rPr>
          <w:rFonts w:ascii="Book Antiqua" w:hAnsi="Book Antiqua"/>
          <w:szCs w:val="24"/>
        </w:rPr>
        <w:t xml:space="preserve">Para que el Ministerio Público pueda presentar una "prueba completa" ante el juzgador, resulta imperativo que el marco jurídico permita procesar el evento criminal como una unidad de acción. </w:t>
      </w:r>
    </w:p>
    <w:p w14:paraId="1E7833F5" w14:textId="77777777" w:rsidR="00F251F6" w:rsidRDefault="00F251F6" w:rsidP="00F251F6">
      <w:pPr>
        <w:ind w:firstLine="720"/>
        <w:jc w:val="both"/>
        <w:rPr>
          <w:rFonts w:ascii="Book Antiqua" w:hAnsi="Book Antiqua"/>
          <w:szCs w:val="24"/>
        </w:rPr>
      </w:pPr>
    </w:p>
    <w:p w14:paraId="799FB847" w14:textId="7A4F08D7" w:rsidR="009704F0" w:rsidRDefault="009704F0" w:rsidP="00F251F6">
      <w:pPr>
        <w:ind w:firstLine="720"/>
        <w:jc w:val="both"/>
        <w:rPr>
          <w:rFonts w:ascii="Book Antiqua" w:hAnsi="Book Antiqua"/>
          <w:szCs w:val="24"/>
        </w:rPr>
      </w:pPr>
      <w:r w:rsidRPr="009704F0">
        <w:rPr>
          <w:rFonts w:ascii="Book Antiqua" w:hAnsi="Book Antiqua"/>
          <w:szCs w:val="24"/>
        </w:rPr>
        <w:lastRenderedPageBreak/>
        <w:t xml:space="preserve"> En la mayoría de los asesinatos, la portación, posesión y uso del arma de fuego no son actos aislados, sino que constituyen el medio e instrumento esencial para la consumación del acto homicida. Separar la prescripción del arma de la prescripción del asesinato es ignorar la realidad de la dinámica criminal.</w:t>
      </w:r>
      <w:r w:rsidR="001F4507">
        <w:rPr>
          <w:rFonts w:ascii="Book Antiqua" w:hAnsi="Book Antiqua"/>
          <w:szCs w:val="24"/>
        </w:rPr>
        <w:t xml:space="preserve"> </w:t>
      </w:r>
      <w:r w:rsidRPr="009704F0">
        <w:rPr>
          <w:rFonts w:ascii="Book Antiqua" w:hAnsi="Book Antiqua"/>
          <w:szCs w:val="24"/>
        </w:rPr>
        <w:t>Al prescribir el delito de armas, el Fiscal se ve impedido de presentar cargos que reflejen fielmente la peligrosidad del convicto. Esto limita la capacidad del tribunal para imponer penas proporcionales al daño causado, permitiendo que un individuo que utilizó un arma ilegal para matar solo sea juzgado por la muerte, pero no por la infracción de ley que facilitó el acto.</w:t>
      </w:r>
    </w:p>
    <w:p w14:paraId="44A60F6A" w14:textId="77777777" w:rsidR="00F251F6" w:rsidRPr="009704F0" w:rsidRDefault="00F251F6" w:rsidP="00F251F6">
      <w:pPr>
        <w:ind w:firstLine="720"/>
        <w:jc w:val="both"/>
        <w:rPr>
          <w:rFonts w:ascii="Book Antiqua" w:hAnsi="Book Antiqua"/>
          <w:szCs w:val="24"/>
        </w:rPr>
      </w:pPr>
    </w:p>
    <w:p w14:paraId="76EDB441" w14:textId="0FAE00A2" w:rsidR="009704F0" w:rsidRDefault="00386E33" w:rsidP="00F251F6">
      <w:pPr>
        <w:ind w:firstLine="720"/>
        <w:jc w:val="both"/>
        <w:rPr>
          <w:rFonts w:ascii="Book Antiqua" w:hAnsi="Book Antiqua"/>
          <w:szCs w:val="24"/>
        </w:rPr>
      </w:pPr>
      <w:r>
        <w:rPr>
          <w:rFonts w:ascii="Book Antiqua" w:hAnsi="Book Antiqua"/>
          <w:szCs w:val="24"/>
        </w:rPr>
        <w:t>Por otra parte, l</w:t>
      </w:r>
      <w:r w:rsidR="009704F0" w:rsidRPr="009704F0">
        <w:rPr>
          <w:rFonts w:ascii="Book Antiqua" w:hAnsi="Book Antiqua"/>
          <w:szCs w:val="24"/>
        </w:rPr>
        <w:t xml:space="preserve">os avances en la tecnología forense y las pruebas de ADN a menudo permiten esclarecer asesinatos décadas después de ocurridos. </w:t>
      </w:r>
      <w:r>
        <w:rPr>
          <w:rFonts w:ascii="Book Antiqua" w:hAnsi="Book Antiqua"/>
          <w:szCs w:val="24"/>
        </w:rPr>
        <w:t>Por ello, r</w:t>
      </w:r>
      <w:r w:rsidR="009704F0" w:rsidRPr="009704F0">
        <w:rPr>
          <w:rFonts w:ascii="Book Antiqua" w:hAnsi="Book Antiqua"/>
          <w:szCs w:val="24"/>
        </w:rPr>
        <w:t>esulta un contrasentido jurídico que el Estado pueda probar quién apretó el gatillo, pero se vea impedido de procesar la posesión de esa arma ilegal simplemente porque el reloj de la prescripción se detuvo.</w:t>
      </w:r>
      <w:r w:rsidR="002A46F1">
        <w:rPr>
          <w:rFonts w:ascii="Book Antiqua" w:hAnsi="Book Antiqua"/>
          <w:szCs w:val="24"/>
        </w:rPr>
        <w:t xml:space="preserve"> </w:t>
      </w:r>
      <w:r w:rsidR="009704F0" w:rsidRPr="009704F0">
        <w:rPr>
          <w:rFonts w:ascii="Book Antiqua" w:hAnsi="Book Antiqua"/>
          <w:szCs w:val="24"/>
        </w:rPr>
        <w:t>Al establecer que los delitos de la Ley de Armas no prescribirán cuando sean el instrumento de un asesinato o tentativa, esta Asamblea envía un mensaje contundente: el tiempo no borrará la responsabilidad penal del que utiliza un arma de fuego para atentar contra la vida.</w:t>
      </w:r>
    </w:p>
    <w:p w14:paraId="13A0A40F" w14:textId="77777777" w:rsidR="00F251F6" w:rsidRPr="009704F0" w:rsidRDefault="00F251F6" w:rsidP="00F251F6">
      <w:pPr>
        <w:ind w:firstLine="720"/>
        <w:jc w:val="both"/>
        <w:rPr>
          <w:rFonts w:ascii="Book Antiqua" w:hAnsi="Book Antiqua"/>
          <w:szCs w:val="24"/>
        </w:rPr>
      </w:pPr>
    </w:p>
    <w:p w14:paraId="604F7B4F" w14:textId="650AC5E0" w:rsidR="008E0AC1" w:rsidRPr="009C6BAA" w:rsidRDefault="009704F0" w:rsidP="00F251F6">
      <w:pPr>
        <w:ind w:firstLine="720"/>
        <w:jc w:val="both"/>
        <w:rPr>
          <w:rFonts w:ascii="Book Antiqua" w:hAnsi="Book Antiqua"/>
          <w:szCs w:val="24"/>
        </w:rPr>
      </w:pPr>
      <w:r w:rsidRPr="009704F0">
        <w:rPr>
          <w:rFonts w:ascii="Book Antiqua" w:hAnsi="Book Antiqua"/>
          <w:szCs w:val="24"/>
        </w:rPr>
        <w:t xml:space="preserve">Esta </w:t>
      </w:r>
      <w:r w:rsidR="002A46F1">
        <w:rPr>
          <w:rFonts w:ascii="Book Antiqua" w:hAnsi="Book Antiqua"/>
          <w:szCs w:val="24"/>
        </w:rPr>
        <w:t>Ley</w:t>
      </w:r>
      <w:r w:rsidRPr="009704F0">
        <w:rPr>
          <w:rFonts w:ascii="Book Antiqua" w:hAnsi="Book Antiqua"/>
          <w:szCs w:val="24"/>
        </w:rPr>
        <w:t xml:space="preserve"> garantiza que el Ministerio Público cuente con todas las herramientas legales para presentar un caso robusto, coherente y completo, asegurando que la verdad histórica coincida con la verdad procesal en nuestros tribunales.</w:t>
      </w:r>
      <w:r w:rsidR="00C503DC">
        <w:rPr>
          <w:rFonts w:ascii="Book Antiqua" w:hAnsi="Book Antiqua"/>
          <w:szCs w:val="24"/>
        </w:rPr>
        <w:t xml:space="preserve"> Con ello, fortalecemos</w:t>
      </w:r>
      <w:r w:rsidR="007F5A82" w:rsidRPr="007F5A82">
        <w:rPr>
          <w:rFonts w:ascii="Book Antiqua" w:hAnsi="Book Antiqua"/>
          <w:szCs w:val="24"/>
        </w:rPr>
        <w:t xml:space="preserve"> la capacidad investigativa y procesal del Estado, y reafirma</w:t>
      </w:r>
      <w:r w:rsidR="00C30B98">
        <w:rPr>
          <w:rFonts w:ascii="Book Antiqua" w:hAnsi="Book Antiqua"/>
          <w:szCs w:val="24"/>
        </w:rPr>
        <w:t>mos</w:t>
      </w:r>
      <w:r w:rsidR="007F5A82" w:rsidRPr="007F5A82">
        <w:rPr>
          <w:rFonts w:ascii="Book Antiqua" w:hAnsi="Book Antiqua"/>
          <w:szCs w:val="24"/>
        </w:rPr>
        <w:t xml:space="preserve"> el compromiso inequívoco de </w:t>
      </w:r>
      <w:r w:rsidR="00C30B98">
        <w:rPr>
          <w:rFonts w:ascii="Book Antiqua" w:hAnsi="Book Antiqua"/>
          <w:szCs w:val="24"/>
        </w:rPr>
        <w:t>esta Asamblea Legislativa</w:t>
      </w:r>
      <w:r w:rsidR="007F5A82" w:rsidRPr="007F5A82">
        <w:rPr>
          <w:rFonts w:ascii="Book Antiqua" w:hAnsi="Book Antiqua"/>
          <w:szCs w:val="24"/>
        </w:rPr>
        <w:t xml:space="preserve"> con la protección de la vida humana.</w:t>
      </w:r>
    </w:p>
    <w:p w14:paraId="73C4CDA3" w14:textId="77777777" w:rsidR="00721923" w:rsidRDefault="00721923" w:rsidP="00F251F6">
      <w:pPr>
        <w:rPr>
          <w:rFonts w:ascii="Book Antiqua" w:hAnsi="Book Antiqua"/>
          <w:i/>
          <w:szCs w:val="24"/>
          <w:lang w:val="es-ES_tradnl"/>
        </w:rPr>
      </w:pPr>
    </w:p>
    <w:p w14:paraId="67FBC7FF" w14:textId="0D46E4D1" w:rsidR="00BF7072" w:rsidRPr="009C6BAA" w:rsidRDefault="00BF7072" w:rsidP="00F251F6">
      <w:pPr>
        <w:rPr>
          <w:rFonts w:ascii="Book Antiqua" w:hAnsi="Book Antiqua"/>
          <w:i/>
          <w:szCs w:val="24"/>
          <w:lang w:val="es-ES_tradnl"/>
        </w:rPr>
      </w:pPr>
      <w:r w:rsidRPr="009C6BAA">
        <w:rPr>
          <w:rFonts w:ascii="Book Antiqua" w:hAnsi="Book Antiqua"/>
          <w:i/>
          <w:szCs w:val="24"/>
          <w:lang w:val="es-ES_tradnl"/>
        </w:rPr>
        <w:t>DECRÉTASE POR LA ASAMBLEA LEGISLATIVA DE PUERTO RICO:</w:t>
      </w:r>
    </w:p>
    <w:p w14:paraId="2E2ECD7D" w14:textId="77777777" w:rsidR="00BF7072" w:rsidRPr="009C6BAA" w:rsidRDefault="00BF7072" w:rsidP="00F251F6">
      <w:pPr>
        <w:jc w:val="both"/>
        <w:rPr>
          <w:rFonts w:ascii="Book Antiqua" w:hAnsi="Book Antiqua"/>
          <w:szCs w:val="24"/>
          <w:lang w:val="es-ES_tradnl"/>
        </w:rPr>
      </w:pPr>
    </w:p>
    <w:p w14:paraId="4134612C" w14:textId="77777777" w:rsidR="00A07D20" w:rsidRPr="009C6BAA" w:rsidRDefault="00A07D20" w:rsidP="00A07D20">
      <w:pPr>
        <w:jc w:val="both"/>
        <w:rPr>
          <w:rFonts w:ascii="Book Antiqua" w:hAnsi="Book Antiqua"/>
          <w:szCs w:val="24"/>
          <w:lang w:val="es-ES_tradnl"/>
        </w:rPr>
        <w:sectPr w:rsidR="00A07D20" w:rsidRPr="009C6BAA" w:rsidSect="00A07D20">
          <w:headerReference w:type="default" r:id="rId9"/>
          <w:type w:val="continuous"/>
          <w:pgSz w:w="12240" w:h="15840" w:code="1"/>
          <w:pgMar w:top="1440" w:right="1440" w:bottom="1440" w:left="1440" w:header="720" w:footer="720" w:gutter="0"/>
          <w:cols w:space="720"/>
          <w:titlePg/>
        </w:sectPr>
      </w:pPr>
    </w:p>
    <w:p w14:paraId="1351B8B7" w14:textId="0F0C2FF1" w:rsidR="00B56D70" w:rsidRPr="00B844D5" w:rsidRDefault="00D06317" w:rsidP="00850990">
      <w:pPr>
        <w:spacing w:line="480" w:lineRule="auto"/>
        <w:ind w:firstLine="360"/>
        <w:jc w:val="both"/>
        <w:rPr>
          <w:rFonts w:ascii="Book Antiqua" w:hAnsi="Book Antiqua"/>
          <w:szCs w:val="24"/>
        </w:rPr>
      </w:pPr>
      <w:r w:rsidRPr="009C6BAA">
        <w:rPr>
          <w:rFonts w:ascii="Book Antiqua" w:hAnsi="Book Antiqua"/>
          <w:szCs w:val="24"/>
          <w:lang w:val="es-ES_tradnl"/>
        </w:rPr>
        <w:t>Artículo 1.-</w:t>
      </w:r>
      <w:r w:rsidR="00B844D5" w:rsidRPr="00B844D5">
        <w:rPr>
          <w:color w:val="222222"/>
          <w:sz w:val="30"/>
          <w:szCs w:val="30"/>
          <w:shd w:val="clear" w:color="auto" w:fill="FFFFFF"/>
        </w:rPr>
        <w:t xml:space="preserve"> </w:t>
      </w:r>
      <w:r w:rsidR="00B844D5" w:rsidRPr="00B844D5">
        <w:rPr>
          <w:rFonts w:ascii="Book Antiqua" w:hAnsi="Book Antiqua"/>
          <w:szCs w:val="24"/>
        </w:rPr>
        <w:t xml:space="preserve">Se </w:t>
      </w:r>
      <w:r w:rsidR="009E5210">
        <w:rPr>
          <w:rFonts w:ascii="Book Antiqua" w:hAnsi="Book Antiqua"/>
          <w:szCs w:val="24"/>
        </w:rPr>
        <w:t xml:space="preserve">añade </w:t>
      </w:r>
      <w:r w:rsidR="009E5210">
        <w:rPr>
          <w:rFonts w:ascii="Book Antiqua" w:hAnsi="Book Antiqua"/>
        </w:rPr>
        <w:t>un Artículo 6.27 a la Ley 168-2019, según enmendada, conocida como “</w:t>
      </w:r>
      <w:r w:rsidR="009E5210" w:rsidRPr="000958AD">
        <w:rPr>
          <w:rFonts w:ascii="Book Antiqua" w:hAnsi="Book Antiqua"/>
        </w:rPr>
        <w:t>Ley de Armas de Puerto Rico</w:t>
      </w:r>
      <w:r w:rsidR="009E5210">
        <w:rPr>
          <w:rFonts w:ascii="Book Antiqua" w:hAnsi="Book Antiqua"/>
        </w:rPr>
        <w:t xml:space="preserve"> de 2020”,</w:t>
      </w:r>
      <w:r w:rsidR="006F6109">
        <w:rPr>
          <w:rFonts w:ascii="Book Antiqua" w:hAnsi="Book Antiqua"/>
        </w:rPr>
        <w:t xml:space="preserve"> </w:t>
      </w:r>
      <w:r w:rsidR="00B844D5" w:rsidRPr="00B844D5">
        <w:rPr>
          <w:rFonts w:ascii="Book Antiqua" w:hAnsi="Book Antiqua"/>
          <w:szCs w:val="24"/>
        </w:rPr>
        <w:t>para que lea como sigue:</w:t>
      </w:r>
    </w:p>
    <w:p w14:paraId="17CFCD5B" w14:textId="511F432E" w:rsidR="00B844D5" w:rsidRPr="00B844D5" w:rsidRDefault="00B844D5" w:rsidP="00B844D5">
      <w:pPr>
        <w:spacing w:line="480" w:lineRule="auto"/>
        <w:ind w:firstLine="360"/>
        <w:jc w:val="both"/>
        <w:rPr>
          <w:rFonts w:ascii="Book Antiqua" w:hAnsi="Book Antiqua"/>
          <w:szCs w:val="24"/>
        </w:rPr>
      </w:pPr>
      <w:r w:rsidRPr="00B844D5">
        <w:rPr>
          <w:rFonts w:ascii="Book Antiqua" w:hAnsi="Book Antiqua"/>
          <w:szCs w:val="24"/>
        </w:rPr>
        <w:t xml:space="preserve">“Artículo </w:t>
      </w:r>
      <w:r w:rsidR="009E5210">
        <w:rPr>
          <w:rFonts w:ascii="Book Antiqua" w:hAnsi="Book Antiqua"/>
          <w:szCs w:val="24"/>
        </w:rPr>
        <w:t>6.27</w:t>
      </w:r>
      <w:r w:rsidRPr="00B844D5">
        <w:rPr>
          <w:rFonts w:ascii="Book Antiqua" w:hAnsi="Book Antiqua"/>
          <w:szCs w:val="24"/>
        </w:rPr>
        <w:t xml:space="preserve">.- </w:t>
      </w:r>
      <w:r w:rsidR="00631529">
        <w:rPr>
          <w:rFonts w:ascii="Book Antiqua" w:hAnsi="Book Antiqua"/>
          <w:szCs w:val="24"/>
        </w:rPr>
        <w:t>Prescripción de Delitos</w:t>
      </w:r>
      <w:r w:rsidR="00414C08">
        <w:rPr>
          <w:rFonts w:ascii="Book Antiqua" w:hAnsi="Book Antiqua"/>
          <w:szCs w:val="24"/>
        </w:rPr>
        <w:t>.</w:t>
      </w:r>
    </w:p>
    <w:p w14:paraId="660FC301" w14:textId="75B08C41" w:rsidR="00B61BA9" w:rsidRDefault="003E78C0" w:rsidP="001010B3">
      <w:pPr>
        <w:spacing w:line="480" w:lineRule="auto"/>
        <w:ind w:firstLine="360"/>
        <w:jc w:val="both"/>
        <w:rPr>
          <w:rFonts w:ascii="Book Antiqua" w:hAnsi="Book Antiqua"/>
          <w:szCs w:val="24"/>
        </w:rPr>
      </w:pPr>
      <w:r>
        <w:rPr>
          <w:rFonts w:ascii="Book Antiqua" w:hAnsi="Book Antiqua"/>
          <w:szCs w:val="24"/>
        </w:rPr>
        <w:t>Para fines de esta Ley, l</w:t>
      </w:r>
      <w:r w:rsidR="00375429">
        <w:rPr>
          <w:rFonts w:ascii="Book Antiqua" w:hAnsi="Book Antiqua"/>
          <w:szCs w:val="24"/>
        </w:rPr>
        <w:t>a acción penal prescribirá:</w:t>
      </w:r>
    </w:p>
    <w:p w14:paraId="2099BAAB" w14:textId="537F6ACA" w:rsidR="00375429" w:rsidRDefault="00644F1E" w:rsidP="00375429">
      <w:pPr>
        <w:pStyle w:val="Prrafodelista"/>
        <w:numPr>
          <w:ilvl w:val="0"/>
          <w:numId w:val="24"/>
        </w:numPr>
        <w:spacing w:line="480" w:lineRule="auto"/>
        <w:jc w:val="both"/>
        <w:rPr>
          <w:rFonts w:ascii="Book Antiqua" w:hAnsi="Book Antiqua"/>
          <w:szCs w:val="24"/>
        </w:rPr>
      </w:pPr>
      <w:r w:rsidRPr="00644F1E">
        <w:rPr>
          <w:rFonts w:ascii="Book Antiqua" w:hAnsi="Book Antiqua"/>
          <w:szCs w:val="24"/>
        </w:rPr>
        <w:t>A los cinco (5) años, en los delitos graves</w:t>
      </w:r>
      <w:r>
        <w:rPr>
          <w:rFonts w:ascii="Book Antiqua" w:hAnsi="Book Antiqua"/>
          <w:szCs w:val="24"/>
        </w:rPr>
        <w:t>.</w:t>
      </w:r>
    </w:p>
    <w:p w14:paraId="774227CE" w14:textId="6A1C6A37" w:rsidR="00644F1E" w:rsidRPr="00027140" w:rsidRDefault="007A0593" w:rsidP="00027140">
      <w:pPr>
        <w:pStyle w:val="Prrafodelista"/>
        <w:numPr>
          <w:ilvl w:val="0"/>
          <w:numId w:val="24"/>
        </w:numPr>
        <w:spacing w:line="480" w:lineRule="auto"/>
        <w:jc w:val="both"/>
        <w:rPr>
          <w:rFonts w:ascii="Book Antiqua" w:hAnsi="Book Antiqua"/>
          <w:szCs w:val="24"/>
        </w:rPr>
      </w:pPr>
      <w:r w:rsidRPr="007A0593">
        <w:rPr>
          <w:rFonts w:ascii="Book Antiqua" w:hAnsi="Book Antiqua"/>
          <w:szCs w:val="24"/>
        </w:rPr>
        <w:t>Al año, en los delitos menos graves</w:t>
      </w:r>
      <w:r>
        <w:rPr>
          <w:rFonts w:ascii="Book Antiqua" w:hAnsi="Book Antiqua"/>
          <w:szCs w:val="24"/>
        </w:rPr>
        <w:t>.</w:t>
      </w:r>
      <w:r w:rsidR="00447C54" w:rsidRPr="00027140">
        <w:rPr>
          <w:rFonts w:ascii="Book Antiqua" w:hAnsi="Book Antiqua"/>
          <w:szCs w:val="24"/>
        </w:rPr>
        <w:t>”</w:t>
      </w:r>
    </w:p>
    <w:p w14:paraId="2B2C8928" w14:textId="792115A5" w:rsidR="00F83A33" w:rsidRPr="00F83A33" w:rsidRDefault="004000D4" w:rsidP="00F83A33">
      <w:pPr>
        <w:spacing w:line="480" w:lineRule="auto"/>
        <w:ind w:firstLine="360"/>
        <w:jc w:val="both"/>
        <w:rPr>
          <w:rFonts w:ascii="Book Antiqua" w:hAnsi="Book Antiqua"/>
          <w:szCs w:val="24"/>
        </w:rPr>
      </w:pPr>
      <w:r w:rsidRPr="009C6BAA">
        <w:rPr>
          <w:rFonts w:ascii="Book Antiqua" w:hAnsi="Book Antiqua"/>
          <w:szCs w:val="24"/>
          <w:lang w:val="es-ES_tradnl"/>
        </w:rPr>
        <w:t xml:space="preserve">Artículo 2.- </w:t>
      </w:r>
      <w:r w:rsidR="00F83A33" w:rsidRPr="00F83A33">
        <w:rPr>
          <w:rFonts w:ascii="Book Antiqua" w:hAnsi="Book Antiqua"/>
          <w:szCs w:val="24"/>
        </w:rPr>
        <w:t>Se añade un Artículo 6.2</w:t>
      </w:r>
      <w:r w:rsidR="00F83A33">
        <w:rPr>
          <w:rFonts w:ascii="Book Antiqua" w:hAnsi="Book Antiqua"/>
          <w:szCs w:val="24"/>
        </w:rPr>
        <w:t>8</w:t>
      </w:r>
      <w:r w:rsidR="00F83A33" w:rsidRPr="00F83A33">
        <w:rPr>
          <w:rFonts w:ascii="Book Antiqua" w:hAnsi="Book Antiqua"/>
          <w:szCs w:val="24"/>
        </w:rPr>
        <w:t xml:space="preserve"> a la Ley 168-2019, según enmendada, conocida como “Ley de Armas de Puerto Rico de 2020”, para que lea como sigue:</w:t>
      </w:r>
    </w:p>
    <w:p w14:paraId="66968EFB" w14:textId="2A54A0F4" w:rsidR="00F83A33" w:rsidRPr="00F83A33" w:rsidRDefault="00F83A33" w:rsidP="00F83A33">
      <w:pPr>
        <w:spacing w:line="480" w:lineRule="auto"/>
        <w:ind w:firstLine="360"/>
        <w:jc w:val="both"/>
        <w:rPr>
          <w:rFonts w:ascii="Book Antiqua" w:hAnsi="Book Antiqua"/>
          <w:szCs w:val="24"/>
        </w:rPr>
      </w:pPr>
      <w:r w:rsidRPr="00F83A33">
        <w:rPr>
          <w:rFonts w:ascii="Book Antiqua" w:hAnsi="Book Antiqua"/>
          <w:szCs w:val="24"/>
        </w:rPr>
        <w:t>“Artículo 6.2</w:t>
      </w:r>
      <w:r>
        <w:rPr>
          <w:rFonts w:ascii="Book Antiqua" w:hAnsi="Book Antiqua"/>
          <w:szCs w:val="24"/>
        </w:rPr>
        <w:t>8</w:t>
      </w:r>
      <w:r w:rsidRPr="00F83A33">
        <w:rPr>
          <w:rFonts w:ascii="Book Antiqua" w:hAnsi="Book Antiqua"/>
          <w:szCs w:val="24"/>
        </w:rPr>
        <w:t xml:space="preserve">.- </w:t>
      </w:r>
      <w:r w:rsidR="00814087">
        <w:rPr>
          <w:rFonts w:ascii="Book Antiqua" w:hAnsi="Book Antiqua"/>
          <w:szCs w:val="24"/>
        </w:rPr>
        <w:t>Delitos que no prescriben</w:t>
      </w:r>
      <w:r w:rsidRPr="00F83A33">
        <w:rPr>
          <w:rFonts w:ascii="Book Antiqua" w:hAnsi="Book Antiqua"/>
          <w:szCs w:val="24"/>
        </w:rPr>
        <w:t>.</w:t>
      </w:r>
    </w:p>
    <w:p w14:paraId="0F8166C6" w14:textId="501BC0C0" w:rsidR="00814087" w:rsidRPr="00814087" w:rsidRDefault="00814087" w:rsidP="00814087">
      <w:pPr>
        <w:spacing w:line="480" w:lineRule="auto"/>
        <w:ind w:firstLine="360"/>
        <w:jc w:val="both"/>
        <w:rPr>
          <w:rFonts w:ascii="Book Antiqua" w:hAnsi="Book Antiqua"/>
          <w:szCs w:val="24"/>
        </w:rPr>
      </w:pPr>
      <w:r w:rsidRPr="00814087">
        <w:rPr>
          <w:rFonts w:ascii="Book Antiqua" w:hAnsi="Book Antiqua"/>
          <w:szCs w:val="24"/>
        </w:rPr>
        <w:lastRenderedPageBreak/>
        <w:t xml:space="preserve">No prescribirán los delitos tipificados en </w:t>
      </w:r>
      <w:r w:rsidR="00447C54">
        <w:rPr>
          <w:rFonts w:ascii="Book Antiqua" w:hAnsi="Book Antiqua"/>
          <w:szCs w:val="24"/>
        </w:rPr>
        <w:t>esta Ley</w:t>
      </w:r>
      <w:r w:rsidRPr="00814087">
        <w:rPr>
          <w:rFonts w:ascii="Book Antiqua" w:hAnsi="Book Antiqua"/>
          <w:szCs w:val="24"/>
        </w:rPr>
        <w:t>, cuando estos sean cometidos como parte, medio o instrumento para la comisión del delito de asesinato o tentativa de asesinato.</w:t>
      </w:r>
      <w:r>
        <w:rPr>
          <w:rFonts w:ascii="Book Antiqua" w:hAnsi="Book Antiqua"/>
          <w:szCs w:val="24"/>
        </w:rPr>
        <w:t>”</w:t>
      </w:r>
    </w:p>
    <w:p w14:paraId="35E146E0" w14:textId="0E17C434" w:rsidR="00391DE3" w:rsidRPr="009C6BAA" w:rsidRDefault="00530353" w:rsidP="00CA345E">
      <w:pPr>
        <w:spacing w:line="480" w:lineRule="auto"/>
        <w:ind w:firstLine="360"/>
        <w:jc w:val="both"/>
        <w:rPr>
          <w:rFonts w:ascii="Book Antiqua" w:hAnsi="Book Antiqua"/>
          <w:szCs w:val="24"/>
        </w:rPr>
      </w:pPr>
      <w:r w:rsidRPr="009C6BAA">
        <w:rPr>
          <w:rFonts w:ascii="Book Antiqua" w:hAnsi="Book Antiqua"/>
          <w:szCs w:val="24"/>
        </w:rPr>
        <w:t xml:space="preserve">Artículo 3.- </w:t>
      </w:r>
      <w:r w:rsidR="00391DE3" w:rsidRPr="009C6BAA">
        <w:rPr>
          <w:rFonts w:ascii="Book Antiqua" w:hAnsi="Book Antiqua"/>
          <w:szCs w:val="24"/>
        </w:rPr>
        <w:t>Cláusula de separabilidad.</w:t>
      </w:r>
    </w:p>
    <w:p w14:paraId="4ABBC315" w14:textId="5DB409BE" w:rsidR="00391DE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t>Si cualquier cláusula, párrafo, artículo o parte de esta Ley fuera declarada inconstitucional por un Tribunal con competencia y jurisdicción, la sentencia dictada no afectará ni invalidará el resto de esta Ley y su efecto se limitará a la cláusula, párrafo, artículo o parte declarada inconstitucional.</w:t>
      </w:r>
    </w:p>
    <w:p w14:paraId="238FE876" w14:textId="5C57EE6F" w:rsidR="003A4B63" w:rsidRPr="009C6BAA" w:rsidRDefault="003A4B63" w:rsidP="00832B18">
      <w:pPr>
        <w:spacing w:line="480" w:lineRule="auto"/>
        <w:ind w:firstLine="360"/>
        <w:jc w:val="both"/>
        <w:rPr>
          <w:rFonts w:ascii="Book Antiqua" w:hAnsi="Book Antiqua"/>
          <w:szCs w:val="24"/>
        </w:rPr>
      </w:pPr>
      <w:r w:rsidRPr="009C6BAA">
        <w:rPr>
          <w:rFonts w:ascii="Book Antiqua" w:hAnsi="Book Antiqua"/>
          <w:szCs w:val="24"/>
        </w:rPr>
        <w:t xml:space="preserve">Artículo </w:t>
      </w:r>
      <w:r w:rsidR="009440E2" w:rsidRPr="009C6BAA">
        <w:rPr>
          <w:rFonts w:ascii="Book Antiqua" w:hAnsi="Book Antiqua"/>
          <w:szCs w:val="24"/>
        </w:rPr>
        <w:t>4</w:t>
      </w:r>
      <w:r w:rsidRPr="009C6BAA">
        <w:rPr>
          <w:rFonts w:ascii="Book Antiqua" w:hAnsi="Book Antiqua"/>
          <w:szCs w:val="24"/>
        </w:rPr>
        <w:t>.-Vigencia.</w:t>
      </w:r>
    </w:p>
    <w:p w14:paraId="11607146" w14:textId="453A057F" w:rsidR="007D2985" w:rsidRPr="009C6BAA" w:rsidRDefault="003A4B63" w:rsidP="009E6485">
      <w:pPr>
        <w:spacing w:line="480" w:lineRule="auto"/>
        <w:ind w:firstLine="360"/>
        <w:jc w:val="both"/>
        <w:rPr>
          <w:rFonts w:ascii="Book Antiqua" w:hAnsi="Book Antiqua"/>
          <w:szCs w:val="24"/>
        </w:rPr>
      </w:pPr>
      <w:r w:rsidRPr="009C6BAA">
        <w:rPr>
          <w:rFonts w:ascii="Book Antiqua" w:hAnsi="Book Antiqua"/>
          <w:szCs w:val="24"/>
        </w:rPr>
        <w:t xml:space="preserve">Esta Ley </w:t>
      </w:r>
      <w:r w:rsidR="00D67391" w:rsidRPr="009C6BAA">
        <w:rPr>
          <w:rFonts w:ascii="Book Antiqua" w:hAnsi="Book Antiqua"/>
          <w:szCs w:val="24"/>
        </w:rPr>
        <w:t xml:space="preserve">comenzará a regir </w:t>
      </w:r>
      <w:r w:rsidR="00981E71">
        <w:rPr>
          <w:rFonts w:ascii="Book Antiqua" w:hAnsi="Book Antiqua"/>
          <w:szCs w:val="24"/>
        </w:rPr>
        <w:t xml:space="preserve">inmediatamente después </w:t>
      </w:r>
      <w:r w:rsidR="00D67391" w:rsidRPr="009C6BAA">
        <w:rPr>
          <w:rFonts w:ascii="Book Antiqua" w:hAnsi="Book Antiqua"/>
          <w:szCs w:val="24"/>
        </w:rPr>
        <w:t>de su aprobación.</w:t>
      </w:r>
    </w:p>
    <w:sectPr w:rsidR="007D2985" w:rsidRPr="009C6BAA" w:rsidSect="00425949">
      <w:type w:val="continuous"/>
      <w:pgSz w:w="12240" w:h="15840" w:code="1"/>
      <w:pgMar w:top="1440" w:right="1440" w:bottom="1440" w:left="1440" w:header="720" w:footer="720" w:gutter="0"/>
      <w:lnNumType w:countBy="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59DF48B" w14:textId="77777777" w:rsidR="00407A0E" w:rsidRDefault="00407A0E">
      <w:r>
        <w:separator/>
      </w:r>
    </w:p>
  </w:endnote>
  <w:endnote w:type="continuationSeparator" w:id="0">
    <w:p w14:paraId="7CE1A168" w14:textId="77777777" w:rsidR="00407A0E" w:rsidRDefault="00407A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MS Mincho">
    <w:panose1 w:val="02020609040205080304"/>
    <w:charset w:val="80"/>
    <w:family w:val="modern"/>
    <w:pitch w:val="fixed"/>
    <w:sig w:usb0="E00002FF" w:usb1="6AC7FDFB" w:usb2="08000012" w:usb3="00000000" w:csb0="0002009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5FE4FA4" w14:textId="77777777" w:rsidR="00407A0E" w:rsidRDefault="00407A0E">
      <w:r>
        <w:separator/>
      </w:r>
    </w:p>
  </w:footnote>
  <w:footnote w:type="continuationSeparator" w:id="0">
    <w:p w14:paraId="184AA3EE" w14:textId="77777777" w:rsidR="00407A0E" w:rsidRDefault="00407A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BB7D764" w14:textId="77777777" w:rsidR="008F1DE6" w:rsidRDefault="008F1DE6">
    <w:pPr>
      <w:pStyle w:val="Encabezado"/>
      <w:jc w:val="center"/>
    </w:pPr>
    <w:r>
      <w:rPr>
        <w:rStyle w:val="Nmerodepgina"/>
      </w:rPr>
      <w:fldChar w:fldCharType="begin"/>
    </w:r>
    <w:r>
      <w:rPr>
        <w:rStyle w:val="Nmerodepgina"/>
      </w:rPr>
      <w:instrText xml:space="preserve"> PAGE </w:instrText>
    </w:r>
    <w:r>
      <w:rPr>
        <w:rStyle w:val="Nmerodepgina"/>
      </w:rPr>
      <w:fldChar w:fldCharType="separate"/>
    </w:r>
    <w:r w:rsidR="008E0AC1">
      <w:rPr>
        <w:rStyle w:val="Nmerodepgina"/>
        <w:noProof/>
      </w:rPr>
      <w:t>2</w:t>
    </w:r>
    <w:r>
      <w:rPr>
        <w:rStyle w:val="Nmerodepgina"/>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B475F3"/>
    <w:multiLevelType w:val="hybridMultilevel"/>
    <w:tmpl w:val="81DEC54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5663D27"/>
    <w:multiLevelType w:val="hybridMultilevel"/>
    <w:tmpl w:val="DFFA26C6"/>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7C83FAB"/>
    <w:multiLevelType w:val="hybridMultilevel"/>
    <w:tmpl w:val="5038092A"/>
    <w:lvl w:ilvl="0" w:tplc="BD9238E0">
      <w:start w:val="1"/>
      <w:numFmt w:val="lowerLetter"/>
      <w:lvlText w:val="(%1)"/>
      <w:lvlJc w:val="left"/>
      <w:pPr>
        <w:ind w:left="1110" w:hanging="39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15:restartNumberingAfterBreak="0">
    <w:nsid w:val="0DE52DDF"/>
    <w:multiLevelType w:val="hybridMultilevel"/>
    <w:tmpl w:val="2F98347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ECF44F3"/>
    <w:multiLevelType w:val="hybridMultilevel"/>
    <w:tmpl w:val="1F347FBE"/>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18AF26C5"/>
    <w:multiLevelType w:val="hybridMultilevel"/>
    <w:tmpl w:val="ABA21376"/>
    <w:lvl w:ilvl="0" w:tplc="C8B08744">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19411667"/>
    <w:multiLevelType w:val="hybridMultilevel"/>
    <w:tmpl w:val="310AA7FA"/>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D53253C"/>
    <w:multiLevelType w:val="hybridMultilevel"/>
    <w:tmpl w:val="F4786230"/>
    <w:lvl w:ilvl="0" w:tplc="F184DFBC">
      <w:start w:val="1"/>
      <w:numFmt w:val="decimal"/>
      <w:lvlText w:val="(%1)"/>
      <w:lvlJc w:val="left"/>
      <w:pPr>
        <w:ind w:left="1080" w:hanging="360"/>
      </w:pPr>
      <w:rPr>
        <w:rFonts w:hint="default"/>
      </w:rPr>
    </w:lvl>
    <w:lvl w:ilvl="1" w:tplc="500A0019" w:tentative="1">
      <w:start w:val="1"/>
      <w:numFmt w:val="lowerLetter"/>
      <w:lvlText w:val="%2."/>
      <w:lvlJc w:val="left"/>
      <w:pPr>
        <w:ind w:left="1800" w:hanging="360"/>
      </w:pPr>
    </w:lvl>
    <w:lvl w:ilvl="2" w:tplc="500A001B" w:tentative="1">
      <w:start w:val="1"/>
      <w:numFmt w:val="lowerRoman"/>
      <w:lvlText w:val="%3."/>
      <w:lvlJc w:val="right"/>
      <w:pPr>
        <w:ind w:left="2520" w:hanging="180"/>
      </w:pPr>
    </w:lvl>
    <w:lvl w:ilvl="3" w:tplc="500A000F" w:tentative="1">
      <w:start w:val="1"/>
      <w:numFmt w:val="decimal"/>
      <w:lvlText w:val="%4."/>
      <w:lvlJc w:val="left"/>
      <w:pPr>
        <w:ind w:left="3240" w:hanging="360"/>
      </w:pPr>
    </w:lvl>
    <w:lvl w:ilvl="4" w:tplc="500A0019" w:tentative="1">
      <w:start w:val="1"/>
      <w:numFmt w:val="lowerLetter"/>
      <w:lvlText w:val="%5."/>
      <w:lvlJc w:val="left"/>
      <w:pPr>
        <w:ind w:left="3960" w:hanging="360"/>
      </w:pPr>
    </w:lvl>
    <w:lvl w:ilvl="5" w:tplc="500A001B" w:tentative="1">
      <w:start w:val="1"/>
      <w:numFmt w:val="lowerRoman"/>
      <w:lvlText w:val="%6."/>
      <w:lvlJc w:val="right"/>
      <w:pPr>
        <w:ind w:left="4680" w:hanging="180"/>
      </w:pPr>
    </w:lvl>
    <w:lvl w:ilvl="6" w:tplc="500A000F" w:tentative="1">
      <w:start w:val="1"/>
      <w:numFmt w:val="decimal"/>
      <w:lvlText w:val="%7."/>
      <w:lvlJc w:val="left"/>
      <w:pPr>
        <w:ind w:left="5400" w:hanging="360"/>
      </w:pPr>
    </w:lvl>
    <w:lvl w:ilvl="7" w:tplc="500A0019" w:tentative="1">
      <w:start w:val="1"/>
      <w:numFmt w:val="lowerLetter"/>
      <w:lvlText w:val="%8."/>
      <w:lvlJc w:val="left"/>
      <w:pPr>
        <w:ind w:left="6120" w:hanging="360"/>
      </w:pPr>
    </w:lvl>
    <w:lvl w:ilvl="8" w:tplc="500A001B" w:tentative="1">
      <w:start w:val="1"/>
      <w:numFmt w:val="lowerRoman"/>
      <w:lvlText w:val="%9."/>
      <w:lvlJc w:val="right"/>
      <w:pPr>
        <w:ind w:left="6840" w:hanging="180"/>
      </w:pPr>
    </w:lvl>
  </w:abstractNum>
  <w:abstractNum w:abstractNumId="8" w15:restartNumberingAfterBreak="0">
    <w:nsid w:val="20895B6C"/>
    <w:multiLevelType w:val="hybridMultilevel"/>
    <w:tmpl w:val="9FD4F5D8"/>
    <w:lvl w:ilvl="0" w:tplc="3B5E1218">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74071FD"/>
    <w:multiLevelType w:val="multilevel"/>
    <w:tmpl w:val="99DC334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2CAE55F1"/>
    <w:multiLevelType w:val="multilevel"/>
    <w:tmpl w:val="80F49F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404382A"/>
    <w:multiLevelType w:val="hybridMultilevel"/>
    <w:tmpl w:val="B4080A5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2" w15:restartNumberingAfterBreak="0">
    <w:nsid w:val="3AAE6D7D"/>
    <w:multiLevelType w:val="hybridMultilevel"/>
    <w:tmpl w:val="22BCE3CA"/>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3" w15:restartNumberingAfterBreak="0">
    <w:nsid w:val="3C762AE5"/>
    <w:multiLevelType w:val="hybridMultilevel"/>
    <w:tmpl w:val="84CE6CAA"/>
    <w:lvl w:ilvl="0" w:tplc="A8A2FDC2">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3DF06E5C"/>
    <w:multiLevelType w:val="hybridMultilevel"/>
    <w:tmpl w:val="7E6441A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3F044FA9"/>
    <w:multiLevelType w:val="hybridMultilevel"/>
    <w:tmpl w:val="6DE42C6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42FD2E1F"/>
    <w:multiLevelType w:val="hybridMultilevel"/>
    <w:tmpl w:val="C6728E1A"/>
    <w:lvl w:ilvl="0" w:tplc="3F749EA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F62DF4"/>
    <w:multiLevelType w:val="hybridMultilevel"/>
    <w:tmpl w:val="404641B0"/>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8" w15:restartNumberingAfterBreak="0">
    <w:nsid w:val="52252518"/>
    <w:multiLevelType w:val="hybridMultilevel"/>
    <w:tmpl w:val="C1520E34"/>
    <w:lvl w:ilvl="0" w:tplc="174AF1CC">
      <w:start w:val="1"/>
      <w:numFmt w:val="lowerLetter"/>
      <w:lvlText w:val="(%1)"/>
      <w:lvlJc w:val="left"/>
      <w:pPr>
        <w:ind w:left="720" w:hanging="360"/>
      </w:pPr>
      <w:rPr>
        <w:rFonts w:hint="default"/>
      </w:rPr>
    </w:lvl>
    <w:lvl w:ilvl="1" w:tplc="500A0019">
      <w:start w:val="1"/>
      <w:numFmt w:val="lowerLetter"/>
      <w:lvlText w:val="%2."/>
      <w:lvlJc w:val="left"/>
      <w:pPr>
        <w:ind w:left="1440" w:hanging="360"/>
      </w:pPr>
    </w:lvl>
    <w:lvl w:ilvl="2" w:tplc="500A001B" w:tentative="1">
      <w:start w:val="1"/>
      <w:numFmt w:val="lowerRoman"/>
      <w:lvlText w:val="%3."/>
      <w:lvlJc w:val="right"/>
      <w:pPr>
        <w:ind w:left="2160" w:hanging="180"/>
      </w:pPr>
    </w:lvl>
    <w:lvl w:ilvl="3" w:tplc="500A000F" w:tentative="1">
      <w:start w:val="1"/>
      <w:numFmt w:val="decimal"/>
      <w:lvlText w:val="%4."/>
      <w:lvlJc w:val="left"/>
      <w:pPr>
        <w:ind w:left="2880" w:hanging="360"/>
      </w:pPr>
    </w:lvl>
    <w:lvl w:ilvl="4" w:tplc="500A0019" w:tentative="1">
      <w:start w:val="1"/>
      <w:numFmt w:val="lowerLetter"/>
      <w:lvlText w:val="%5."/>
      <w:lvlJc w:val="left"/>
      <w:pPr>
        <w:ind w:left="3600" w:hanging="360"/>
      </w:pPr>
    </w:lvl>
    <w:lvl w:ilvl="5" w:tplc="500A001B" w:tentative="1">
      <w:start w:val="1"/>
      <w:numFmt w:val="lowerRoman"/>
      <w:lvlText w:val="%6."/>
      <w:lvlJc w:val="right"/>
      <w:pPr>
        <w:ind w:left="4320" w:hanging="180"/>
      </w:pPr>
    </w:lvl>
    <w:lvl w:ilvl="6" w:tplc="500A000F" w:tentative="1">
      <w:start w:val="1"/>
      <w:numFmt w:val="decimal"/>
      <w:lvlText w:val="%7."/>
      <w:lvlJc w:val="left"/>
      <w:pPr>
        <w:ind w:left="5040" w:hanging="360"/>
      </w:pPr>
    </w:lvl>
    <w:lvl w:ilvl="7" w:tplc="500A0019" w:tentative="1">
      <w:start w:val="1"/>
      <w:numFmt w:val="lowerLetter"/>
      <w:lvlText w:val="%8."/>
      <w:lvlJc w:val="left"/>
      <w:pPr>
        <w:ind w:left="5760" w:hanging="360"/>
      </w:pPr>
    </w:lvl>
    <w:lvl w:ilvl="8" w:tplc="500A001B" w:tentative="1">
      <w:start w:val="1"/>
      <w:numFmt w:val="lowerRoman"/>
      <w:lvlText w:val="%9."/>
      <w:lvlJc w:val="right"/>
      <w:pPr>
        <w:ind w:left="6480" w:hanging="180"/>
      </w:pPr>
    </w:lvl>
  </w:abstractNum>
  <w:abstractNum w:abstractNumId="19" w15:restartNumberingAfterBreak="0">
    <w:nsid w:val="58A912CF"/>
    <w:multiLevelType w:val="hybridMultilevel"/>
    <w:tmpl w:val="967C95CA"/>
    <w:lvl w:ilvl="0" w:tplc="32069C8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D2C2F14"/>
    <w:multiLevelType w:val="hybridMultilevel"/>
    <w:tmpl w:val="82C8BF78"/>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1" w15:restartNumberingAfterBreak="0">
    <w:nsid w:val="6FC80F7B"/>
    <w:multiLevelType w:val="hybridMultilevel"/>
    <w:tmpl w:val="7B40A3F2"/>
    <w:lvl w:ilvl="0" w:tplc="04090019">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2" w15:restartNumberingAfterBreak="0">
    <w:nsid w:val="79910FD6"/>
    <w:multiLevelType w:val="hybridMultilevel"/>
    <w:tmpl w:val="F976A998"/>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7FB2135E"/>
    <w:multiLevelType w:val="hybridMultilevel"/>
    <w:tmpl w:val="779AB164"/>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16cid:durableId="1838184280">
    <w:abstractNumId w:val="9"/>
  </w:num>
  <w:num w:numId="2" w16cid:durableId="1665014715">
    <w:abstractNumId w:val="19"/>
  </w:num>
  <w:num w:numId="3" w16cid:durableId="2135127737">
    <w:abstractNumId w:val="5"/>
  </w:num>
  <w:num w:numId="4" w16cid:durableId="1126658395">
    <w:abstractNumId w:val="18"/>
  </w:num>
  <w:num w:numId="5" w16cid:durableId="1743528321">
    <w:abstractNumId w:val="7"/>
  </w:num>
  <w:num w:numId="6" w16cid:durableId="1685479099">
    <w:abstractNumId w:val="21"/>
  </w:num>
  <w:num w:numId="7" w16cid:durableId="607585477">
    <w:abstractNumId w:val="3"/>
  </w:num>
  <w:num w:numId="8" w16cid:durableId="281422564">
    <w:abstractNumId w:val="12"/>
  </w:num>
  <w:num w:numId="9" w16cid:durableId="215439687">
    <w:abstractNumId w:val="22"/>
  </w:num>
  <w:num w:numId="10" w16cid:durableId="43139925">
    <w:abstractNumId w:val="17"/>
  </w:num>
  <w:num w:numId="11" w16cid:durableId="1808820024">
    <w:abstractNumId w:val="16"/>
  </w:num>
  <w:num w:numId="12" w16cid:durableId="1078089859">
    <w:abstractNumId w:val="1"/>
  </w:num>
  <w:num w:numId="13" w16cid:durableId="1754668907">
    <w:abstractNumId w:val="4"/>
  </w:num>
  <w:num w:numId="14" w16cid:durableId="348869770">
    <w:abstractNumId w:val="0"/>
  </w:num>
  <w:num w:numId="15" w16cid:durableId="1015376257">
    <w:abstractNumId w:val="14"/>
  </w:num>
  <w:num w:numId="16" w16cid:durableId="1519926467">
    <w:abstractNumId w:val="15"/>
  </w:num>
  <w:num w:numId="17" w16cid:durableId="2114589635">
    <w:abstractNumId w:val="20"/>
  </w:num>
  <w:num w:numId="18" w16cid:durableId="691224471">
    <w:abstractNumId w:val="11"/>
  </w:num>
  <w:num w:numId="19" w16cid:durableId="276569777">
    <w:abstractNumId w:val="6"/>
  </w:num>
  <w:num w:numId="20" w16cid:durableId="280579437">
    <w:abstractNumId w:val="8"/>
  </w:num>
  <w:num w:numId="21" w16cid:durableId="1611552297">
    <w:abstractNumId w:val="10"/>
  </w:num>
  <w:num w:numId="22" w16cid:durableId="519587991">
    <w:abstractNumId w:val="23"/>
  </w:num>
  <w:num w:numId="23" w16cid:durableId="894969780">
    <w:abstractNumId w:val="2"/>
  </w:num>
  <w:num w:numId="24" w16cid:durableId="1703357234">
    <w:abstractNumId w:val="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AsambleaNum" w:val="1"/>
    <w:docVar w:name="AsambleaSup" w:val="ra"/>
    <w:docVar w:name="Direccion" w:val="addr1addr2San JuanPR00911"/>
    <w:docVar w:name="FallecimientoDe" w:val="Ramona Solís"/>
    <w:docVar w:name="Fecha" w:val="aaa"/>
    <w:docVar w:name="Mocion_A" w:val="Ricardo Ramos Solís"/>
    <w:docVar w:name="Senador_a1" w:val="El Senador"/>
    <w:docVar w:name="Senador_a2" w:val="Senador"/>
    <w:docVar w:name="Senator_a1" w:val="El Senador"/>
    <w:docVar w:name="Senator_a2" w:val="Senador"/>
    <w:docVar w:name="SesionNum" w:val="2"/>
    <w:docVar w:name="SesionSup" w:val="da"/>
    <w:docVar w:name="SesionTipo" w:val="Ordinaria"/>
  </w:docVars>
  <w:rsids>
    <w:rsidRoot w:val="00BF7072"/>
    <w:rsid w:val="000041D9"/>
    <w:rsid w:val="000045AD"/>
    <w:rsid w:val="00005EC3"/>
    <w:rsid w:val="00011676"/>
    <w:rsid w:val="000120A2"/>
    <w:rsid w:val="000203CC"/>
    <w:rsid w:val="00020BBB"/>
    <w:rsid w:val="00023DA5"/>
    <w:rsid w:val="00025ABC"/>
    <w:rsid w:val="00025B8C"/>
    <w:rsid w:val="00027140"/>
    <w:rsid w:val="0003554D"/>
    <w:rsid w:val="0004425A"/>
    <w:rsid w:val="00045B1F"/>
    <w:rsid w:val="00050F88"/>
    <w:rsid w:val="00051931"/>
    <w:rsid w:val="000529FD"/>
    <w:rsid w:val="00056024"/>
    <w:rsid w:val="00061190"/>
    <w:rsid w:val="000725F2"/>
    <w:rsid w:val="000741B4"/>
    <w:rsid w:val="0008088A"/>
    <w:rsid w:val="00082223"/>
    <w:rsid w:val="000825AD"/>
    <w:rsid w:val="00090888"/>
    <w:rsid w:val="00094DCC"/>
    <w:rsid w:val="000958AD"/>
    <w:rsid w:val="00095AE1"/>
    <w:rsid w:val="000A10E9"/>
    <w:rsid w:val="000A270D"/>
    <w:rsid w:val="000A6B6C"/>
    <w:rsid w:val="000B0DBB"/>
    <w:rsid w:val="000C2E68"/>
    <w:rsid w:val="000D0372"/>
    <w:rsid w:val="000E05DE"/>
    <w:rsid w:val="000E2A95"/>
    <w:rsid w:val="000E3DDD"/>
    <w:rsid w:val="000E7B3E"/>
    <w:rsid w:val="000F03E7"/>
    <w:rsid w:val="000F6AB4"/>
    <w:rsid w:val="000F7EB9"/>
    <w:rsid w:val="001010B3"/>
    <w:rsid w:val="001066D8"/>
    <w:rsid w:val="00110831"/>
    <w:rsid w:val="00111E71"/>
    <w:rsid w:val="00116406"/>
    <w:rsid w:val="0011708D"/>
    <w:rsid w:val="001172D7"/>
    <w:rsid w:val="00117A6C"/>
    <w:rsid w:val="0012680A"/>
    <w:rsid w:val="00126E2E"/>
    <w:rsid w:val="00127C6A"/>
    <w:rsid w:val="001320B0"/>
    <w:rsid w:val="00134BE2"/>
    <w:rsid w:val="001359ED"/>
    <w:rsid w:val="001363FE"/>
    <w:rsid w:val="00147A99"/>
    <w:rsid w:val="00153A10"/>
    <w:rsid w:val="0015598F"/>
    <w:rsid w:val="0017132B"/>
    <w:rsid w:val="0017318E"/>
    <w:rsid w:val="00181281"/>
    <w:rsid w:val="001819DA"/>
    <w:rsid w:val="001856AA"/>
    <w:rsid w:val="001865B5"/>
    <w:rsid w:val="00190928"/>
    <w:rsid w:val="00192A63"/>
    <w:rsid w:val="00193B39"/>
    <w:rsid w:val="00197796"/>
    <w:rsid w:val="001A1E09"/>
    <w:rsid w:val="001A1FF0"/>
    <w:rsid w:val="001A6EFF"/>
    <w:rsid w:val="001B7E93"/>
    <w:rsid w:val="001B7F40"/>
    <w:rsid w:val="001C2B1B"/>
    <w:rsid w:val="001C6881"/>
    <w:rsid w:val="001D1A9A"/>
    <w:rsid w:val="001D3246"/>
    <w:rsid w:val="001D341C"/>
    <w:rsid w:val="001D65B8"/>
    <w:rsid w:val="001D702A"/>
    <w:rsid w:val="001E0632"/>
    <w:rsid w:val="001E4A8E"/>
    <w:rsid w:val="001E6AB2"/>
    <w:rsid w:val="001F0824"/>
    <w:rsid w:val="001F18B1"/>
    <w:rsid w:val="001F336C"/>
    <w:rsid w:val="001F3D94"/>
    <w:rsid w:val="001F4507"/>
    <w:rsid w:val="001F4CA3"/>
    <w:rsid w:val="001F612A"/>
    <w:rsid w:val="0020233B"/>
    <w:rsid w:val="00210ACA"/>
    <w:rsid w:val="00211396"/>
    <w:rsid w:val="00215884"/>
    <w:rsid w:val="002161BF"/>
    <w:rsid w:val="002215C5"/>
    <w:rsid w:val="002238A2"/>
    <w:rsid w:val="00226AE6"/>
    <w:rsid w:val="00231725"/>
    <w:rsid w:val="0023532C"/>
    <w:rsid w:val="00235410"/>
    <w:rsid w:val="00245B34"/>
    <w:rsid w:val="002479AF"/>
    <w:rsid w:val="0025549C"/>
    <w:rsid w:val="0026202E"/>
    <w:rsid w:val="00263355"/>
    <w:rsid w:val="00263FF7"/>
    <w:rsid w:val="002662BC"/>
    <w:rsid w:val="0027065F"/>
    <w:rsid w:val="002733DD"/>
    <w:rsid w:val="00273792"/>
    <w:rsid w:val="002850DE"/>
    <w:rsid w:val="002873F9"/>
    <w:rsid w:val="0029356F"/>
    <w:rsid w:val="002A46F1"/>
    <w:rsid w:val="002B0233"/>
    <w:rsid w:val="002B16DD"/>
    <w:rsid w:val="002C4F8A"/>
    <w:rsid w:val="002C6DA0"/>
    <w:rsid w:val="002C793F"/>
    <w:rsid w:val="002D0147"/>
    <w:rsid w:val="002D3965"/>
    <w:rsid w:val="002D4AC8"/>
    <w:rsid w:val="002D56EE"/>
    <w:rsid w:val="002D6A74"/>
    <w:rsid w:val="002F0F53"/>
    <w:rsid w:val="002F7DE7"/>
    <w:rsid w:val="003200B8"/>
    <w:rsid w:val="00320D78"/>
    <w:rsid w:val="00322448"/>
    <w:rsid w:val="003317FD"/>
    <w:rsid w:val="00334389"/>
    <w:rsid w:val="003365F3"/>
    <w:rsid w:val="00340861"/>
    <w:rsid w:val="003417C2"/>
    <w:rsid w:val="00342039"/>
    <w:rsid w:val="0034701D"/>
    <w:rsid w:val="00350756"/>
    <w:rsid w:val="00355F14"/>
    <w:rsid w:val="0035788A"/>
    <w:rsid w:val="00375429"/>
    <w:rsid w:val="00377362"/>
    <w:rsid w:val="00380FE5"/>
    <w:rsid w:val="00386E33"/>
    <w:rsid w:val="00386F6A"/>
    <w:rsid w:val="00391A2E"/>
    <w:rsid w:val="00391DE3"/>
    <w:rsid w:val="003924DD"/>
    <w:rsid w:val="003936EC"/>
    <w:rsid w:val="00394FCB"/>
    <w:rsid w:val="003963F4"/>
    <w:rsid w:val="003A2EC0"/>
    <w:rsid w:val="003A4B63"/>
    <w:rsid w:val="003A7304"/>
    <w:rsid w:val="003B3369"/>
    <w:rsid w:val="003B477E"/>
    <w:rsid w:val="003B5254"/>
    <w:rsid w:val="003B75A6"/>
    <w:rsid w:val="003C063F"/>
    <w:rsid w:val="003C5160"/>
    <w:rsid w:val="003E2127"/>
    <w:rsid w:val="003E53FB"/>
    <w:rsid w:val="003E78C0"/>
    <w:rsid w:val="003F1038"/>
    <w:rsid w:val="003F2839"/>
    <w:rsid w:val="003F3A3E"/>
    <w:rsid w:val="003F602C"/>
    <w:rsid w:val="004000D4"/>
    <w:rsid w:val="00403D2A"/>
    <w:rsid w:val="00403D3C"/>
    <w:rsid w:val="00404859"/>
    <w:rsid w:val="00405387"/>
    <w:rsid w:val="004061CA"/>
    <w:rsid w:val="00407A0E"/>
    <w:rsid w:val="00411193"/>
    <w:rsid w:val="00411B44"/>
    <w:rsid w:val="00414C08"/>
    <w:rsid w:val="00415689"/>
    <w:rsid w:val="00415C4C"/>
    <w:rsid w:val="00422580"/>
    <w:rsid w:val="00422E2B"/>
    <w:rsid w:val="00424107"/>
    <w:rsid w:val="00424771"/>
    <w:rsid w:val="00425949"/>
    <w:rsid w:val="00433594"/>
    <w:rsid w:val="00433E1B"/>
    <w:rsid w:val="00434247"/>
    <w:rsid w:val="004421CD"/>
    <w:rsid w:val="004434A0"/>
    <w:rsid w:val="004440CB"/>
    <w:rsid w:val="00444D7C"/>
    <w:rsid w:val="00447C54"/>
    <w:rsid w:val="004504C2"/>
    <w:rsid w:val="00450C16"/>
    <w:rsid w:val="0046545D"/>
    <w:rsid w:val="00466965"/>
    <w:rsid w:val="004707F8"/>
    <w:rsid w:val="00470A0A"/>
    <w:rsid w:val="00470F9F"/>
    <w:rsid w:val="004713D2"/>
    <w:rsid w:val="00471DCA"/>
    <w:rsid w:val="004753F4"/>
    <w:rsid w:val="00482143"/>
    <w:rsid w:val="00483DAF"/>
    <w:rsid w:val="00485D39"/>
    <w:rsid w:val="00492705"/>
    <w:rsid w:val="00494867"/>
    <w:rsid w:val="0049639F"/>
    <w:rsid w:val="004A722C"/>
    <w:rsid w:val="004B0201"/>
    <w:rsid w:val="004B0B0F"/>
    <w:rsid w:val="004B293A"/>
    <w:rsid w:val="004B6ABA"/>
    <w:rsid w:val="004C4330"/>
    <w:rsid w:val="004D5A5D"/>
    <w:rsid w:val="004E1A3E"/>
    <w:rsid w:val="004E2361"/>
    <w:rsid w:val="004E7495"/>
    <w:rsid w:val="004F49B9"/>
    <w:rsid w:val="004F7B75"/>
    <w:rsid w:val="00503D1B"/>
    <w:rsid w:val="00506CF7"/>
    <w:rsid w:val="005102C6"/>
    <w:rsid w:val="00521639"/>
    <w:rsid w:val="00524569"/>
    <w:rsid w:val="00530353"/>
    <w:rsid w:val="005324DB"/>
    <w:rsid w:val="00532BB7"/>
    <w:rsid w:val="005332E4"/>
    <w:rsid w:val="0053550C"/>
    <w:rsid w:val="005437E8"/>
    <w:rsid w:val="00546BED"/>
    <w:rsid w:val="00546C6B"/>
    <w:rsid w:val="00552310"/>
    <w:rsid w:val="00552505"/>
    <w:rsid w:val="00553D6C"/>
    <w:rsid w:val="00555018"/>
    <w:rsid w:val="00560B3A"/>
    <w:rsid w:val="005638E3"/>
    <w:rsid w:val="00565404"/>
    <w:rsid w:val="0056721A"/>
    <w:rsid w:val="005723DC"/>
    <w:rsid w:val="00577B83"/>
    <w:rsid w:val="00583D75"/>
    <w:rsid w:val="00583E59"/>
    <w:rsid w:val="00584B9D"/>
    <w:rsid w:val="005869C4"/>
    <w:rsid w:val="005900FE"/>
    <w:rsid w:val="005919D0"/>
    <w:rsid w:val="00593559"/>
    <w:rsid w:val="005942AC"/>
    <w:rsid w:val="00594E0D"/>
    <w:rsid w:val="005C1263"/>
    <w:rsid w:val="005C48C6"/>
    <w:rsid w:val="005D6138"/>
    <w:rsid w:val="005E12A8"/>
    <w:rsid w:val="005F3557"/>
    <w:rsid w:val="005F43E5"/>
    <w:rsid w:val="0060104B"/>
    <w:rsid w:val="00602572"/>
    <w:rsid w:val="00604CDB"/>
    <w:rsid w:val="00605793"/>
    <w:rsid w:val="00605C7E"/>
    <w:rsid w:val="00605D4F"/>
    <w:rsid w:val="00606511"/>
    <w:rsid w:val="00614212"/>
    <w:rsid w:val="00615872"/>
    <w:rsid w:val="006210DC"/>
    <w:rsid w:val="00624AC7"/>
    <w:rsid w:val="00626B9F"/>
    <w:rsid w:val="00631529"/>
    <w:rsid w:val="00632017"/>
    <w:rsid w:val="00634523"/>
    <w:rsid w:val="00636917"/>
    <w:rsid w:val="006423DB"/>
    <w:rsid w:val="0064349D"/>
    <w:rsid w:val="00644F1E"/>
    <w:rsid w:val="00652ADB"/>
    <w:rsid w:val="00652F6D"/>
    <w:rsid w:val="00653EED"/>
    <w:rsid w:val="006548C5"/>
    <w:rsid w:val="00655861"/>
    <w:rsid w:val="00661DE0"/>
    <w:rsid w:val="00662714"/>
    <w:rsid w:val="00672706"/>
    <w:rsid w:val="00674DA8"/>
    <w:rsid w:val="00684085"/>
    <w:rsid w:val="00685549"/>
    <w:rsid w:val="00690BD9"/>
    <w:rsid w:val="00690E1C"/>
    <w:rsid w:val="006A7E74"/>
    <w:rsid w:val="006B0076"/>
    <w:rsid w:val="006B0FF2"/>
    <w:rsid w:val="006B2DC9"/>
    <w:rsid w:val="006B3A86"/>
    <w:rsid w:val="006B3B23"/>
    <w:rsid w:val="006B3E39"/>
    <w:rsid w:val="006B7365"/>
    <w:rsid w:val="006C175C"/>
    <w:rsid w:val="006C2D81"/>
    <w:rsid w:val="006C549E"/>
    <w:rsid w:val="006C7DF8"/>
    <w:rsid w:val="006E1841"/>
    <w:rsid w:val="006E7BCB"/>
    <w:rsid w:val="006F0B49"/>
    <w:rsid w:val="006F0BEB"/>
    <w:rsid w:val="006F4E54"/>
    <w:rsid w:val="006F6109"/>
    <w:rsid w:val="00700225"/>
    <w:rsid w:val="00701B26"/>
    <w:rsid w:val="007051C4"/>
    <w:rsid w:val="0070548B"/>
    <w:rsid w:val="00712864"/>
    <w:rsid w:val="00721923"/>
    <w:rsid w:val="00722C38"/>
    <w:rsid w:val="007242FA"/>
    <w:rsid w:val="00730160"/>
    <w:rsid w:val="00730375"/>
    <w:rsid w:val="0073162E"/>
    <w:rsid w:val="00732A81"/>
    <w:rsid w:val="00732F0C"/>
    <w:rsid w:val="00734F47"/>
    <w:rsid w:val="00740627"/>
    <w:rsid w:val="007433F9"/>
    <w:rsid w:val="00750FC8"/>
    <w:rsid w:val="007533D0"/>
    <w:rsid w:val="00754C10"/>
    <w:rsid w:val="00755069"/>
    <w:rsid w:val="007614EA"/>
    <w:rsid w:val="00766C10"/>
    <w:rsid w:val="00766D67"/>
    <w:rsid w:val="0077509B"/>
    <w:rsid w:val="007753AE"/>
    <w:rsid w:val="007768E9"/>
    <w:rsid w:val="00776CEB"/>
    <w:rsid w:val="00784FAA"/>
    <w:rsid w:val="00786258"/>
    <w:rsid w:val="00792027"/>
    <w:rsid w:val="00797037"/>
    <w:rsid w:val="007A0593"/>
    <w:rsid w:val="007A4682"/>
    <w:rsid w:val="007B0660"/>
    <w:rsid w:val="007C1A25"/>
    <w:rsid w:val="007C29A4"/>
    <w:rsid w:val="007C6A19"/>
    <w:rsid w:val="007C7D2E"/>
    <w:rsid w:val="007D1626"/>
    <w:rsid w:val="007D2985"/>
    <w:rsid w:val="007D53BB"/>
    <w:rsid w:val="007E302C"/>
    <w:rsid w:val="007E3868"/>
    <w:rsid w:val="007E4A29"/>
    <w:rsid w:val="007E5394"/>
    <w:rsid w:val="007E6711"/>
    <w:rsid w:val="007F5A82"/>
    <w:rsid w:val="00801434"/>
    <w:rsid w:val="0080677E"/>
    <w:rsid w:val="00806DB2"/>
    <w:rsid w:val="00812E1B"/>
    <w:rsid w:val="00813444"/>
    <w:rsid w:val="00813FBF"/>
    <w:rsid w:val="00814087"/>
    <w:rsid w:val="0081683B"/>
    <w:rsid w:val="008173C8"/>
    <w:rsid w:val="00820C41"/>
    <w:rsid w:val="00821468"/>
    <w:rsid w:val="00822CE4"/>
    <w:rsid w:val="0082425C"/>
    <w:rsid w:val="00826B8D"/>
    <w:rsid w:val="00832B18"/>
    <w:rsid w:val="00850256"/>
    <w:rsid w:val="00850990"/>
    <w:rsid w:val="00852E71"/>
    <w:rsid w:val="00857830"/>
    <w:rsid w:val="00870383"/>
    <w:rsid w:val="008707CD"/>
    <w:rsid w:val="0087255B"/>
    <w:rsid w:val="00873DC8"/>
    <w:rsid w:val="00874990"/>
    <w:rsid w:val="008755FE"/>
    <w:rsid w:val="00877D66"/>
    <w:rsid w:val="0088703A"/>
    <w:rsid w:val="008929FB"/>
    <w:rsid w:val="00892C7B"/>
    <w:rsid w:val="00893F2E"/>
    <w:rsid w:val="008947E7"/>
    <w:rsid w:val="00897696"/>
    <w:rsid w:val="00897BD8"/>
    <w:rsid w:val="008A26EC"/>
    <w:rsid w:val="008B7DBC"/>
    <w:rsid w:val="008C2EB6"/>
    <w:rsid w:val="008C7227"/>
    <w:rsid w:val="008D2070"/>
    <w:rsid w:val="008D33B4"/>
    <w:rsid w:val="008E0AC1"/>
    <w:rsid w:val="008E547E"/>
    <w:rsid w:val="008E74FF"/>
    <w:rsid w:val="008F080D"/>
    <w:rsid w:val="008F1DE6"/>
    <w:rsid w:val="008F4649"/>
    <w:rsid w:val="008F5C9D"/>
    <w:rsid w:val="00905866"/>
    <w:rsid w:val="009075A2"/>
    <w:rsid w:val="0091086F"/>
    <w:rsid w:val="00911B61"/>
    <w:rsid w:val="009130FB"/>
    <w:rsid w:val="0093638F"/>
    <w:rsid w:val="0093651E"/>
    <w:rsid w:val="0093686F"/>
    <w:rsid w:val="009419AC"/>
    <w:rsid w:val="00942FD4"/>
    <w:rsid w:val="009440E2"/>
    <w:rsid w:val="00945785"/>
    <w:rsid w:val="009506CC"/>
    <w:rsid w:val="00951997"/>
    <w:rsid w:val="00954D83"/>
    <w:rsid w:val="009611B5"/>
    <w:rsid w:val="00961209"/>
    <w:rsid w:val="0096196B"/>
    <w:rsid w:val="009704F0"/>
    <w:rsid w:val="00970CFC"/>
    <w:rsid w:val="00981E71"/>
    <w:rsid w:val="0098290E"/>
    <w:rsid w:val="00990352"/>
    <w:rsid w:val="009934D0"/>
    <w:rsid w:val="00993E78"/>
    <w:rsid w:val="00994B8A"/>
    <w:rsid w:val="00997B5B"/>
    <w:rsid w:val="009A077B"/>
    <w:rsid w:val="009A1B5F"/>
    <w:rsid w:val="009B28AA"/>
    <w:rsid w:val="009C0DB7"/>
    <w:rsid w:val="009C5AD6"/>
    <w:rsid w:val="009C6BAA"/>
    <w:rsid w:val="009D0F09"/>
    <w:rsid w:val="009D2447"/>
    <w:rsid w:val="009D7CC7"/>
    <w:rsid w:val="009E5210"/>
    <w:rsid w:val="009E6485"/>
    <w:rsid w:val="009F0EF6"/>
    <w:rsid w:val="009F2D4B"/>
    <w:rsid w:val="009F7531"/>
    <w:rsid w:val="00A02246"/>
    <w:rsid w:val="00A03405"/>
    <w:rsid w:val="00A04862"/>
    <w:rsid w:val="00A048F6"/>
    <w:rsid w:val="00A07D20"/>
    <w:rsid w:val="00A11999"/>
    <w:rsid w:val="00A1528A"/>
    <w:rsid w:val="00A206D0"/>
    <w:rsid w:val="00A23DEA"/>
    <w:rsid w:val="00A24C11"/>
    <w:rsid w:val="00A306A3"/>
    <w:rsid w:val="00A3331C"/>
    <w:rsid w:val="00A33918"/>
    <w:rsid w:val="00A34888"/>
    <w:rsid w:val="00A37BAA"/>
    <w:rsid w:val="00A501E2"/>
    <w:rsid w:val="00A52694"/>
    <w:rsid w:val="00A52B69"/>
    <w:rsid w:val="00A564D6"/>
    <w:rsid w:val="00A60863"/>
    <w:rsid w:val="00A6272A"/>
    <w:rsid w:val="00A6369B"/>
    <w:rsid w:val="00A64A37"/>
    <w:rsid w:val="00A710CE"/>
    <w:rsid w:val="00A7629F"/>
    <w:rsid w:val="00A7727A"/>
    <w:rsid w:val="00A850A7"/>
    <w:rsid w:val="00A85CEE"/>
    <w:rsid w:val="00A8725E"/>
    <w:rsid w:val="00A94226"/>
    <w:rsid w:val="00AA087D"/>
    <w:rsid w:val="00AA3B13"/>
    <w:rsid w:val="00AB7858"/>
    <w:rsid w:val="00AC15A3"/>
    <w:rsid w:val="00AC68EA"/>
    <w:rsid w:val="00AE1111"/>
    <w:rsid w:val="00AE5430"/>
    <w:rsid w:val="00AE6BD8"/>
    <w:rsid w:val="00AE6F5E"/>
    <w:rsid w:val="00AF0CEE"/>
    <w:rsid w:val="00AF225D"/>
    <w:rsid w:val="00AF2F7E"/>
    <w:rsid w:val="00AF680E"/>
    <w:rsid w:val="00B06480"/>
    <w:rsid w:val="00B44B28"/>
    <w:rsid w:val="00B4571F"/>
    <w:rsid w:val="00B45CF0"/>
    <w:rsid w:val="00B47D0A"/>
    <w:rsid w:val="00B5063A"/>
    <w:rsid w:val="00B5222E"/>
    <w:rsid w:val="00B56216"/>
    <w:rsid w:val="00B56D70"/>
    <w:rsid w:val="00B61BA9"/>
    <w:rsid w:val="00B629B1"/>
    <w:rsid w:val="00B63706"/>
    <w:rsid w:val="00B63B97"/>
    <w:rsid w:val="00B65866"/>
    <w:rsid w:val="00B667AD"/>
    <w:rsid w:val="00B672AC"/>
    <w:rsid w:val="00B81C06"/>
    <w:rsid w:val="00B8390C"/>
    <w:rsid w:val="00B844D5"/>
    <w:rsid w:val="00B84C38"/>
    <w:rsid w:val="00B85BD2"/>
    <w:rsid w:val="00B8685C"/>
    <w:rsid w:val="00B86C00"/>
    <w:rsid w:val="00B87587"/>
    <w:rsid w:val="00B947F6"/>
    <w:rsid w:val="00BA40BB"/>
    <w:rsid w:val="00BB2318"/>
    <w:rsid w:val="00BB2BDD"/>
    <w:rsid w:val="00BB460A"/>
    <w:rsid w:val="00BB5F17"/>
    <w:rsid w:val="00BB66C8"/>
    <w:rsid w:val="00BB70FA"/>
    <w:rsid w:val="00BC7620"/>
    <w:rsid w:val="00BD0D7A"/>
    <w:rsid w:val="00BD1BAA"/>
    <w:rsid w:val="00BD20E5"/>
    <w:rsid w:val="00BD5BE1"/>
    <w:rsid w:val="00BE337B"/>
    <w:rsid w:val="00BE48E6"/>
    <w:rsid w:val="00BF0FEB"/>
    <w:rsid w:val="00BF16AA"/>
    <w:rsid w:val="00BF7072"/>
    <w:rsid w:val="00C07C5C"/>
    <w:rsid w:val="00C13044"/>
    <w:rsid w:val="00C13594"/>
    <w:rsid w:val="00C2441E"/>
    <w:rsid w:val="00C264BF"/>
    <w:rsid w:val="00C265BF"/>
    <w:rsid w:val="00C30B98"/>
    <w:rsid w:val="00C354B8"/>
    <w:rsid w:val="00C4632A"/>
    <w:rsid w:val="00C503DC"/>
    <w:rsid w:val="00C52517"/>
    <w:rsid w:val="00C52CAC"/>
    <w:rsid w:val="00C53335"/>
    <w:rsid w:val="00C60921"/>
    <w:rsid w:val="00C62936"/>
    <w:rsid w:val="00C653F2"/>
    <w:rsid w:val="00C66322"/>
    <w:rsid w:val="00C679E6"/>
    <w:rsid w:val="00C709E5"/>
    <w:rsid w:val="00C70C56"/>
    <w:rsid w:val="00C75D37"/>
    <w:rsid w:val="00C76D14"/>
    <w:rsid w:val="00C8246A"/>
    <w:rsid w:val="00C908F9"/>
    <w:rsid w:val="00CA0917"/>
    <w:rsid w:val="00CA0AB0"/>
    <w:rsid w:val="00CA1099"/>
    <w:rsid w:val="00CA345E"/>
    <w:rsid w:val="00CB2C8E"/>
    <w:rsid w:val="00CB6AEF"/>
    <w:rsid w:val="00CC122F"/>
    <w:rsid w:val="00CC5A58"/>
    <w:rsid w:val="00CD2E0E"/>
    <w:rsid w:val="00CD5EC0"/>
    <w:rsid w:val="00CE39EB"/>
    <w:rsid w:val="00CE4584"/>
    <w:rsid w:val="00CF0503"/>
    <w:rsid w:val="00CF0578"/>
    <w:rsid w:val="00CF0902"/>
    <w:rsid w:val="00CF1F93"/>
    <w:rsid w:val="00D0473C"/>
    <w:rsid w:val="00D06317"/>
    <w:rsid w:val="00D2270B"/>
    <w:rsid w:val="00D243C0"/>
    <w:rsid w:val="00D335F2"/>
    <w:rsid w:val="00D34EEA"/>
    <w:rsid w:val="00D358C0"/>
    <w:rsid w:val="00D36843"/>
    <w:rsid w:val="00D417C2"/>
    <w:rsid w:val="00D447DF"/>
    <w:rsid w:val="00D51652"/>
    <w:rsid w:val="00D60936"/>
    <w:rsid w:val="00D615DE"/>
    <w:rsid w:val="00D62512"/>
    <w:rsid w:val="00D65906"/>
    <w:rsid w:val="00D67391"/>
    <w:rsid w:val="00D67B6E"/>
    <w:rsid w:val="00D709EB"/>
    <w:rsid w:val="00D72937"/>
    <w:rsid w:val="00D74714"/>
    <w:rsid w:val="00D82F3F"/>
    <w:rsid w:val="00D86DA1"/>
    <w:rsid w:val="00D921C6"/>
    <w:rsid w:val="00D92787"/>
    <w:rsid w:val="00D92DD0"/>
    <w:rsid w:val="00D958C2"/>
    <w:rsid w:val="00DA16D9"/>
    <w:rsid w:val="00DA39D3"/>
    <w:rsid w:val="00DA74BD"/>
    <w:rsid w:val="00DB1BB8"/>
    <w:rsid w:val="00DB541B"/>
    <w:rsid w:val="00DB65FB"/>
    <w:rsid w:val="00DB6B56"/>
    <w:rsid w:val="00DC15AC"/>
    <w:rsid w:val="00DC1FD1"/>
    <w:rsid w:val="00DC7122"/>
    <w:rsid w:val="00DC750E"/>
    <w:rsid w:val="00DD30B3"/>
    <w:rsid w:val="00DD51A6"/>
    <w:rsid w:val="00DD799D"/>
    <w:rsid w:val="00DE6FC9"/>
    <w:rsid w:val="00DF0B73"/>
    <w:rsid w:val="00DF0F34"/>
    <w:rsid w:val="00DF1C16"/>
    <w:rsid w:val="00DF1D2F"/>
    <w:rsid w:val="00E03F05"/>
    <w:rsid w:val="00E04AB5"/>
    <w:rsid w:val="00E10162"/>
    <w:rsid w:val="00E10A97"/>
    <w:rsid w:val="00E16CC4"/>
    <w:rsid w:val="00E20591"/>
    <w:rsid w:val="00E20DF2"/>
    <w:rsid w:val="00E233C2"/>
    <w:rsid w:val="00E33C86"/>
    <w:rsid w:val="00E34147"/>
    <w:rsid w:val="00E44C22"/>
    <w:rsid w:val="00E50EEA"/>
    <w:rsid w:val="00E52F58"/>
    <w:rsid w:val="00E53D18"/>
    <w:rsid w:val="00E67128"/>
    <w:rsid w:val="00E67E3B"/>
    <w:rsid w:val="00E777EA"/>
    <w:rsid w:val="00E847CC"/>
    <w:rsid w:val="00E85A29"/>
    <w:rsid w:val="00E90E07"/>
    <w:rsid w:val="00E90ED6"/>
    <w:rsid w:val="00E9215D"/>
    <w:rsid w:val="00E93F16"/>
    <w:rsid w:val="00EA3485"/>
    <w:rsid w:val="00EA6B96"/>
    <w:rsid w:val="00EA715B"/>
    <w:rsid w:val="00EB19FA"/>
    <w:rsid w:val="00EB1F5B"/>
    <w:rsid w:val="00EB4539"/>
    <w:rsid w:val="00EB5479"/>
    <w:rsid w:val="00EC0B92"/>
    <w:rsid w:val="00EC14CD"/>
    <w:rsid w:val="00EC2546"/>
    <w:rsid w:val="00EC26AA"/>
    <w:rsid w:val="00EC6866"/>
    <w:rsid w:val="00ED59A9"/>
    <w:rsid w:val="00ED7A53"/>
    <w:rsid w:val="00EE1E2B"/>
    <w:rsid w:val="00EE1E90"/>
    <w:rsid w:val="00EE4273"/>
    <w:rsid w:val="00EE4603"/>
    <w:rsid w:val="00EF78DA"/>
    <w:rsid w:val="00F00FF1"/>
    <w:rsid w:val="00F02004"/>
    <w:rsid w:val="00F042CB"/>
    <w:rsid w:val="00F04A06"/>
    <w:rsid w:val="00F102F6"/>
    <w:rsid w:val="00F10702"/>
    <w:rsid w:val="00F15C51"/>
    <w:rsid w:val="00F21DDC"/>
    <w:rsid w:val="00F22886"/>
    <w:rsid w:val="00F23355"/>
    <w:rsid w:val="00F251F6"/>
    <w:rsid w:val="00F41F52"/>
    <w:rsid w:val="00F463C3"/>
    <w:rsid w:val="00F601DC"/>
    <w:rsid w:val="00F60A20"/>
    <w:rsid w:val="00F66A5C"/>
    <w:rsid w:val="00F76E9C"/>
    <w:rsid w:val="00F778AD"/>
    <w:rsid w:val="00F81FB9"/>
    <w:rsid w:val="00F83A33"/>
    <w:rsid w:val="00F87C77"/>
    <w:rsid w:val="00F913C5"/>
    <w:rsid w:val="00F92782"/>
    <w:rsid w:val="00F94311"/>
    <w:rsid w:val="00F943C7"/>
    <w:rsid w:val="00F97542"/>
    <w:rsid w:val="00FA28EB"/>
    <w:rsid w:val="00FB572D"/>
    <w:rsid w:val="00FB6BD5"/>
    <w:rsid w:val="00FC0A95"/>
    <w:rsid w:val="00FC3D9C"/>
    <w:rsid w:val="00FD19DC"/>
    <w:rsid w:val="00FD1E46"/>
    <w:rsid w:val="00FE2AD9"/>
    <w:rsid w:val="00FF0153"/>
    <w:rsid w:val="00FF262B"/>
    <w:rsid w:val="00FF4DD7"/>
    <w:rsid w:val="00FF6BD2"/>
    <w:rsid w:val="00FF6CC0"/>
    <w:rsid w:val="00FF788E"/>
    <w:rsid w:val="00FF78A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F830F9"/>
  <w15:docId w15:val="{A3EC84E1-33B8-4FA6-A4E7-3B268A9238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sz w:val="24"/>
      <w:lang w:val="es-PR"/>
    </w:rPr>
  </w:style>
  <w:style w:type="paragraph" w:styleId="Ttulo1">
    <w:name w:val="heading 1"/>
    <w:basedOn w:val="Normal"/>
    <w:next w:val="Normal"/>
    <w:qFormat/>
    <w:pPr>
      <w:keepNext/>
      <w:spacing w:before="240" w:after="60"/>
      <w:outlineLvl w:val="0"/>
    </w:pPr>
    <w:rPr>
      <w:rFonts w:ascii="Arial" w:hAnsi="Arial"/>
      <w:b/>
      <w:kern w:val="28"/>
      <w:sz w:val="28"/>
    </w:rPr>
  </w:style>
  <w:style w:type="paragraph" w:styleId="Ttulo4">
    <w:name w:val="heading 4"/>
    <w:basedOn w:val="Normal"/>
    <w:next w:val="Normal"/>
    <w:link w:val="Ttulo4Car"/>
    <w:uiPriority w:val="9"/>
    <w:semiHidden/>
    <w:unhideWhenUsed/>
    <w:qFormat/>
    <w:rsid w:val="009704F0"/>
    <w:pPr>
      <w:keepNext/>
      <w:keepLines/>
      <w:spacing w:before="40"/>
      <w:outlineLvl w:val="3"/>
    </w:pPr>
    <w:rPr>
      <w:rFonts w:asciiTheme="majorHAnsi" w:eastAsiaTheme="majorEastAsia" w:hAnsiTheme="majorHAnsi" w:cstheme="majorBidi"/>
      <w:i/>
      <w:iCs/>
      <w:color w:val="2E74B5" w:themeColor="accent1" w:themeShade="BF"/>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Nmerodelnea">
    <w:name w:val="line number"/>
    <w:basedOn w:val="Fuentedeprrafopredeter"/>
  </w:style>
  <w:style w:type="paragraph" w:customStyle="1" w:styleId="Title2">
    <w:name w:val="Title2"/>
    <w:basedOn w:val="Normal"/>
    <w:next w:val="Normal"/>
    <w:pPr>
      <w:tabs>
        <w:tab w:val="left" w:pos="648"/>
        <w:tab w:val="right" w:pos="7776"/>
        <w:tab w:val="left" w:pos="7848"/>
      </w:tabs>
    </w:pPr>
  </w:style>
  <w:style w:type="paragraph" w:styleId="Encabezado">
    <w:name w:val="header"/>
    <w:basedOn w:val="Normal"/>
    <w:pPr>
      <w:tabs>
        <w:tab w:val="center" w:pos="4320"/>
        <w:tab w:val="right" w:pos="8640"/>
      </w:tabs>
    </w:pPr>
  </w:style>
  <w:style w:type="paragraph" w:styleId="Piedepgina">
    <w:name w:val="footer"/>
    <w:basedOn w:val="Normal"/>
    <w:pPr>
      <w:tabs>
        <w:tab w:val="center" w:pos="4320"/>
        <w:tab w:val="right" w:pos="8640"/>
      </w:tabs>
    </w:pPr>
  </w:style>
  <w:style w:type="character" w:styleId="Nmerodepgina">
    <w:name w:val="page number"/>
    <w:basedOn w:val="Fuentedeprrafopredeter"/>
  </w:style>
  <w:style w:type="paragraph" w:customStyle="1" w:styleId="Firmas">
    <w:name w:val="Firmas"/>
    <w:basedOn w:val="Normal"/>
    <w:pPr>
      <w:tabs>
        <w:tab w:val="center" w:pos="1440"/>
        <w:tab w:val="center" w:pos="7200"/>
      </w:tabs>
    </w:pPr>
    <w:rPr>
      <w:lang w:val="es-ES_tradnl"/>
    </w:rPr>
  </w:style>
  <w:style w:type="paragraph" w:styleId="Textodeglobo">
    <w:name w:val="Balloon Text"/>
    <w:basedOn w:val="Normal"/>
    <w:link w:val="TextodegloboCar"/>
    <w:uiPriority w:val="99"/>
    <w:semiHidden/>
    <w:unhideWhenUsed/>
    <w:rsid w:val="00FD19DC"/>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FD19DC"/>
    <w:rPr>
      <w:rFonts w:ascii="Segoe UI" w:hAnsi="Segoe UI" w:cs="Segoe UI"/>
      <w:sz w:val="18"/>
      <w:szCs w:val="18"/>
    </w:rPr>
  </w:style>
  <w:style w:type="paragraph" w:customStyle="1" w:styleId="Default">
    <w:name w:val="Default"/>
    <w:rsid w:val="00011676"/>
    <w:pPr>
      <w:widowControl w:val="0"/>
      <w:autoSpaceDE w:val="0"/>
      <w:autoSpaceDN w:val="0"/>
      <w:adjustRightInd w:val="0"/>
    </w:pPr>
    <w:rPr>
      <w:color w:val="000000"/>
      <w:sz w:val="24"/>
      <w:szCs w:val="24"/>
    </w:rPr>
  </w:style>
  <w:style w:type="character" w:styleId="Fuerte">
    <w:name w:val="Strong"/>
    <w:basedOn w:val="Fuentedeprrafopredeter"/>
    <w:uiPriority w:val="22"/>
    <w:qFormat/>
    <w:rsid w:val="007D2985"/>
    <w:rPr>
      <w:b/>
      <w:bCs/>
    </w:rPr>
  </w:style>
  <w:style w:type="paragraph" w:styleId="Prrafodelista">
    <w:name w:val="List Paragraph"/>
    <w:basedOn w:val="Normal"/>
    <w:uiPriority w:val="34"/>
    <w:qFormat/>
    <w:rsid w:val="00D335F2"/>
    <w:pPr>
      <w:ind w:left="720"/>
      <w:contextualSpacing/>
    </w:pPr>
  </w:style>
  <w:style w:type="character" w:customStyle="1" w:styleId="Ttulo4Car">
    <w:name w:val="Título 4 Car"/>
    <w:basedOn w:val="Fuentedeprrafopredeter"/>
    <w:link w:val="Ttulo4"/>
    <w:uiPriority w:val="9"/>
    <w:semiHidden/>
    <w:rsid w:val="009704F0"/>
    <w:rPr>
      <w:rFonts w:asciiTheme="majorHAnsi" w:eastAsiaTheme="majorEastAsia" w:hAnsiTheme="majorHAnsi" w:cstheme="majorBidi"/>
      <w:i/>
      <w:iCs/>
      <w:color w:val="2E74B5" w:themeColor="accent1" w:themeShade="BF"/>
      <w:sz w:val="24"/>
    </w:rPr>
  </w:style>
  <w:style w:type="paragraph" w:styleId="Sinespaciado">
    <w:name w:val="No Spacing"/>
    <w:uiPriority w:val="1"/>
    <w:qFormat/>
    <w:rsid w:val="00C709E5"/>
    <w:rPr>
      <w:sz w:val="24"/>
      <w:lang w:val="es-P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48601449">
      <w:bodyDiv w:val="1"/>
      <w:marLeft w:val="0"/>
      <w:marRight w:val="0"/>
      <w:marTop w:val="0"/>
      <w:marBottom w:val="0"/>
      <w:divBdr>
        <w:top w:val="none" w:sz="0" w:space="0" w:color="auto"/>
        <w:left w:val="none" w:sz="0" w:space="0" w:color="auto"/>
        <w:bottom w:val="none" w:sz="0" w:space="0" w:color="auto"/>
        <w:right w:val="none" w:sz="0" w:space="0" w:color="auto"/>
      </w:divBdr>
    </w:div>
    <w:div w:id="223571376">
      <w:bodyDiv w:val="1"/>
      <w:marLeft w:val="0"/>
      <w:marRight w:val="0"/>
      <w:marTop w:val="0"/>
      <w:marBottom w:val="0"/>
      <w:divBdr>
        <w:top w:val="none" w:sz="0" w:space="0" w:color="auto"/>
        <w:left w:val="none" w:sz="0" w:space="0" w:color="auto"/>
        <w:bottom w:val="none" w:sz="0" w:space="0" w:color="auto"/>
        <w:right w:val="none" w:sz="0" w:space="0" w:color="auto"/>
      </w:divBdr>
    </w:div>
    <w:div w:id="246696481">
      <w:bodyDiv w:val="1"/>
      <w:marLeft w:val="0"/>
      <w:marRight w:val="0"/>
      <w:marTop w:val="0"/>
      <w:marBottom w:val="0"/>
      <w:divBdr>
        <w:top w:val="none" w:sz="0" w:space="0" w:color="auto"/>
        <w:left w:val="none" w:sz="0" w:space="0" w:color="auto"/>
        <w:bottom w:val="none" w:sz="0" w:space="0" w:color="auto"/>
        <w:right w:val="none" w:sz="0" w:space="0" w:color="auto"/>
      </w:divBdr>
    </w:div>
    <w:div w:id="625544384">
      <w:bodyDiv w:val="1"/>
      <w:marLeft w:val="0"/>
      <w:marRight w:val="0"/>
      <w:marTop w:val="0"/>
      <w:marBottom w:val="0"/>
      <w:divBdr>
        <w:top w:val="none" w:sz="0" w:space="0" w:color="auto"/>
        <w:left w:val="none" w:sz="0" w:space="0" w:color="auto"/>
        <w:bottom w:val="none" w:sz="0" w:space="0" w:color="auto"/>
        <w:right w:val="none" w:sz="0" w:space="0" w:color="auto"/>
      </w:divBdr>
    </w:div>
    <w:div w:id="630788117">
      <w:bodyDiv w:val="1"/>
      <w:marLeft w:val="0"/>
      <w:marRight w:val="0"/>
      <w:marTop w:val="0"/>
      <w:marBottom w:val="0"/>
      <w:divBdr>
        <w:top w:val="none" w:sz="0" w:space="0" w:color="auto"/>
        <w:left w:val="none" w:sz="0" w:space="0" w:color="auto"/>
        <w:bottom w:val="none" w:sz="0" w:space="0" w:color="auto"/>
        <w:right w:val="none" w:sz="0" w:space="0" w:color="auto"/>
      </w:divBdr>
    </w:div>
    <w:div w:id="685525570">
      <w:bodyDiv w:val="1"/>
      <w:marLeft w:val="0"/>
      <w:marRight w:val="0"/>
      <w:marTop w:val="0"/>
      <w:marBottom w:val="0"/>
      <w:divBdr>
        <w:top w:val="none" w:sz="0" w:space="0" w:color="auto"/>
        <w:left w:val="none" w:sz="0" w:space="0" w:color="auto"/>
        <w:bottom w:val="none" w:sz="0" w:space="0" w:color="auto"/>
        <w:right w:val="none" w:sz="0" w:space="0" w:color="auto"/>
      </w:divBdr>
    </w:div>
    <w:div w:id="756630787">
      <w:bodyDiv w:val="1"/>
      <w:marLeft w:val="0"/>
      <w:marRight w:val="0"/>
      <w:marTop w:val="0"/>
      <w:marBottom w:val="0"/>
      <w:divBdr>
        <w:top w:val="none" w:sz="0" w:space="0" w:color="auto"/>
        <w:left w:val="none" w:sz="0" w:space="0" w:color="auto"/>
        <w:bottom w:val="none" w:sz="0" w:space="0" w:color="auto"/>
        <w:right w:val="none" w:sz="0" w:space="0" w:color="auto"/>
      </w:divBdr>
    </w:div>
    <w:div w:id="810051874">
      <w:bodyDiv w:val="1"/>
      <w:marLeft w:val="0"/>
      <w:marRight w:val="0"/>
      <w:marTop w:val="0"/>
      <w:marBottom w:val="0"/>
      <w:divBdr>
        <w:top w:val="none" w:sz="0" w:space="0" w:color="auto"/>
        <w:left w:val="none" w:sz="0" w:space="0" w:color="auto"/>
        <w:bottom w:val="none" w:sz="0" w:space="0" w:color="auto"/>
        <w:right w:val="none" w:sz="0" w:space="0" w:color="auto"/>
      </w:divBdr>
    </w:div>
    <w:div w:id="893583420">
      <w:bodyDiv w:val="1"/>
      <w:marLeft w:val="0"/>
      <w:marRight w:val="0"/>
      <w:marTop w:val="0"/>
      <w:marBottom w:val="0"/>
      <w:divBdr>
        <w:top w:val="none" w:sz="0" w:space="0" w:color="auto"/>
        <w:left w:val="none" w:sz="0" w:space="0" w:color="auto"/>
        <w:bottom w:val="none" w:sz="0" w:space="0" w:color="auto"/>
        <w:right w:val="none" w:sz="0" w:space="0" w:color="auto"/>
      </w:divBdr>
    </w:div>
    <w:div w:id="1144009054">
      <w:bodyDiv w:val="1"/>
      <w:marLeft w:val="0"/>
      <w:marRight w:val="0"/>
      <w:marTop w:val="0"/>
      <w:marBottom w:val="0"/>
      <w:divBdr>
        <w:top w:val="none" w:sz="0" w:space="0" w:color="auto"/>
        <w:left w:val="none" w:sz="0" w:space="0" w:color="auto"/>
        <w:bottom w:val="none" w:sz="0" w:space="0" w:color="auto"/>
        <w:right w:val="none" w:sz="0" w:space="0" w:color="auto"/>
      </w:divBdr>
    </w:div>
    <w:div w:id="1205211240">
      <w:bodyDiv w:val="1"/>
      <w:marLeft w:val="0"/>
      <w:marRight w:val="0"/>
      <w:marTop w:val="0"/>
      <w:marBottom w:val="0"/>
      <w:divBdr>
        <w:top w:val="none" w:sz="0" w:space="0" w:color="auto"/>
        <w:left w:val="none" w:sz="0" w:space="0" w:color="auto"/>
        <w:bottom w:val="none" w:sz="0" w:space="0" w:color="auto"/>
        <w:right w:val="none" w:sz="0" w:space="0" w:color="auto"/>
      </w:divBdr>
    </w:div>
    <w:div w:id="1210219770">
      <w:bodyDiv w:val="1"/>
      <w:marLeft w:val="0"/>
      <w:marRight w:val="0"/>
      <w:marTop w:val="0"/>
      <w:marBottom w:val="0"/>
      <w:divBdr>
        <w:top w:val="none" w:sz="0" w:space="0" w:color="auto"/>
        <w:left w:val="none" w:sz="0" w:space="0" w:color="auto"/>
        <w:bottom w:val="none" w:sz="0" w:space="0" w:color="auto"/>
        <w:right w:val="none" w:sz="0" w:space="0" w:color="auto"/>
      </w:divBdr>
    </w:div>
    <w:div w:id="1411849484">
      <w:bodyDiv w:val="1"/>
      <w:marLeft w:val="0"/>
      <w:marRight w:val="0"/>
      <w:marTop w:val="0"/>
      <w:marBottom w:val="0"/>
      <w:divBdr>
        <w:top w:val="none" w:sz="0" w:space="0" w:color="auto"/>
        <w:left w:val="none" w:sz="0" w:space="0" w:color="auto"/>
        <w:bottom w:val="none" w:sz="0" w:space="0" w:color="auto"/>
        <w:right w:val="none" w:sz="0" w:space="0" w:color="auto"/>
      </w:divBdr>
    </w:div>
    <w:div w:id="1474711411">
      <w:bodyDiv w:val="1"/>
      <w:marLeft w:val="0"/>
      <w:marRight w:val="0"/>
      <w:marTop w:val="0"/>
      <w:marBottom w:val="0"/>
      <w:divBdr>
        <w:top w:val="none" w:sz="0" w:space="0" w:color="auto"/>
        <w:left w:val="none" w:sz="0" w:space="0" w:color="auto"/>
        <w:bottom w:val="none" w:sz="0" w:space="0" w:color="auto"/>
        <w:right w:val="none" w:sz="0" w:space="0" w:color="auto"/>
      </w:divBdr>
    </w:div>
    <w:div w:id="1492255082">
      <w:bodyDiv w:val="1"/>
      <w:marLeft w:val="0"/>
      <w:marRight w:val="0"/>
      <w:marTop w:val="0"/>
      <w:marBottom w:val="0"/>
      <w:divBdr>
        <w:top w:val="none" w:sz="0" w:space="0" w:color="auto"/>
        <w:left w:val="none" w:sz="0" w:space="0" w:color="auto"/>
        <w:bottom w:val="none" w:sz="0" w:space="0" w:color="auto"/>
        <w:right w:val="none" w:sz="0" w:space="0" w:color="auto"/>
      </w:divBdr>
    </w:div>
    <w:div w:id="1557744527">
      <w:bodyDiv w:val="1"/>
      <w:marLeft w:val="0"/>
      <w:marRight w:val="0"/>
      <w:marTop w:val="0"/>
      <w:marBottom w:val="0"/>
      <w:divBdr>
        <w:top w:val="none" w:sz="0" w:space="0" w:color="auto"/>
        <w:left w:val="none" w:sz="0" w:space="0" w:color="auto"/>
        <w:bottom w:val="none" w:sz="0" w:space="0" w:color="auto"/>
        <w:right w:val="none" w:sz="0" w:space="0" w:color="auto"/>
      </w:divBdr>
    </w:div>
    <w:div w:id="1607274323">
      <w:bodyDiv w:val="1"/>
      <w:marLeft w:val="0"/>
      <w:marRight w:val="0"/>
      <w:marTop w:val="0"/>
      <w:marBottom w:val="0"/>
      <w:divBdr>
        <w:top w:val="none" w:sz="0" w:space="0" w:color="auto"/>
        <w:left w:val="none" w:sz="0" w:space="0" w:color="auto"/>
        <w:bottom w:val="none" w:sz="0" w:space="0" w:color="auto"/>
        <w:right w:val="none" w:sz="0" w:space="0" w:color="auto"/>
      </w:divBdr>
    </w:div>
    <w:div w:id="1697265416">
      <w:bodyDiv w:val="1"/>
      <w:marLeft w:val="0"/>
      <w:marRight w:val="0"/>
      <w:marTop w:val="0"/>
      <w:marBottom w:val="0"/>
      <w:divBdr>
        <w:top w:val="none" w:sz="0" w:space="0" w:color="auto"/>
        <w:left w:val="none" w:sz="0" w:space="0" w:color="auto"/>
        <w:bottom w:val="none" w:sz="0" w:space="0" w:color="auto"/>
        <w:right w:val="none" w:sz="0" w:space="0" w:color="auto"/>
      </w:divBdr>
    </w:div>
    <w:div w:id="1698896292">
      <w:bodyDiv w:val="1"/>
      <w:marLeft w:val="0"/>
      <w:marRight w:val="0"/>
      <w:marTop w:val="0"/>
      <w:marBottom w:val="0"/>
      <w:divBdr>
        <w:top w:val="none" w:sz="0" w:space="0" w:color="auto"/>
        <w:left w:val="none" w:sz="0" w:space="0" w:color="auto"/>
        <w:bottom w:val="none" w:sz="0" w:space="0" w:color="auto"/>
        <w:right w:val="none" w:sz="0" w:space="0" w:color="auto"/>
      </w:divBdr>
    </w:div>
    <w:div w:id="1731658570">
      <w:bodyDiv w:val="1"/>
      <w:marLeft w:val="0"/>
      <w:marRight w:val="0"/>
      <w:marTop w:val="0"/>
      <w:marBottom w:val="0"/>
      <w:divBdr>
        <w:top w:val="none" w:sz="0" w:space="0" w:color="auto"/>
        <w:left w:val="none" w:sz="0" w:space="0" w:color="auto"/>
        <w:bottom w:val="none" w:sz="0" w:space="0" w:color="auto"/>
        <w:right w:val="none" w:sz="0" w:space="0" w:color="auto"/>
      </w:divBdr>
    </w:div>
    <w:div w:id="1737706451">
      <w:bodyDiv w:val="1"/>
      <w:marLeft w:val="0"/>
      <w:marRight w:val="0"/>
      <w:marTop w:val="0"/>
      <w:marBottom w:val="0"/>
      <w:divBdr>
        <w:top w:val="none" w:sz="0" w:space="0" w:color="auto"/>
        <w:left w:val="none" w:sz="0" w:space="0" w:color="auto"/>
        <w:bottom w:val="none" w:sz="0" w:space="0" w:color="auto"/>
        <w:right w:val="none" w:sz="0" w:space="0" w:color="auto"/>
      </w:divBdr>
    </w:div>
    <w:div w:id="1817601448">
      <w:bodyDiv w:val="1"/>
      <w:marLeft w:val="0"/>
      <w:marRight w:val="0"/>
      <w:marTop w:val="0"/>
      <w:marBottom w:val="0"/>
      <w:divBdr>
        <w:top w:val="none" w:sz="0" w:space="0" w:color="auto"/>
        <w:left w:val="none" w:sz="0" w:space="0" w:color="auto"/>
        <w:bottom w:val="none" w:sz="0" w:space="0" w:color="auto"/>
        <w:right w:val="none" w:sz="0" w:space="0" w:color="auto"/>
      </w:divBdr>
    </w:div>
    <w:div w:id="1886792038">
      <w:bodyDiv w:val="1"/>
      <w:marLeft w:val="0"/>
      <w:marRight w:val="0"/>
      <w:marTop w:val="0"/>
      <w:marBottom w:val="0"/>
      <w:divBdr>
        <w:top w:val="none" w:sz="0" w:space="0" w:color="auto"/>
        <w:left w:val="none" w:sz="0" w:space="0" w:color="auto"/>
        <w:bottom w:val="none" w:sz="0" w:space="0" w:color="auto"/>
        <w:right w:val="none" w:sz="0" w:space="0" w:color="auto"/>
      </w:divBdr>
    </w:div>
    <w:div w:id="2024895266">
      <w:bodyDiv w:val="1"/>
      <w:marLeft w:val="0"/>
      <w:marRight w:val="0"/>
      <w:marTop w:val="0"/>
      <w:marBottom w:val="0"/>
      <w:divBdr>
        <w:top w:val="none" w:sz="0" w:space="0" w:color="auto"/>
        <w:left w:val="none" w:sz="0" w:space="0" w:color="auto"/>
        <w:bottom w:val="none" w:sz="0" w:space="0" w:color="auto"/>
        <w:right w:val="none" w:sz="0" w:space="0" w:color="auto"/>
      </w:divBdr>
    </w:div>
    <w:div w:id="2107144657">
      <w:bodyDiv w:val="1"/>
      <w:marLeft w:val="0"/>
      <w:marRight w:val="0"/>
      <w:marTop w:val="0"/>
      <w:marBottom w:val="0"/>
      <w:divBdr>
        <w:top w:val="none" w:sz="0" w:space="0" w:color="auto"/>
        <w:left w:val="none" w:sz="0" w:space="0" w:color="auto"/>
        <w:bottom w:val="none" w:sz="0" w:space="0" w:color="auto"/>
        <w:right w:val="none" w:sz="0" w:space="0" w:color="auto"/>
      </w:divBdr>
    </w:div>
    <w:div w:id="21233781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openxmlformats.org/officeDocument/2006/relationships/styles" Target="style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ns:customPropertyEditors xmlns:tns="http://schemas.microsoft.com/office/2006/customDocumentInformationPanel">
  <tns:showOnOpen>false</tns:showOnOpen>
  <tns:defaultPropertyEditorNamespace>Standard properties</tns:defaultPropertyEditorNamespace>
</tns:customPropertyEditor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762263-F207-4B2B-ACA7-468B5A6EE03C}">
  <ds:schemaRefs>
    <ds:schemaRef ds:uri="http://schemas.microsoft.com/office/2006/customDocumentInformationPanel"/>
  </ds:schemaRefs>
</ds:datastoreItem>
</file>

<file path=customXml/itemProps2.xml><?xml version="1.0" encoding="utf-8"?>
<ds:datastoreItem xmlns:ds="http://schemas.openxmlformats.org/officeDocument/2006/customXml" ds:itemID="{4961BB8B-894C-457A-AD17-EAE447A45D7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4</Pages>
  <Words>1036</Words>
  <Characters>5906</Characters>
  <Application>Microsoft Office Word</Application>
  <DocSecurity>0</DocSecurity>
  <Lines>49</Lines>
  <Paragraphs>13</Paragraphs>
  <ScaleCrop>false</ScaleCrop>
  <HeadingPairs>
    <vt:vector size="2" baseType="variant">
      <vt:variant>
        <vt:lpstr>Title</vt:lpstr>
      </vt:variant>
      <vt:variant>
        <vt:i4>1</vt:i4>
      </vt:variant>
    </vt:vector>
  </HeadingPairs>
  <TitlesOfParts>
    <vt:vector size="1" baseType="lpstr">
      <vt:lpstr>asesora - IT</vt:lpstr>
    </vt:vector>
  </TitlesOfParts>
  <Company> </Company>
  <LinksUpToDate>false</LinksUpToDate>
  <CharactersWithSpaces>6929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asesora - IT</dc:title>
  <dc:subject/>
  <dc:creator>Alexis M. Rivera Burgos</dc:creator>
  <cp:keywords/>
  <cp:lastModifiedBy>Rocío Alayón Morell</cp:lastModifiedBy>
  <cp:revision>3</cp:revision>
  <cp:lastPrinted>2026-05-05T17:02:00Z</cp:lastPrinted>
  <dcterms:created xsi:type="dcterms:W3CDTF">2026-05-06T18:07:00Z</dcterms:created>
  <dcterms:modified xsi:type="dcterms:W3CDTF">2026-05-07T13:49:00Z</dcterms:modified>
</cp:coreProperties>
</file>