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9B696A">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287FA095" w:rsidR="007223FC" w:rsidRPr="00C242C9" w:rsidRDefault="00C24E41" w:rsidP="00C24E41">
      <w:pPr>
        <w:pStyle w:val="Title2"/>
        <w:tabs>
          <w:tab w:val="clear" w:pos="648"/>
          <w:tab w:val="clear" w:pos="7776"/>
          <w:tab w:val="clear" w:pos="7848"/>
        </w:tabs>
        <w:rPr>
          <w:rFonts w:ascii="Book Antiqua" w:hAnsi="Book Antiqua"/>
          <w:lang w:val="es-PR"/>
        </w:rPr>
      </w:pPr>
      <w:r w:rsidRPr="00C242C9">
        <w:rPr>
          <w:rFonts w:ascii="Book Antiqua" w:hAnsi="Book Antiqua"/>
          <w:lang w:val="es-PR"/>
        </w:rPr>
        <w:t>20ma.</w:t>
      </w:r>
      <w:r w:rsidR="007223FC" w:rsidRPr="00C242C9">
        <w:rPr>
          <w:rFonts w:ascii="Book Antiqua" w:hAnsi="Book Antiqua"/>
          <w:lang w:val="es-PR"/>
        </w:rPr>
        <w:tab/>
        <w:t>Asamblea</w:t>
      </w:r>
      <w:r w:rsidR="007223FC" w:rsidRPr="00C242C9">
        <w:rPr>
          <w:rFonts w:ascii="Book Antiqua" w:hAnsi="Book Antiqua"/>
          <w:lang w:val="es-PR"/>
        </w:rPr>
        <w:tab/>
      </w:r>
      <w:r w:rsidRPr="00C242C9">
        <w:rPr>
          <w:rFonts w:ascii="Book Antiqua" w:hAnsi="Book Antiqua"/>
          <w:lang w:val="es-PR"/>
        </w:rPr>
        <w:tab/>
      </w:r>
      <w:r w:rsidRPr="00C242C9">
        <w:rPr>
          <w:rFonts w:ascii="Book Antiqua" w:hAnsi="Book Antiqua"/>
          <w:lang w:val="es-PR"/>
        </w:rPr>
        <w:tab/>
      </w:r>
      <w:r w:rsidRPr="00C242C9">
        <w:rPr>
          <w:rFonts w:ascii="Book Antiqua" w:hAnsi="Book Antiqua"/>
          <w:lang w:val="es-PR"/>
        </w:rPr>
        <w:tab/>
      </w:r>
      <w:r w:rsidRPr="00C242C9">
        <w:rPr>
          <w:rFonts w:ascii="Book Antiqua" w:hAnsi="Book Antiqua"/>
          <w:lang w:val="es-PR"/>
        </w:rPr>
        <w:tab/>
      </w:r>
      <w:r w:rsidRPr="00C242C9">
        <w:rPr>
          <w:rFonts w:ascii="Book Antiqua" w:hAnsi="Book Antiqua"/>
          <w:lang w:val="es-PR"/>
        </w:rPr>
        <w:tab/>
      </w:r>
      <w:r w:rsidRPr="00C242C9">
        <w:rPr>
          <w:rFonts w:ascii="Book Antiqua" w:hAnsi="Book Antiqua"/>
          <w:lang w:val="es-PR"/>
        </w:rPr>
        <w:tab/>
      </w:r>
      <w:r w:rsidRPr="00C242C9">
        <w:rPr>
          <w:rFonts w:ascii="Book Antiqua" w:hAnsi="Book Antiqua"/>
          <w:lang w:val="es-PR"/>
        </w:rPr>
        <w:tab/>
        <w:t xml:space="preserve">     3ra. </w:t>
      </w:r>
      <w:r w:rsidR="007223FC" w:rsidRPr="00C242C9">
        <w:rPr>
          <w:rFonts w:ascii="Book Antiqua" w:hAnsi="Book Antiqua"/>
          <w:lang w:val="es-PR"/>
        </w:rPr>
        <w:t>Sesión</w:t>
      </w:r>
    </w:p>
    <w:p w14:paraId="6119718E" w14:textId="7DFB8339" w:rsidR="007223FC" w:rsidRPr="00C242C9" w:rsidRDefault="007223FC" w:rsidP="00C24E41">
      <w:pPr>
        <w:pStyle w:val="Title2"/>
        <w:tabs>
          <w:tab w:val="clear" w:pos="648"/>
          <w:tab w:val="clear" w:pos="7776"/>
          <w:tab w:val="clear" w:pos="7848"/>
        </w:tabs>
        <w:rPr>
          <w:rFonts w:ascii="Book Antiqua" w:hAnsi="Book Antiqua"/>
          <w:lang w:val="es-PR"/>
        </w:rPr>
      </w:pPr>
      <w:r w:rsidRPr="00C242C9">
        <w:rPr>
          <w:rFonts w:ascii="Book Antiqua" w:hAnsi="Book Antiqua"/>
          <w:lang w:val="es-PR"/>
        </w:rPr>
        <w:tab/>
        <w:t>Legislativa</w:t>
      </w:r>
      <w:r w:rsidRPr="00C242C9">
        <w:rPr>
          <w:rFonts w:ascii="Book Antiqua" w:hAnsi="Book Antiqua"/>
          <w:lang w:val="es-PR"/>
        </w:rPr>
        <w:tab/>
      </w:r>
      <w:r w:rsidRPr="00C242C9">
        <w:rPr>
          <w:rFonts w:ascii="Book Antiqua" w:hAnsi="Book Antiqua"/>
          <w:lang w:val="es-PR"/>
        </w:rPr>
        <w:tab/>
      </w:r>
      <w:r w:rsidR="00C24E41" w:rsidRPr="00C242C9">
        <w:rPr>
          <w:rFonts w:ascii="Book Antiqua" w:hAnsi="Book Antiqua"/>
          <w:lang w:val="es-PR"/>
        </w:rPr>
        <w:tab/>
      </w:r>
      <w:r w:rsidR="00C24E41" w:rsidRPr="00C242C9">
        <w:rPr>
          <w:rFonts w:ascii="Book Antiqua" w:hAnsi="Book Antiqua"/>
          <w:lang w:val="es-PR"/>
        </w:rPr>
        <w:tab/>
      </w:r>
      <w:r w:rsidR="00C24E41" w:rsidRPr="00C242C9">
        <w:rPr>
          <w:rFonts w:ascii="Book Antiqua" w:hAnsi="Book Antiqua"/>
          <w:lang w:val="es-PR"/>
        </w:rPr>
        <w:tab/>
      </w:r>
      <w:r w:rsidR="00C24E41" w:rsidRPr="00C242C9">
        <w:rPr>
          <w:rFonts w:ascii="Book Antiqua" w:hAnsi="Book Antiqua"/>
          <w:lang w:val="es-PR"/>
        </w:rPr>
        <w:tab/>
      </w:r>
      <w:r w:rsidR="00C24E41" w:rsidRPr="00C242C9">
        <w:rPr>
          <w:rFonts w:ascii="Book Antiqua" w:hAnsi="Book Antiqua"/>
          <w:lang w:val="es-PR"/>
        </w:rPr>
        <w:tab/>
      </w:r>
      <w:r w:rsidR="00C24E41" w:rsidRPr="00C242C9">
        <w:rPr>
          <w:rFonts w:ascii="Book Antiqua" w:hAnsi="Book Antiqua"/>
          <w:lang w:val="es-PR"/>
        </w:rPr>
        <w:tab/>
      </w:r>
      <w:r w:rsidR="00C24E41" w:rsidRPr="00C242C9">
        <w:rPr>
          <w:rFonts w:ascii="Book Antiqua" w:hAnsi="Book Antiqua"/>
          <w:lang w:val="es-PR"/>
        </w:rPr>
        <w:tab/>
      </w:r>
      <w:r w:rsidRPr="00C242C9">
        <w:rPr>
          <w:rFonts w:ascii="Book Antiqua" w:hAnsi="Book Antiqua"/>
          <w:lang w:val="es-PR"/>
        </w:rPr>
        <w:t>Ordinaria</w:t>
      </w:r>
    </w:p>
    <w:p w14:paraId="2826346C" w14:textId="77777777" w:rsidR="007223FC" w:rsidRPr="00C242C9" w:rsidRDefault="007223FC" w:rsidP="00C24E41">
      <w:pPr>
        <w:rPr>
          <w:rFonts w:ascii="Book Antiqua" w:hAnsi="Book Antiqua"/>
          <w:lang w:val="es-PR"/>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32E6674F"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F45A24">
        <w:rPr>
          <w:rFonts w:ascii="Book Antiqua" w:hAnsi="Book Antiqua"/>
          <w:b/>
          <w:sz w:val="52"/>
          <w:lang w:val="es-ES_tradnl"/>
        </w:rPr>
        <w:t xml:space="preserve"> 693</w:t>
      </w:r>
    </w:p>
    <w:p w14:paraId="4FB5DD3D" w14:textId="6974E6E7" w:rsidR="001E0D88" w:rsidRPr="001E0D88" w:rsidRDefault="001E0D88" w:rsidP="001E0D88">
      <w:pPr>
        <w:jc w:val="center"/>
        <w:rPr>
          <w:rFonts w:ascii="Book Antiqua" w:hAnsi="Book Antiqua"/>
          <w:b/>
          <w:szCs w:val="24"/>
          <w:lang w:val="es-ES_tradnl"/>
        </w:rPr>
      </w:pPr>
    </w:p>
    <w:p w14:paraId="12915E35" w14:textId="78E7041A" w:rsidR="007223FC" w:rsidRDefault="00A94DDD" w:rsidP="001E0D88">
      <w:pPr>
        <w:jc w:val="center"/>
        <w:rPr>
          <w:rFonts w:ascii="Book Antiqua" w:hAnsi="Book Antiqua"/>
          <w:lang w:val="es-ES_tradnl"/>
        </w:rPr>
      </w:pPr>
      <w:r>
        <w:rPr>
          <w:rFonts w:ascii="Book Antiqua" w:hAnsi="Book Antiqua"/>
          <w:lang w:val="es-ES_tradnl"/>
        </w:rPr>
        <w:t>5</w:t>
      </w:r>
      <w:r w:rsidR="002171CA">
        <w:rPr>
          <w:rFonts w:ascii="Book Antiqua" w:hAnsi="Book Antiqua"/>
          <w:lang w:val="es-ES_tradnl"/>
        </w:rPr>
        <w:t xml:space="preserve"> </w:t>
      </w:r>
      <w:r w:rsidR="00E03207">
        <w:rPr>
          <w:rFonts w:ascii="Book Antiqua" w:hAnsi="Book Antiqua"/>
          <w:lang w:val="es-ES_tradnl"/>
        </w:rPr>
        <w:t xml:space="preserve">DE </w:t>
      </w:r>
      <w:r w:rsidR="00DA67AA">
        <w:rPr>
          <w:rFonts w:ascii="Book Antiqua" w:hAnsi="Book Antiqua"/>
          <w:lang w:val="es-ES_tradnl"/>
        </w:rPr>
        <w:t>MAYO</w:t>
      </w:r>
      <w:r w:rsidR="001D6647">
        <w:rPr>
          <w:rFonts w:ascii="Book Antiqua" w:hAnsi="Book Antiqua"/>
          <w:lang w:val="es-ES_tradnl"/>
        </w:rPr>
        <w:t xml:space="preserve"> </w:t>
      </w:r>
      <w:r w:rsidR="007223FC">
        <w:rPr>
          <w:rFonts w:ascii="Book Antiqua" w:hAnsi="Book Antiqua"/>
          <w:lang w:val="es-ES_tradnl"/>
        </w:rPr>
        <w:t>DE 202</w:t>
      </w:r>
      <w:r w:rsidR="001C42D4">
        <w:rPr>
          <w:rFonts w:ascii="Book Antiqua" w:hAnsi="Book Antiqua"/>
          <w:lang w:val="es-ES_tradnl"/>
        </w:rPr>
        <w:t>6</w:t>
      </w:r>
    </w:p>
    <w:p w14:paraId="1DA12E69" w14:textId="77777777" w:rsidR="002E59C0" w:rsidRPr="000369FF" w:rsidRDefault="002E59C0" w:rsidP="002E59C0">
      <w:pPr>
        <w:jc w:val="center"/>
        <w:rPr>
          <w:rFonts w:ascii="Book Antiqua" w:hAnsi="Book Antiqua"/>
          <w:lang w:val="es-ES_tradnl"/>
        </w:rPr>
      </w:pPr>
    </w:p>
    <w:p w14:paraId="4B7E216D" w14:textId="70316CC6" w:rsidR="002E59C0" w:rsidRPr="00C338B0" w:rsidRDefault="002E59C0" w:rsidP="0041111D">
      <w:pPr>
        <w:ind w:left="810" w:hanging="900"/>
        <w:jc w:val="center"/>
        <w:rPr>
          <w:rFonts w:ascii="Book Antiqua" w:hAnsi="Book Antiqua"/>
          <w:i/>
          <w:iCs/>
          <w:lang w:val="es-ES"/>
        </w:rPr>
      </w:pPr>
      <w:r w:rsidRPr="000369FF">
        <w:rPr>
          <w:rFonts w:ascii="Book Antiqua" w:hAnsi="Book Antiqua"/>
          <w:lang w:val="es-ES_tradnl"/>
        </w:rPr>
        <w:t>Presentad</w:t>
      </w:r>
      <w:r>
        <w:rPr>
          <w:rFonts w:ascii="Book Antiqua" w:hAnsi="Book Antiqua"/>
          <w:lang w:val="es-ES_tradnl"/>
        </w:rPr>
        <w:t>a</w:t>
      </w:r>
      <w:r w:rsidRPr="000369FF">
        <w:rPr>
          <w:rFonts w:ascii="Book Antiqua" w:hAnsi="Book Antiqua"/>
          <w:lang w:val="es-ES_tradnl"/>
        </w:rPr>
        <w:t xml:space="preserve"> por </w:t>
      </w:r>
      <w:r w:rsidR="00A94DDD">
        <w:rPr>
          <w:rFonts w:ascii="Book Antiqua" w:hAnsi="Book Antiqua"/>
          <w:lang w:val="es-ES_tradnl"/>
        </w:rPr>
        <w:t>el</w:t>
      </w:r>
      <w:r w:rsidRPr="00460923">
        <w:rPr>
          <w:rFonts w:ascii="Book Antiqua" w:hAnsi="Book Antiqua"/>
          <w:lang w:val="es-ES_tradnl"/>
        </w:rPr>
        <w:t xml:space="preserve"> representante </w:t>
      </w:r>
      <w:r w:rsidRPr="00460923">
        <w:rPr>
          <w:rFonts w:ascii="Book Antiqua" w:hAnsi="Book Antiqua"/>
          <w:i/>
          <w:iCs/>
          <w:lang w:val="es-ES"/>
        </w:rPr>
        <w:t>Ferrer Santiago</w:t>
      </w:r>
    </w:p>
    <w:p w14:paraId="6B41298E" w14:textId="77777777" w:rsidR="001E0D88" w:rsidRPr="002E59C0" w:rsidRDefault="001E0D88" w:rsidP="00D2391F">
      <w:pPr>
        <w:rPr>
          <w:rFonts w:ascii="Book Antiqua" w:hAnsi="Book Antiqua"/>
          <w:lang w:val="es-ES"/>
        </w:rPr>
      </w:pPr>
    </w:p>
    <w:p w14:paraId="7E5306B6" w14:textId="21A8AE71" w:rsidR="00657554" w:rsidRDefault="00657554" w:rsidP="00657554">
      <w:pPr>
        <w:jc w:val="center"/>
        <w:rPr>
          <w:rFonts w:ascii="Book Antiqua" w:hAnsi="Book Antiqua"/>
          <w:lang w:val="es-ES_tradnl"/>
        </w:rPr>
      </w:pPr>
      <w:r>
        <w:rPr>
          <w:rFonts w:ascii="Book Antiqua" w:hAnsi="Book Antiqua"/>
          <w:lang w:val="es-ES_tradnl"/>
        </w:rPr>
        <w:t>Referida a</w:t>
      </w:r>
      <w:r w:rsidR="00C242C9">
        <w:rPr>
          <w:rFonts w:ascii="Book Antiqua" w:hAnsi="Book Antiqua"/>
          <w:lang w:val="es-ES_tradnl"/>
        </w:rPr>
        <w:t xml:space="preserve">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3B9E6B45" w14:textId="64FA2AB5" w:rsidR="00152A06" w:rsidRPr="00701991" w:rsidRDefault="00FD2623" w:rsidP="00C242C9">
      <w:pPr>
        <w:ind w:left="720" w:hanging="720"/>
        <w:jc w:val="both"/>
        <w:rPr>
          <w:rFonts w:ascii="Book Antiqua" w:hAnsi="Book Antiqua"/>
          <w:lang w:val="es-PR"/>
        </w:rPr>
      </w:pPr>
      <w:r w:rsidRPr="00FD2623">
        <w:rPr>
          <w:rFonts w:ascii="Book Antiqua" w:hAnsi="Book Antiqua"/>
          <w:lang w:val="es-ES_tradnl"/>
        </w:rPr>
        <w:t xml:space="preserve">Para </w:t>
      </w:r>
      <w:r w:rsidR="00243CC2" w:rsidRPr="002248C4">
        <w:rPr>
          <w:rFonts w:ascii="Book Antiqua" w:hAnsi="Book Antiqua"/>
          <w:lang w:val="es-PR"/>
        </w:rPr>
        <w:t xml:space="preserve">ordenar a la Comisión de </w:t>
      </w:r>
      <w:r w:rsidR="00A94DDD">
        <w:rPr>
          <w:rFonts w:ascii="Book Antiqua" w:hAnsi="Book Antiqua"/>
          <w:lang w:val="es-PR"/>
        </w:rPr>
        <w:t>Seguridad Pública</w:t>
      </w:r>
      <w:r w:rsidR="00243CC2" w:rsidRPr="002248C4">
        <w:rPr>
          <w:rFonts w:ascii="Book Antiqua" w:hAnsi="Book Antiqua"/>
          <w:lang w:val="es-PR"/>
        </w:rPr>
        <w:t xml:space="preserve"> de la Cámara de Representantes que realice una investigación</w:t>
      </w:r>
      <w:r w:rsidR="00BD7181">
        <w:rPr>
          <w:rFonts w:ascii="Book Antiqua" w:hAnsi="Book Antiqua"/>
          <w:lang w:val="es-PR"/>
        </w:rPr>
        <w:t xml:space="preserve"> </w:t>
      </w:r>
      <w:r w:rsidR="000A5AF7">
        <w:rPr>
          <w:rFonts w:ascii="Book Antiqua" w:hAnsi="Book Antiqua"/>
          <w:lang w:val="es-PR"/>
        </w:rPr>
        <w:t>sobr</w:t>
      </w:r>
      <w:r w:rsidR="00A94DDD">
        <w:rPr>
          <w:rFonts w:ascii="Book Antiqua" w:hAnsi="Book Antiqua"/>
          <w:lang w:val="es-PR"/>
        </w:rPr>
        <w:t xml:space="preserve">e </w:t>
      </w:r>
      <w:r w:rsidR="0087658B">
        <w:rPr>
          <w:rFonts w:ascii="Book Antiqua" w:hAnsi="Book Antiqua"/>
          <w:lang w:val="es-PR"/>
        </w:rPr>
        <w:t xml:space="preserve">el presunto esquema de trasiego de drogas a cambio de votos de los confinados en el proceso eleccionario de 2024; </w:t>
      </w:r>
      <w:r w:rsidR="001A3C9D">
        <w:rPr>
          <w:rFonts w:ascii="Book Antiqua" w:hAnsi="Book Antiqua"/>
          <w:lang w:val="es-PR"/>
        </w:rPr>
        <w:t xml:space="preserve">si el Departamento de Corrección y Rehabilitación (DCR) fue notificado de la existencia de una </w:t>
      </w:r>
      <w:r w:rsidR="001A3C9D" w:rsidRPr="00701991">
        <w:rPr>
          <w:rFonts w:ascii="Book Antiqua" w:hAnsi="Book Antiqua"/>
          <w:lang w:val="es-PR"/>
        </w:rPr>
        <w:t xml:space="preserve">investigación federal sobre gangas presionando a confinados para que votaran de cierta manera, y si cooperó con la misma o recibió requerimientos por parte de cualquier agencia federal; </w:t>
      </w:r>
      <w:r w:rsidR="0087658B" w:rsidRPr="00701991">
        <w:rPr>
          <w:rFonts w:ascii="Book Antiqua" w:hAnsi="Book Antiqua"/>
          <w:lang w:val="es-PR"/>
        </w:rPr>
        <w:t>si empleados del DCR estaban involucrados en la operación clandestina</w:t>
      </w:r>
      <w:r w:rsidR="001A3C9D" w:rsidRPr="00701991">
        <w:rPr>
          <w:rFonts w:ascii="Book Antiqua" w:hAnsi="Book Antiqua"/>
          <w:lang w:val="es-PR"/>
        </w:rPr>
        <w:t>, y si hubo pesquisas internas del DCR al respecto, incluyendo su resolución</w:t>
      </w:r>
      <w:r w:rsidR="0087658B" w:rsidRPr="00701991">
        <w:rPr>
          <w:rFonts w:ascii="Book Antiqua" w:hAnsi="Book Antiqua"/>
          <w:lang w:val="es-PR"/>
        </w:rPr>
        <w:t>; si campañas políticas en Puerto Rico participaron activamente</w:t>
      </w:r>
      <w:r w:rsidR="005C236B" w:rsidRPr="00701991">
        <w:rPr>
          <w:rFonts w:ascii="Book Antiqua" w:hAnsi="Book Antiqua"/>
          <w:lang w:val="es-PR"/>
        </w:rPr>
        <w:t xml:space="preserve"> del esquema</w:t>
      </w:r>
      <w:r w:rsidR="0087658B" w:rsidRPr="00701991">
        <w:rPr>
          <w:rFonts w:ascii="Book Antiqua" w:hAnsi="Book Antiqua"/>
          <w:lang w:val="es-PR"/>
        </w:rPr>
        <w:t xml:space="preserve"> para </w:t>
      </w:r>
      <w:r w:rsidR="001A3C9D" w:rsidRPr="00701991">
        <w:rPr>
          <w:rFonts w:ascii="Book Antiqua" w:hAnsi="Book Antiqua"/>
          <w:lang w:val="es-PR"/>
        </w:rPr>
        <w:t>obtener un beneficio electoral</w:t>
      </w:r>
      <w:r w:rsidR="0087658B" w:rsidRPr="00701991">
        <w:rPr>
          <w:rFonts w:ascii="Book Antiqua" w:hAnsi="Book Antiqua"/>
          <w:lang w:val="es-PR"/>
        </w:rPr>
        <w:t xml:space="preserve">; si hubo concesión </w:t>
      </w:r>
      <w:r w:rsidR="001A3C9D" w:rsidRPr="00701991">
        <w:rPr>
          <w:rFonts w:ascii="Book Antiqua" w:hAnsi="Book Antiqua"/>
          <w:lang w:val="es-PR"/>
        </w:rPr>
        <w:t>de privilegios a confinados que votaron de determinada manera</w:t>
      </w:r>
      <w:r w:rsidR="003B0B8A" w:rsidRPr="00701991">
        <w:rPr>
          <w:rFonts w:ascii="Book Antiqua" w:hAnsi="Book Antiqua"/>
          <w:lang w:val="es-PR"/>
        </w:rPr>
        <w:t xml:space="preserve"> o, por el contrario, castigos a quienes no siguieran dichas instrucciones</w:t>
      </w:r>
      <w:r w:rsidR="001A3C9D" w:rsidRPr="00701991">
        <w:rPr>
          <w:rFonts w:ascii="Book Antiqua" w:hAnsi="Book Antiqua"/>
          <w:lang w:val="es-PR"/>
        </w:rPr>
        <w:t xml:space="preserve">; </w:t>
      </w:r>
      <w:r w:rsidR="000B5F20" w:rsidRPr="00701991">
        <w:rPr>
          <w:rFonts w:ascii="Book Antiqua" w:hAnsi="Book Antiqua"/>
          <w:lang w:val="es-PR"/>
        </w:rPr>
        <w:t>qué medidas de seguridad o protocolos adoptó el DCR luego de la acusación federal contra la ganga Grupo 31, también conocid</w:t>
      </w:r>
      <w:r w:rsidR="009A75D3">
        <w:rPr>
          <w:rFonts w:ascii="Book Antiqua" w:hAnsi="Book Antiqua"/>
          <w:lang w:val="es-PR"/>
        </w:rPr>
        <w:t>a</w:t>
      </w:r>
      <w:r w:rsidR="000B5F20" w:rsidRPr="00701991">
        <w:rPr>
          <w:rFonts w:ascii="Book Antiqua" w:hAnsi="Book Antiqua"/>
          <w:lang w:val="es-PR"/>
        </w:rPr>
        <w:t xml:space="preserve"> como “Los Tiburones”, en diciembre de 2024;</w:t>
      </w:r>
      <w:r w:rsidR="00EB2B03" w:rsidRPr="00701991">
        <w:rPr>
          <w:rFonts w:ascii="Book Antiqua" w:hAnsi="Book Antiqua"/>
          <w:lang w:val="es-PR"/>
        </w:rPr>
        <w:t xml:space="preserve"> si el Departamento de Justicia de Puerto Rico ha recibido referidos para investigar denuncias de fraude electoral perpetrado por gangas</w:t>
      </w:r>
      <w:r w:rsidR="009A75D3">
        <w:rPr>
          <w:rFonts w:ascii="Book Antiqua" w:hAnsi="Book Antiqua"/>
          <w:lang w:val="es-PR"/>
        </w:rPr>
        <w:t xml:space="preserve"> de confinados</w:t>
      </w:r>
      <w:r w:rsidR="00EB2B03" w:rsidRPr="00701991">
        <w:rPr>
          <w:rFonts w:ascii="Book Antiqua" w:hAnsi="Book Antiqua"/>
          <w:lang w:val="es-PR"/>
        </w:rPr>
        <w:t xml:space="preserve"> en instituciones del DCR, y su resolución;</w:t>
      </w:r>
      <w:r w:rsidR="000B5F20" w:rsidRPr="00701991">
        <w:rPr>
          <w:rFonts w:ascii="Book Antiqua" w:hAnsi="Book Antiqua"/>
          <w:lang w:val="es-PR"/>
        </w:rPr>
        <w:t xml:space="preserve"> </w:t>
      </w:r>
      <w:r w:rsidR="00E13D8B" w:rsidRPr="00701991">
        <w:rPr>
          <w:rFonts w:ascii="Book Antiqua" w:hAnsi="Book Antiqua"/>
          <w:lang w:val="es-PR"/>
        </w:rPr>
        <w:t xml:space="preserve">y para otros fines relacionados. </w:t>
      </w:r>
    </w:p>
    <w:p w14:paraId="29EEABA2" w14:textId="77777777" w:rsidR="00B92475" w:rsidRPr="00701991" w:rsidRDefault="00B92475" w:rsidP="001E0D88">
      <w:pPr>
        <w:ind w:left="360" w:hanging="360"/>
        <w:jc w:val="both"/>
        <w:rPr>
          <w:rFonts w:ascii="Book Antiqua" w:hAnsi="Book Antiqua"/>
          <w:lang w:val="es-ES_tradnl"/>
        </w:rPr>
      </w:pPr>
    </w:p>
    <w:p w14:paraId="24D42232" w14:textId="0A36AA94" w:rsidR="00BB3E3C" w:rsidRPr="00701991" w:rsidRDefault="007223FC" w:rsidP="00C64D1E">
      <w:pPr>
        <w:jc w:val="center"/>
        <w:rPr>
          <w:rFonts w:ascii="Book Antiqua" w:hAnsi="Book Antiqua"/>
          <w:lang w:val="es-ES_tradnl"/>
        </w:rPr>
      </w:pPr>
      <w:r w:rsidRPr="00701991">
        <w:rPr>
          <w:rFonts w:ascii="Book Antiqua" w:hAnsi="Book Antiqua"/>
          <w:lang w:val="es-ES_tradnl"/>
        </w:rPr>
        <w:t>EXPOSICIÓN DE MOTIVOS</w:t>
      </w:r>
    </w:p>
    <w:p w14:paraId="4CC58073" w14:textId="0511C56F" w:rsidR="00C64D1E" w:rsidRPr="00701991" w:rsidRDefault="00C64D1E" w:rsidP="00C64D1E">
      <w:pPr>
        <w:jc w:val="center"/>
        <w:rPr>
          <w:rFonts w:ascii="Book Antiqua" w:hAnsi="Book Antiqua"/>
          <w:lang w:val="es-ES_tradnl"/>
        </w:rPr>
      </w:pPr>
    </w:p>
    <w:p w14:paraId="193A40CA" w14:textId="77777777" w:rsidR="001D54A2" w:rsidRPr="00701991" w:rsidRDefault="00C64D1E" w:rsidP="00604D8C">
      <w:pPr>
        <w:ind w:firstLine="360"/>
        <w:jc w:val="both"/>
        <w:rPr>
          <w:rFonts w:ascii="Book Antiqua" w:hAnsi="Book Antiqua"/>
          <w:lang w:val="es-ES_tradnl"/>
        </w:rPr>
      </w:pPr>
      <w:r w:rsidRPr="00701991">
        <w:rPr>
          <w:rFonts w:ascii="Book Antiqua" w:hAnsi="Book Antiqua"/>
          <w:lang w:val="es-ES_tradnl"/>
        </w:rPr>
        <w:tab/>
      </w:r>
      <w:r w:rsidR="00BD7181" w:rsidRPr="00701991">
        <w:rPr>
          <w:rFonts w:ascii="Book Antiqua" w:hAnsi="Book Antiqua"/>
          <w:lang w:val="es-ES_tradnl"/>
        </w:rPr>
        <w:t xml:space="preserve">El pasado </w:t>
      </w:r>
      <w:r w:rsidR="003B0B8A" w:rsidRPr="00701991">
        <w:rPr>
          <w:rFonts w:ascii="Book Antiqua" w:hAnsi="Book Antiqua"/>
          <w:lang w:val="es-ES_tradnl"/>
        </w:rPr>
        <w:t xml:space="preserve">12 de diciembre de 2024, un gran jurado federal en Puerto Rico emitió una acusación formal contra 34 integrantes de la ganga carcelaria Grupo 31, también </w:t>
      </w:r>
      <w:r w:rsidR="003B0B8A" w:rsidRPr="00701991">
        <w:rPr>
          <w:rFonts w:ascii="Book Antiqua" w:hAnsi="Book Antiqua"/>
          <w:lang w:val="es-ES_tradnl"/>
        </w:rPr>
        <w:lastRenderedPageBreak/>
        <w:t>conocida como “Los Tiburones”, por distribuir drogas dentro de las instituciones penales del Departamento de Corrección y Rehabilitación (DCR), entre otros delitos</w:t>
      </w:r>
      <w:r w:rsidR="00E13D8B" w:rsidRPr="00701991">
        <w:rPr>
          <w:rStyle w:val="Refdenotaalpie"/>
          <w:rFonts w:ascii="Book Antiqua" w:hAnsi="Book Antiqua"/>
          <w:lang w:val="es-ES_tradnl"/>
        </w:rPr>
        <w:footnoteReference w:id="1"/>
      </w:r>
      <w:r w:rsidR="00E13D8B" w:rsidRPr="00701991">
        <w:rPr>
          <w:rFonts w:ascii="Book Antiqua" w:hAnsi="Book Antiqua"/>
          <w:lang w:val="es-ES_tradnl"/>
        </w:rPr>
        <w:t>.</w:t>
      </w:r>
      <w:r w:rsidR="00604D8C" w:rsidRPr="00701991">
        <w:rPr>
          <w:rFonts w:ascii="Book Antiqua" w:hAnsi="Book Antiqua"/>
          <w:lang w:val="es-ES_tradnl"/>
        </w:rPr>
        <w:t xml:space="preserve"> </w:t>
      </w:r>
    </w:p>
    <w:p w14:paraId="6E3F376E" w14:textId="77777777" w:rsidR="001D54A2" w:rsidRPr="00701991" w:rsidRDefault="001D54A2" w:rsidP="00604D8C">
      <w:pPr>
        <w:ind w:firstLine="360"/>
        <w:jc w:val="both"/>
        <w:rPr>
          <w:rFonts w:ascii="Book Antiqua" w:hAnsi="Book Antiqua"/>
          <w:lang w:val="es-ES_tradnl"/>
        </w:rPr>
      </w:pPr>
    </w:p>
    <w:p w14:paraId="28E8EDF9" w14:textId="6AD45148" w:rsidR="00604D8C" w:rsidRPr="00701991" w:rsidRDefault="00604D8C" w:rsidP="00604D8C">
      <w:pPr>
        <w:ind w:firstLine="360"/>
        <w:jc w:val="both"/>
        <w:rPr>
          <w:rFonts w:ascii="Book Antiqua" w:hAnsi="Book Antiqua"/>
          <w:lang w:val="es-ES_tradnl"/>
        </w:rPr>
      </w:pPr>
      <w:r w:rsidRPr="00701991">
        <w:rPr>
          <w:rFonts w:ascii="Book Antiqua" w:hAnsi="Book Antiqua"/>
          <w:lang w:val="es-ES_tradnl"/>
        </w:rPr>
        <w:t xml:space="preserve">No obstante, a pesar de que el Departamento de Justicia federal contaba con evidencia sólida de fraude electoral implicando a confinados y empleados del DCR, y mientras se investigaba si la entonces candidata a la gobernación Jenniffer González Colón o su campaña estaban involucrados, fiscales federales que lideraban la investigación recibieron instrucciones de excluir de la acusación los cargos relacionados a fraude electoral y todos los cargos contra el personal del DCR, según </w:t>
      </w:r>
      <w:r w:rsidR="003B0B8A" w:rsidRPr="00701991">
        <w:rPr>
          <w:rFonts w:ascii="Book Antiqua" w:hAnsi="Book Antiqua"/>
          <w:lang w:val="es-ES_tradnl"/>
        </w:rPr>
        <w:t xml:space="preserve">una historia publicada en el medio estadounidense </w:t>
      </w:r>
      <w:proofErr w:type="spellStart"/>
      <w:r w:rsidR="003B0B8A" w:rsidRPr="00701991">
        <w:rPr>
          <w:rFonts w:ascii="Book Antiqua" w:hAnsi="Book Antiqua"/>
          <w:i/>
          <w:iCs/>
          <w:lang w:val="es-ES_tradnl"/>
        </w:rPr>
        <w:t>ProPublica</w:t>
      </w:r>
      <w:proofErr w:type="spellEnd"/>
      <w:r w:rsidR="00E13D8B" w:rsidRPr="00701991">
        <w:rPr>
          <w:rFonts w:ascii="Book Antiqua" w:hAnsi="Book Antiqua"/>
          <w:lang w:val="es-ES_tradnl"/>
        </w:rPr>
        <w:t>, el 5 de mayo de 2026</w:t>
      </w:r>
      <w:r w:rsidRPr="00701991">
        <w:rPr>
          <w:rStyle w:val="Refdenotaalpie"/>
          <w:rFonts w:ascii="Book Antiqua" w:hAnsi="Book Antiqua"/>
          <w:lang w:val="es-ES_tradnl"/>
        </w:rPr>
        <w:footnoteReference w:id="2"/>
      </w:r>
      <w:r w:rsidRPr="00701991">
        <w:rPr>
          <w:rFonts w:ascii="Book Antiqua" w:hAnsi="Book Antiqua"/>
          <w:lang w:val="es-ES_tradnl"/>
        </w:rPr>
        <w:t xml:space="preserve">. </w:t>
      </w:r>
    </w:p>
    <w:p w14:paraId="52E50045" w14:textId="77777777" w:rsidR="00604D8C" w:rsidRPr="00701991" w:rsidRDefault="00604D8C" w:rsidP="00604D8C">
      <w:pPr>
        <w:ind w:firstLine="360"/>
        <w:jc w:val="both"/>
        <w:rPr>
          <w:rFonts w:ascii="Book Antiqua" w:hAnsi="Book Antiqua"/>
          <w:lang w:val="es-ES_tradnl"/>
        </w:rPr>
      </w:pPr>
    </w:p>
    <w:p w14:paraId="283090EC" w14:textId="24D68649" w:rsidR="00162DB8" w:rsidRPr="00701991" w:rsidRDefault="00604D8C" w:rsidP="00604D8C">
      <w:pPr>
        <w:ind w:firstLine="360"/>
        <w:jc w:val="both"/>
        <w:rPr>
          <w:rFonts w:ascii="Book Antiqua" w:hAnsi="Book Antiqua"/>
          <w:lang w:val="es-ES_tradnl"/>
        </w:rPr>
      </w:pPr>
      <w:r w:rsidRPr="00701991">
        <w:rPr>
          <w:rFonts w:ascii="Book Antiqua" w:hAnsi="Book Antiqua"/>
          <w:lang w:val="es-ES_tradnl"/>
        </w:rPr>
        <w:t xml:space="preserve">El reportaje </w:t>
      </w:r>
      <w:r w:rsidR="003B0B8A" w:rsidRPr="00701991">
        <w:rPr>
          <w:rFonts w:ascii="Book Antiqua" w:hAnsi="Book Antiqua"/>
          <w:lang w:val="es-ES_tradnl"/>
        </w:rPr>
        <w:t xml:space="preserve">detalla </w:t>
      </w:r>
      <w:r w:rsidR="00E13D8B" w:rsidRPr="00701991">
        <w:rPr>
          <w:rFonts w:ascii="Book Antiqua" w:hAnsi="Book Antiqua"/>
          <w:lang w:val="es-ES_tradnl"/>
        </w:rPr>
        <w:t>que el</w:t>
      </w:r>
      <w:r w:rsidR="003B0B8A" w:rsidRPr="00701991">
        <w:rPr>
          <w:rFonts w:ascii="Book Antiqua" w:hAnsi="Book Antiqua"/>
          <w:lang w:val="es-ES_tradnl"/>
        </w:rPr>
        <w:t xml:space="preserve"> esquema perpetrado por dicha ganga</w:t>
      </w:r>
      <w:r w:rsidR="00E13D8B" w:rsidRPr="00701991">
        <w:rPr>
          <w:rFonts w:ascii="Book Antiqua" w:hAnsi="Book Antiqua"/>
          <w:lang w:val="es-ES_tradnl"/>
        </w:rPr>
        <w:t xml:space="preserve"> se realizó con la</w:t>
      </w:r>
      <w:r w:rsidR="003B0B8A" w:rsidRPr="00701991">
        <w:rPr>
          <w:rFonts w:ascii="Book Antiqua" w:hAnsi="Book Antiqua"/>
          <w:lang w:val="es-ES_tradnl"/>
        </w:rPr>
        <w:t xml:space="preserve"> </w:t>
      </w:r>
      <w:r w:rsidR="00E13D8B" w:rsidRPr="00701991">
        <w:rPr>
          <w:rFonts w:ascii="Book Antiqua" w:hAnsi="Book Antiqua"/>
          <w:lang w:val="es-ES_tradnl"/>
        </w:rPr>
        <w:t>colaboración</w:t>
      </w:r>
      <w:r w:rsidR="003B0B8A" w:rsidRPr="00701991">
        <w:rPr>
          <w:rFonts w:ascii="Book Antiqua" w:hAnsi="Book Antiqua"/>
          <w:lang w:val="es-ES_tradnl"/>
        </w:rPr>
        <w:t xml:space="preserve"> </w:t>
      </w:r>
      <w:r w:rsidR="00E13D8B" w:rsidRPr="00701991">
        <w:rPr>
          <w:rFonts w:ascii="Book Antiqua" w:hAnsi="Book Antiqua"/>
          <w:lang w:val="es-ES_tradnl"/>
        </w:rPr>
        <w:t>de</w:t>
      </w:r>
      <w:r w:rsidR="003B0B8A" w:rsidRPr="00701991">
        <w:rPr>
          <w:rFonts w:ascii="Book Antiqua" w:hAnsi="Book Antiqua"/>
          <w:lang w:val="es-ES_tradnl"/>
        </w:rPr>
        <w:t xml:space="preserve"> empleados del DCR, </w:t>
      </w:r>
      <w:r w:rsidR="00E13D8B" w:rsidRPr="00701991">
        <w:rPr>
          <w:rFonts w:ascii="Book Antiqua" w:hAnsi="Book Antiqua"/>
          <w:lang w:val="es-ES_tradnl"/>
        </w:rPr>
        <w:t>quienes presuntamente</w:t>
      </w:r>
      <w:r w:rsidRPr="00701991">
        <w:rPr>
          <w:rFonts w:ascii="Book Antiqua" w:hAnsi="Book Antiqua"/>
          <w:lang w:val="es-ES_tradnl"/>
        </w:rPr>
        <w:t xml:space="preserve"> ayudaban en la “entrada y distribución” de las drogas, y</w:t>
      </w:r>
      <w:r w:rsidR="00E13D8B" w:rsidRPr="00701991">
        <w:rPr>
          <w:rFonts w:ascii="Book Antiqua" w:hAnsi="Book Antiqua"/>
          <w:lang w:val="es-ES_tradnl"/>
        </w:rPr>
        <w:t xml:space="preserve"> permitían que la pandilla intimidara con violencia a confinados adictos a drogas para que estos siguieran sus directrices de votar por el Partido Nuevo Progresista (PNP)</w:t>
      </w:r>
      <w:r w:rsidR="00ED6FD2" w:rsidRPr="00701991">
        <w:rPr>
          <w:rFonts w:ascii="Book Antiqua" w:hAnsi="Book Antiqua"/>
          <w:lang w:val="es-ES_tradnl"/>
        </w:rPr>
        <w:t xml:space="preserve">. </w:t>
      </w:r>
      <w:r w:rsidRPr="00701991">
        <w:rPr>
          <w:rFonts w:ascii="Book Antiqua" w:hAnsi="Book Antiqua"/>
          <w:lang w:val="es-ES_tradnl"/>
        </w:rPr>
        <w:t>Asimismo, se indica</w:t>
      </w:r>
      <w:r w:rsidR="00162DB8" w:rsidRPr="00701991">
        <w:rPr>
          <w:rFonts w:ascii="Book Antiqua" w:hAnsi="Book Antiqua"/>
          <w:lang w:val="es-ES_tradnl"/>
        </w:rPr>
        <w:t xml:space="preserve"> que, luego de la juramentación del presidente Donald J. Trump, el fiscal principal a cargo de la investigación, Jorge Matos, recibió instrucciones de no continuar </w:t>
      </w:r>
      <w:r w:rsidRPr="00701991">
        <w:rPr>
          <w:rFonts w:ascii="Book Antiqua" w:hAnsi="Book Antiqua"/>
          <w:lang w:val="es-ES_tradnl"/>
        </w:rPr>
        <w:t xml:space="preserve">con </w:t>
      </w:r>
      <w:r w:rsidR="00162DB8" w:rsidRPr="00701991">
        <w:rPr>
          <w:rFonts w:ascii="Book Antiqua" w:hAnsi="Book Antiqua"/>
          <w:lang w:val="es-ES_tradnl"/>
        </w:rPr>
        <w:t xml:space="preserve">la pesquisa. </w:t>
      </w:r>
    </w:p>
    <w:p w14:paraId="63B84305" w14:textId="77777777" w:rsidR="001E52BA" w:rsidRPr="00701991" w:rsidRDefault="001E52BA" w:rsidP="00604D8C">
      <w:pPr>
        <w:ind w:firstLine="360"/>
        <w:jc w:val="both"/>
        <w:rPr>
          <w:rFonts w:ascii="Book Antiqua" w:hAnsi="Book Antiqua"/>
          <w:lang w:val="es-ES_tradnl"/>
        </w:rPr>
      </w:pPr>
    </w:p>
    <w:p w14:paraId="63563057" w14:textId="30872F13" w:rsidR="001E52BA" w:rsidRPr="00701991" w:rsidRDefault="001E52BA" w:rsidP="001E52BA">
      <w:pPr>
        <w:ind w:firstLine="360"/>
        <w:jc w:val="both"/>
        <w:rPr>
          <w:rFonts w:ascii="Book Antiqua" w:hAnsi="Book Antiqua"/>
          <w:lang w:val="es-ES_tradnl"/>
        </w:rPr>
      </w:pPr>
      <w:r w:rsidRPr="00701991">
        <w:rPr>
          <w:rFonts w:ascii="Book Antiqua" w:hAnsi="Book Antiqua"/>
          <w:lang w:val="es-ES_tradnl"/>
        </w:rPr>
        <w:t>Estas alarmantes denuncias se añaden a los serios señalamientos realizados por la Comisión de Derechos Civiles (CDC) de Puerto Rico que, en su “Informe Especial sobre Procesos Electorales 2024”</w:t>
      </w:r>
      <w:r w:rsidRPr="00701991">
        <w:rPr>
          <w:rStyle w:val="Refdenotaalpie"/>
          <w:rFonts w:ascii="Book Antiqua" w:hAnsi="Book Antiqua"/>
          <w:lang w:val="es-ES_tradnl"/>
        </w:rPr>
        <w:footnoteReference w:id="3"/>
      </w:r>
      <w:r w:rsidRPr="00701991">
        <w:rPr>
          <w:rFonts w:ascii="Book Antiqua" w:hAnsi="Book Antiqua"/>
          <w:lang w:val="es-ES_tradnl"/>
        </w:rPr>
        <w:t>, consignó lo siguiente: “Condenamos enérgicamente la falta de diligencia y la indiferencia mostrada por el Departamento de Corrección y Rehabilitación al dificultar las funciones de esta Comisión”, en alusión a l</w:t>
      </w:r>
      <w:r w:rsidR="00547F18" w:rsidRPr="00701991">
        <w:rPr>
          <w:rFonts w:ascii="Book Antiqua" w:hAnsi="Book Antiqua"/>
          <w:lang w:val="es-ES_tradnl"/>
        </w:rPr>
        <w:t>o</w:t>
      </w:r>
      <w:r w:rsidRPr="00701991">
        <w:rPr>
          <w:rFonts w:ascii="Book Antiqua" w:hAnsi="Book Antiqua"/>
          <w:lang w:val="es-ES_tradnl"/>
        </w:rPr>
        <w:t xml:space="preserve">s </w:t>
      </w:r>
      <w:r w:rsidR="00547F18" w:rsidRPr="00701991">
        <w:rPr>
          <w:rFonts w:ascii="Book Antiqua" w:hAnsi="Book Antiqua"/>
          <w:lang w:val="es-ES_tradnl"/>
        </w:rPr>
        <w:t>obstáculos</w:t>
      </w:r>
      <w:r w:rsidRPr="00701991">
        <w:rPr>
          <w:rFonts w:ascii="Book Antiqua" w:hAnsi="Book Antiqua"/>
          <w:lang w:val="es-ES_tradnl"/>
        </w:rPr>
        <w:t xml:space="preserve"> que enfrentaron para acceder a instituciones durante el proceso electoral de 2024 cuando, incluso, tuvieron que recurrir al auxilio del tribunal—donde prevalecieron—para lograr acceso</w:t>
      </w:r>
      <w:r w:rsidR="00547F18" w:rsidRPr="00701991">
        <w:rPr>
          <w:rFonts w:ascii="Book Antiqua" w:hAnsi="Book Antiqua"/>
          <w:lang w:val="es-ES_tradnl"/>
        </w:rPr>
        <w:t xml:space="preserve"> como observadores. </w:t>
      </w:r>
    </w:p>
    <w:p w14:paraId="6EAD2ED6" w14:textId="77777777" w:rsidR="00547F18" w:rsidRPr="00701991" w:rsidRDefault="00547F18" w:rsidP="001E52BA">
      <w:pPr>
        <w:ind w:firstLine="360"/>
        <w:jc w:val="both"/>
        <w:rPr>
          <w:rFonts w:ascii="Book Antiqua" w:hAnsi="Book Antiqua"/>
          <w:lang w:val="es-ES_tradnl"/>
        </w:rPr>
      </w:pPr>
    </w:p>
    <w:p w14:paraId="39BC1209" w14:textId="11322B6F" w:rsidR="00EB2B03" w:rsidRPr="00701991" w:rsidRDefault="005C236B" w:rsidP="00EB2B03">
      <w:pPr>
        <w:ind w:firstLine="360"/>
        <w:jc w:val="both"/>
        <w:rPr>
          <w:rFonts w:ascii="Book Antiqua" w:hAnsi="Book Antiqua"/>
          <w:lang w:val="es-ES_tradnl"/>
        </w:rPr>
      </w:pPr>
      <w:r w:rsidRPr="00701991">
        <w:rPr>
          <w:rFonts w:ascii="Book Antiqua" w:hAnsi="Book Antiqua"/>
          <w:lang w:val="es-ES_tradnl"/>
        </w:rPr>
        <w:t>Además</w:t>
      </w:r>
      <w:r w:rsidR="00547F18" w:rsidRPr="00701991">
        <w:rPr>
          <w:rFonts w:ascii="Book Antiqua" w:hAnsi="Book Antiqua"/>
          <w:lang w:val="es-ES_tradnl"/>
        </w:rPr>
        <w:t xml:space="preserve">, el director ejecutivo de la CDC, Ever Padilla Ruiz, manifestó a </w:t>
      </w:r>
      <w:proofErr w:type="spellStart"/>
      <w:r w:rsidR="00547F18" w:rsidRPr="00701991">
        <w:rPr>
          <w:rFonts w:ascii="Book Antiqua" w:hAnsi="Book Antiqua"/>
          <w:i/>
          <w:iCs/>
          <w:lang w:val="es-ES_tradnl"/>
        </w:rPr>
        <w:t>ProPublica</w:t>
      </w:r>
      <w:proofErr w:type="spellEnd"/>
      <w:r w:rsidR="00547F18" w:rsidRPr="00701991">
        <w:rPr>
          <w:rFonts w:ascii="Book Antiqua" w:hAnsi="Book Antiqua"/>
          <w:lang w:val="es-ES_tradnl"/>
        </w:rPr>
        <w:t xml:space="preserve"> que los confinados enviaron quejas por escrito a su oficina detallando sus experiencias de haber sido presionados para votar en las primarias del PNP, algunos a favor de González Colón y otros a favor de</w:t>
      </w:r>
      <w:r w:rsidR="00587B04" w:rsidRPr="00701991">
        <w:rPr>
          <w:rFonts w:ascii="Book Antiqua" w:hAnsi="Book Antiqua"/>
          <w:lang w:val="es-ES_tradnl"/>
        </w:rPr>
        <w:t xml:space="preserve">l exgobernador </w:t>
      </w:r>
      <w:r w:rsidR="00547F18" w:rsidRPr="00701991">
        <w:rPr>
          <w:rFonts w:ascii="Book Antiqua" w:hAnsi="Book Antiqua"/>
          <w:lang w:val="es-ES_tradnl"/>
        </w:rPr>
        <w:t>Pedro Pierluisi. Los confinados informaron que los líderes de las gangas “siempre estaban enviando mensajes”, hasta el día de las elecciones, y que tenían demasiado miedo de decir más, añadió Padilla Ruiz.</w:t>
      </w:r>
    </w:p>
    <w:p w14:paraId="10A92209" w14:textId="77777777" w:rsidR="00587B04" w:rsidRPr="00701991" w:rsidRDefault="00587B04" w:rsidP="00EB2B03">
      <w:pPr>
        <w:ind w:firstLine="360"/>
        <w:jc w:val="both"/>
        <w:rPr>
          <w:rFonts w:ascii="Book Antiqua" w:hAnsi="Book Antiqua"/>
          <w:lang w:val="es-ES_tradnl"/>
        </w:rPr>
      </w:pPr>
    </w:p>
    <w:p w14:paraId="56D774B6" w14:textId="034CD2C6" w:rsidR="00587B04" w:rsidRPr="00701991" w:rsidRDefault="00587B04" w:rsidP="00587B04">
      <w:pPr>
        <w:ind w:firstLine="360"/>
        <w:jc w:val="both"/>
        <w:rPr>
          <w:rFonts w:ascii="Book Antiqua" w:hAnsi="Book Antiqua"/>
          <w:lang w:val="es-ES_tradnl"/>
        </w:rPr>
      </w:pPr>
      <w:r w:rsidRPr="00701991">
        <w:rPr>
          <w:rFonts w:ascii="Book Antiqua" w:hAnsi="Book Antiqua"/>
          <w:lang w:val="es-ES_tradnl"/>
        </w:rPr>
        <w:t xml:space="preserve">Del mismo modo, en la historia de </w:t>
      </w:r>
      <w:proofErr w:type="spellStart"/>
      <w:r w:rsidRPr="00701991">
        <w:rPr>
          <w:rFonts w:ascii="Book Antiqua" w:hAnsi="Book Antiqua"/>
          <w:i/>
          <w:iCs/>
          <w:lang w:val="es-ES_tradnl"/>
        </w:rPr>
        <w:t>ProPublica</w:t>
      </w:r>
      <w:proofErr w:type="spellEnd"/>
      <w:r w:rsidRPr="00701991">
        <w:rPr>
          <w:rFonts w:ascii="Book Antiqua" w:hAnsi="Book Antiqua"/>
          <w:lang w:val="es-ES_tradnl"/>
        </w:rPr>
        <w:t>, múltiples fuentes con conocimiento sobre la investigación</w:t>
      </w:r>
      <w:r w:rsidRPr="00701991">
        <w:rPr>
          <w:rFonts w:ascii="Book Antiqua" w:hAnsi="Book Antiqua"/>
          <w:lang w:val="es-PR"/>
        </w:rPr>
        <w:t xml:space="preserve"> </w:t>
      </w:r>
      <w:r w:rsidRPr="00701991">
        <w:rPr>
          <w:rFonts w:ascii="Book Antiqua" w:hAnsi="Book Antiqua"/>
          <w:lang w:val="es-ES_tradnl"/>
        </w:rPr>
        <w:t xml:space="preserve">indicaron que los investigadores tenían pruebas de que González Colón había hablado con un miembro del Grupo 31, pero aún no habían determinado si estaba involucrada en la “compra de votos”. Según dos fuentes, uno de los líderes de la </w:t>
      </w:r>
      <w:r w:rsidRPr="00701991">
        <w:rPr>
          <w:rFonts w:ascii="Book Antiqua" w:hAnsi="Book Antiqua"/>
          <w:lang w:val="es-ES_tradnl"/>
        </w:rPr>
        <w:lastRenderedPageBreak/>
        <w:t xml:space="preserve">pandilla, actualmente encarcelado, alardeó en </w:t>
      </w:r>
      <w:r w:rsidRPr="00701991">
        <w:rPr>
          <w:rFonts w:ascii="Book Antiqua" w:hAnsi="Book Antiqua"/>
          <w:i/>
          <w:iCs/>
          <w:lang w:val="es-ES_tradnl"/>
        </w:rPr>
        <w:t>Facebook</w:t>
      </w:r>
      <w:r w:rsidRPr="00701991">
        <w:rPr>
          <w:rFonts w:ascii="Book Antiqua" w:hAnsi="Book Antiqua"/>
          <w:lang w:val="es-ES_tradnl"/>
        </w:rPr>
        <w:t xml:space="preserve"> de sus conexiones con González Colón, publicando una foto de ambos hablando por </w:t>
      </w:r>
      <w:r w:rsidRPr="00701991">
        <w:rPr>
          <w:rFonts w:ascii="Book Antiqua" w:hAnsi="Book Antiqua"/>
          <w:i/>
          <w:iCs/>
          <w:lang w:val="es-ES_tradnl"/>
        </w:rPr>
        <w:t>WhatsApp</w:t>
      </w:r>
      <w:r w:rsidRPr="00701991">
        <w:rPr>
          <w:rFonts w:ascii="Book Antiqua" w:hAnsi="Book Antiqua"/>
          <w:lang w:val="es-ES_tradnl"/>
        </w:rPr>
        <w:t xml:space="preserve"> durante la campaña para las primarias del PNP a la gobernación. Según datos de la Comisión Estatal de Elecciones (CEE), el PNP ganó 83% del voto de los confinados en las elecciones generales de 2024.</w:t>
      </w:r>
    </w:p>
    <w:p w14:paraId="6CBE5D9B" w14:textId="77777777" w:rsidR="00E562B3" w:rsidRDefault="00E562B3" w:rsidP="00E562B3">
      <w:pPr>
        <w:ind w:firstLine="360"/>
        <w:jc w:val="both"/>
        <w:rPr>
          <w:rFonts w:ascii="Book Antiqua" w:hAnsi="Book Antiqua"/>
          <w:lang w:val="es-ES_tradnl"/>
        </w:rPr>
      </w:pPr>
    </w:p>
    <w:p w14:paraId="380CCBF2" w14:textId="700AE349" w:rsidR="00E562B3" w:rsidRPr="00FF6CA8" w:rsidRDefault="00E562B3" w:rsidP="00E562B3">
      <w:pPr>
        <w:ind w:firstLine="360"/>
        <w:jc w:val="both"/>
        <w:rPr>
          <w:rFonts w:ascii="Book Antiqua" w:hAnsi="Book Antiqua"/>
          <w:b/>
          <w:lang w:val="es-PR"/>
        </w:rPr>
      </w:pPr>
      <w:r>
        <w:rPr>
          <w:rFonts w:ascii="Book Antiqua" w:hAnsi="Book Antiqua"/>
          <w:lang w:val="es-ES_tradnl"/>
        </w:rPr>
        <w:t xml:space="preserve">Por otra parte, es </w:t>
      </w:r>
      <w:r w:rsidRPr="00FF6CA8">
        <w:rPr>
          <w:rFonts w:ascii="Book Antiqua" w:hAnsi="Book Antiqua"/>
          <w:lang w:val="es-PR"/>
        </w:rPr>
        <w:t xml:space="preserve">doctrina constitucional que la Asamblea Legislativa tiene “la facultad y el deber … de fiscalizar la ejecución de la política pública y la conducta de los jefes de departamentos mediante el ejercicio de sus vastos poderes de investigación, citación, vistas públicas, asignación de fondos y aprobación del Presupuesto General”. </w:t>
      </w:r>
      <w:r w:rsidRPr="00FF6CA8">
        <w:rPr>
          <w:rFonts w:ascii="Book Antiqua" w:hAnsi="Book Antiqua"/>
          <w:u w:val="single"/>
          <w:lang w:val="es-PR"/>
        </w:rPr>
        <w:t>Hernández Agosto v. Romero Barceló,</w:t>
      </w:r>
      <w:r w:rsidRPr="00FF6CA8">
        <w:rPr>
          <w:rFonts w:ascii="Book Antiqua" w:hAnsi="Book Antiqua"/>
          <w:lang w:val="es-PR"/>
        </w:rPr>
        <w:t xml:space="preserve"> 112 D.P.R. 407, 428 (1982).</w:t>
      </w:r>
      <w:r w:rsidRPr="00FF6CA8">
        <w:rPr>
          <w:rFonts w:ascii="Book Antiqua" w:hAnsi="Book Antiqua"/>
          <w:b/>
          <w:lang w:val="es-PR"/>
        </w:rPr>
        <w:t xml:space="preserve"> </w:t>
      </w:r>
    </w:p>
    <w:p w14:paraId="5DF8D110" w14:textId="77777777" w:rsidR="00E562B3" w:rsidRDefault="00E562B3" w:rsidP="00E562B3">
      <w:pPr>
        <w:ind w:firstLine="360"/>
        <w:jc w:val="both"/>
        <w:rPr>
          <w:rFonts w:ascii="Book Antiqua" w:hAnsi="Book Antiqua"/>
          <w:lang w:val="es-ES_tradnl"/>
        </w:rPr>
      </w:pPr>
    </w:p>
    <w:p w14:paraId="2D793DF6" w14:textId="153913D8" w:rsidR="00E562B3" w:rsidRDefault="00E562B3" w:rsidP="00E562B3">
      <w:pPr>
        <w:ind w:firstLine="360"/>
        <w:jc w:val="both"/>
        <w:rPr>
          <w:rFonts w:ascii="Book Antiqua" w:hAnsi="Book Antiqua"/>
          <w:lang w:val="es-PR"/>
        </w:rPr>
      </w:pPr>
      <w:r w:rsidRPr="00FF6CA8">
        <w:rPr>
          <w:rFonts w:ascii="Book Antiqua" w:hAnsi="Book Antiqua"/>
          <w:lang w:val="es-PR"/>
        </w:rPr>
        <w:t xml:space="preserve">La envergadura del poder </w:t>
      </w:r>
      <w:r>
        <w:rPr>
          <w:rFonts w:ascii="Book Antiqua" w:hAnsi="Book Antiqua"/>
          <w:lang w:val="es-PR"/>
        </w:rPr>
        <w:t>investigativo</w:t>
      </w:r>
      <w:r w:rsidRPr="00FF6CA8">
        <w:rPr>
          <w:rFonts w:ascii="Book Antiqua" w:hAnsi="Book Antiqua"/>
          <w:lang w:val="es-PR"/>
        </w:rPr>
        <w:t xml:space="preserve"> de la Rama Legislativa es tal, que tanto el Tribunal Supremo de los Estados Unidos como el de Puerto Rico lo han reconocido como un poder inherente. Específicamente, nuestro Tribunal Supremo ha enfatizado que este poder es “secuela y parte indispensable del propio poder de legislar”. </w:t>
      </w:r>
      <w:r w:rsidRPr="00FF6CA8">
        <w:rPr>
          <w:rFonts w:ascii="Book Antiqua" w:hAnsi="Book Antiqua"/>
          <w:u w:val="single"/>
          <w:lang w:val="es-PR"/>
        </w:rPr>
        <w:t>Peña Clos v. Cartagena Ortiz</w:t>
      </w:r>
      <w:r w:rsidRPr="00FF6CA8">
        <w:rPr>
          <w:rFonts w:ascii="Book Antiqua" w:hAnsi="Book Antiqua"/>
          <w:lang w:val="es-PR"/>
        </w:rPr>
        <w:t>, 114 D.P.R. 576, 587 (1983).</w:t>
      </w:r>
      <w:r>
        <w:rPr>
          <w:rFonts w:ascii="Book Antiqua" w:hAnsi="Book Antiqua"/>
          <w:lang w:val="es-PR"/>
        </w:rPr>
        <w:t xml:space="preserve"> Así ha quedado demostrado cuando esta Asamblea Legislativa ha investigado otros esquemas delictivos y de encumbramiento, como fue el caso de la investigación senatorial de los asesinatos en el Cerro Maravilla y, más recientemente, la investigación cameral </w:t>
      </w:r>
      <w:r w:rsidR="004879C9">
        <w:rPr>
          <w:rFonts w:ascii="Book Antiqua" w:hAnsi="Book Antiqua"/>
          <w:lang w:val="es-PR"/>
        </w:rPr>
        <w:t>sobre</w:t>
      </w:r>
      <w:r>
        <w:rPr>
          <w:rFonts w:ascii="Book Antiqua" w:hAnsi="Book Antiqua"/>
          <w:lang w:val="es-PR"/>
        </w:rPr>
        <w:t xml:space="preserve"> la compra fraudulenta de pruebas de COVID-19. </w:t>
      </w:r>
    </w:p>
    <w:p w14:paraId="6F5A8538" w14:textId="77777777" w:rsidR="00587B04" w:rsidRPr="00701991" w:rsidRDefault="00587B04" w:rsidP="00EB2B03">
      <w:pPr>
        <w:ind w:firstLine="360"/>
        <w:jc w:val="both"/>
        <w:rPr>
          <w:rFonts w:ascii="Book Antiqua" w:hAnsi="Book Antiqua"/>
          <w:lang w:val="es-ES_tradnl"/>
        </w:rPr>
      </w:pPr>
    </w:p>
    <w:p w14:paraId="5DED4653" w14:textId="51445AB6" w:rsidR="00F34813" w:rsidRPr="00BA4F2B" w:rsidRDefault="00E562B3" w:rsidP="00BA4F2B">
      <w:pPr>
        <w:ind w:firstLine="360"/>
        <w:jc w:val="both"/>
        <w:rPr>
          <w:rFonts w:ascii="Book Antiqua" w:hAnsi="Book Antiqua"/>
          <w:lang w:val="es-PR"/>
        </w:rPr>
      </w:pPr>
      <w:r>
        <w:rPr>
          <w:rFonts w:ascii="Book Antiqua" w:hAnsi="Book Antiqua"/>
          <w:lang w:val="es-ES_tradnl"/>
        </w:rPr>
        <w:t>En síntesis, l</w:t>
      </w:r>
      <w:r w:rsidR="00587B04" w:rsidRPr="00701991">
        <w:rPr>
          <w:rFonts w:ascii="Book Antiqua" w:hAnsi="Book Antiqua"/>
          <w:lang w:val="es-ES_tradnl"/>
        </w:rPr>
        <w:t>a información</w:t>
      </w:r>
      <w:r w:rsidR="00701991" w:rsidRPr="00701991">
        <w:rPr>
          <w:rFonts w:ascii="Book Antiqua" w:hAnsi="Book Antiqua"/>
          <w:lang w:val="es-ES_tradnl"/>
        </w:rPr>
        <w:t xml:space="preserve"> contenida en la acusación del gran jurado federal en 2024, y ampliada por la investigación publicada por</w:t>
      </w:r>
      <w:r w:rsidR="00587B04" w:rsidRPr="00701991">
        <w:rPr>
          <w:rFonts w:ascii="Book Antiqua" w:hAnsi="Book Antiqua"/>
          <w:lang w:val="es-ES_tradnl"/>
        </w:rPr>
        <w:t xml:space="preserve"> </w:t>
      </w:r>
      <w:proofErr w:type="spellStart"/>
      <w:r w:rsidR="00587B04" w:rsidRPr="00701991">
        <w:rPr>
          <w:rFonts w:ascii="Book Antiqua" w:hAnsi="Book Antiqua"/>
          <w:i/>
          <w:iCs/>
          <w:lang w:val="es-ES_tradnl"/>
        </w:rPr>
        <w:t>ProPublica</w:t>
      </w:r>
      <w:proofErr w:type="spellEnd"/>
      <w:r w:rsidR="00701991" w:rsidRPr="00701991">
        <w:rPr>
          <w:rFonts w:ascii="Book Antiqua" w:hAnsi="Book Antiqua"/>
          <w:i/>
          <w:iCs/>
          <w:lang w:val="es-ES_tradnl"/>
        </w:rPr>
        <w:t xml:space="preserve"> </w:t>
      </w:r>
      <w:r w:rsidR="00701991" w:rsidRPr="00701991">
        <w:rPr>
          <w:rFonts w:ascii="Book Antiqua" w:hAnsi="Book Antiqua"/>
          <w:lang w:val="es-ES_tradnl"/>
        </w:rPr>
        <w:t>en 2026</w:t>
      </w:r>
      <w:r w:rsidR="00701991" w:rsidRPr="00701991">
        <w:rPr>
          <w:rFonts w:ascii="Book Antiqua" w:hAnsi="Book Antiqua"/>
          <w:lang w:val="es-PR"/>
        </w:rPr>
        <w:t xml:space="preserve">, no puede quedar </w:t>
      </w:r>
      <w:r w:rsidR="00701991">
        <w:rPr>
          <w:rFonts w:ascii="Book Antiqua" w:hAnsi="Book Antiqua"/>
          <w:lang w:val="es-PR"/>
        </w:rPr>
        <w:t xml:space="preserve">en </w:t>
      </w:r>
      <w:r>
        <w:rPr>
          <w:rFonts w:ascii="Book Antiqua" w:hAnsi="Book Antiqua"/>
          <w:lang w:val="es-PR"/>
        </w:rPr>
        <w:t>el vací</w:t>
      </w:r>
      <w:r w:rsidR="00436C3E">
        <w:rPr>
          <w:rFonts w:ascii="Book Antiqua" w:hAnsi="Book Antiqua"/>
          <w:lang w:val="es-PR"/>
        </w:rPr>
        <w:t>o</w:t>
      </w:r>
      <w:r w:rsidR="00701991">
        <w:rPr>
          <w:rFonts w:ascii="Book Antiqua" w:hAnsi="Book Antiqua"/>
          <w:lang w:val="es-PR"/>
        </w:rPr>
        <w:t xml:space="preserve">. Esta Cámara de Representantes tiene el deber ineludible de investigar si, en efecto, ocurrieron los serios delitos que el Departamento de Justicia </w:t>
      </w:r>
      <w:r>
        <w:rPr>
          <w:rFonts w:ascii="Book Antiqua" w:hAnsi="Book Antiqua"/>
          <w:lang w:val="es-PR"/>
        </w:rPr>
        <w:t xml:space="preserve">federal </w:t>
      </w:r>
      <w:r w:rsidR="00701991">
        <w:rPr>
          <w:rFonts w:ascii="Book Antiqua" w:hAnsi="Book Antiqua"/>
          <w:lang w:val="es-PR"/>
        </w:rPr>
        <w:t xml:space="preserve">estaba investigando sobre trasiego de drogas a cambio de votos de los confinados en las cárceles de Puerto Rico, incluyendo la participación de personal del DCR, la agencia encargada de velar por la ley y el orden en nuestro sistema correccional. </w:t>
      </w:r>
    </w:p>
    <w:p w14:paraId="17052F64" w14:textId="77777777" w:rsidR="00243CC2" w:rsidRDefault="00243CC2" w:rsidP="00243CC2">
      <w:pPr>
        <w:jc w:val="both"/>
        <w:rPr>
          <w:rFonts w:ascii="Book Antiqua" w:hAnsi="Book Antiqua"/>
          <w:i/>
          <w:lang w:val="es-ES_tradnl"/>
        </w:rPr>
      </w:pPr>
    </w:p>
    <w:p w14:paraId="6402879F" w14:textId="26C2B778" w:rsidR="007223FC" w:rsidRDefault="007223FC" w:rsidP="00243CC2">
      <w:pPr>
        <w:jc w:val="both"/>
        <w:rPr>
          <w:rFonts w:ascii="Book Antiqua" w:hAnsi="Book Antiqua"/>
          <w:i/>
          <w:lang w:val="es-ES_tradnl"/>
        </w:rPr>
      </w:pPr>
      <w:r w:rsidRPr="00F73338">
        <w:rPr>
          <w:rFonts w:ascii="Book Antiqua" w:hAnsi="Book Antiqua"/>
          <w:i/>
          <w:lang w:val="es-ES_tradnl"/>
        </w:rPr>
        <w:t>RESUÉLVESE POR LA CÁMARA DE REPRESENTANTES DE PUERTO</w:t>
      </w:r>
      <w:r>
        <w:rPr>
          <w:rFonts w:ascii="Book Antiqua" w:hAnsi="Book Antiqua"/>
          <w:i/>
          <w:lang w:val="es-ES_tradnl"/>
        </w:rPr>
        <w:t xml:space="preserve"> RICO:</w:t>
      </w:r>
    </w:p>
    <w:p w14:paraId="6DED2C4E" w14:textId="77777777" w:rsidR="00243CC2" w:rsidRDefault="00243CC2" w:rsidP="00243CC2">
      <w:pPr>
        <w:jc w:val="both"/>
        <w:rPr>
          <w:rFonts w:ascii="Book Antiqua" w:hAnsi="Book Antiqua"/>
          <w:lang w:val="es-ES_tradnl"/>
        </w:rPr>
      </w:pPr>
    </w:p>
    <w:p w14:paraId="5019BC59" w14:textId="77777777" w:rsidR="00243CC2" w:rsidRDefault="00243CC2" w:rsidP="00243CC2">
      <w:pPr>
        <w:jc w:val="both"/>
        <w:rPr>
          <w:rFonts w:ascii="Book Antiqua" w:hAnsi="Book Antiqua"/>
          <w:lang w:val="es-ES_tradnl"/>
        </w:rPr>
        <w:sectPr w:rsidR="00243CC2">
          <w:headerReference w:type="default" r:id="rId9"/>
          <w:type w:val="continuous"/>
          <w:pgSz w:w="12240" w:h="15840" w:code="1"/>
          <w:pgMar w:top="1440" w:right="1440" w:bottom="1440" w:left="1440" w:header="720" w:footer="720" w:gutter="0"/>
          <w:cols w:space="720"/>
          <w:titlePg/>
        </w:sectPr>
      </w:pPr>
    </w:p>
    <w:p w14:paraId="2E0C9623" w14:textId="2A6042FF" w:rsidR="00667F05" w:rsidRPr="00667F05" w:rsidRDefault="00667F05" w:rsidP="00667F05">
      <w:pPr>
        <w:spacing w:line="480" w:lineRule="auto"/>
        <w:ind w:firstLine="720"/>
        <w:jc w:val="both"/>
        <w:rPr>
          <w:rFonts w:ascii="Book Antiqua" w:hAnsi="Book Antiqua"/>
          <w:lang w:val="es-ES_tradnl"/>
        </w:rPr>
      </w:pPr>
      <w:r w:rsidRPr="00667F05">
        <w:rPr>
          <w:rFonts w:ascii="Book Antiqua" w:hAnsi="Book Antiqua"/>
          <w:lang w:val="es-ES_tradnl"/>
        </w:rPr>
        <w:t>Sección 1</w:t>
      </w:r>
      <w:r w:rsidR="00206DDA">
        <w:rPr>
          <w:rFonts w:ascii="Book Antiqua" w:hAnsi="Book Antiqua"/>
          <w:lang w:val="es-ES_tradnl"/>
        </w:rPr>
        <w:t>.</w:t>
      </w:r>
      <w:r w:rsidRPr="00667F05">
        <w:rPr>
          <w:rFonts w:ascii="Book Antiqua" w:hAnsi="Book Antiqua"/>
          <w:lang w:val="es-ES_tradnl"/>
        </w:rPr>
        <w:t>–</w:t>
      </w:r>
      <w:r w:rsidR="00243CC2" w:rsidRPr="00243CC2">
        <w:rPr>
          <w:rFonts w:ascii="Book Antiqua" w:hAnsi="Book Antiqua"/>
          <w:lang w:val="es-PR"/>
        </w:rPr>
        <w:t xml:space="preserve"> </w:t>
      </w:r>
      <w:r w:rsidR="00243CC2" w:rsidRPr="00436B03">
        <w:rPr>
          <w:rFonts w:ascii="Book Antiqua" w:hAnsi="Book Antiqua"/>
          <w:lang w:val="es-PR"/>
        </w:rPr>
        <w:t xml:space="preserve">Se </w:t>
      </w:r>
      <w:r w:rsidR="00243CC2" w:rsidRPr="00A6481C">
        <w:rPr>
          <w:rFonts w:ascii="Book Antiqua" w:hAnsi="Book Antiqua"/>
          <w:lang w:val="es-PR"/>
        </w:rPr>
        <w:t xml:space="preserve">ordena </w:t>
      </w:r>
      <w:r w:rsidR="00BA4F2B">
        <w:rPr>
          <w:rFonts w:ascii="Book Antiqua" w:hAnsi="Book Antiqua"/>
          <w:lang w:val="es-PR"/>
        </w:rPr>
        <w:t xml:space="preserve">a </w:t>
      </w:r>
      <w:r w:rsidR="00BA4F2B" w:rsidRPr="00BA4F2B">
        <w:rPr>
          <w:rFonts w:ascii="Book Antiqua" w:hAnsi="Book Antiqua"/>
          <w:lang w:val="es-ES_tradnl"/>
        </w:rPr>
        <w:t xml:space="preserve">la Comisión de Seguridad Pública de la Cámara de Representantes que realice una investigación sobre el presunto esquema de trasiego de drogas a cambio de votos de los confinados en el proceso eleccionario de 2024; si el Departamento de Corrección y Rehabilitación (DCR) fue notificado de la existencia de una investigación federal sobre gangas presionando a confinados para que votaran de cierta manera, y si cooperó con la misma o recibió requerimientos por parte de cualquier </w:t>
      </w:r>
      <w:r w:rsidR="00BA4F2B" w:rsidRPr="00BA4F2B">
        <w:rPr>
          <w:rFonts w:ascii="Book Antiqua" w:hAnsi="Book Antiqua"/>
          <w:lang w:val="es-ES_tradnl"/>
        </w:rPr>
        <w:lastRenderedPageBreak/>
        <w:t>agencia federal; si empleados del DCR estaban involucrados en la operación clandestina, y si hubo pesquisas internas del DCR al respecto, incluyendo su resolución; si campañas políticas en Puerto Rico participaron activamente del esquema para obtener un beneficio electoral; si hubo concesión de privilegios a confinados que votaron de determinada manera o, por el contrario, castigos a quienes no siguieran dichas instrucciones; qué medidas de seguridad o protocolos adoptó el DCR luego de la acusación federal contra la ganga Grupo 31, también conocida como “Los Tiburones”, en diciembre de 2024; si el Departamento de Justicia de Puerto Rico ha recibido referidos para investigar denuncias de fraude electoral perpetrado por gangas de confinados en instituciones del DCR, y su resolución</w:t>
      </w:r>
      <w:r w:rsidR="00BA4F2B">
        <w:rPr>
          <w:rFonts w:ascii="Book Antiqua" w:hAnsi="Book Antiqua"/>
          <w:lang w:val="es-ES_tradnl"/>
        </w:rPr>
        <w:t>;</w:t>
      </w:r>
      <w:r w:rsidR="00092805">
        <w:rPr>
          <w:rFonts w:ascii="Book Antiqua" w:hAnsi="Book Antiqua"/>
          <w:lang w:val="es-ES_tradnl"/>
        </w:rPr>
        <w:t xml:space="preserve"> </w:t>
      </w:r>
      <w:r w:rsidR="00092805">
        <w:rPr>
          <w:rFonts w:ascii="Book Antiqua" w:hAnsi="Book Antiqua"/>
          <w:lang w:val="es-PR"/>
        </w:rPr>
        <w:t>y</w:t>
      </w:r>
      <w:r w:rsidR="00557D07">
        <w:rPr>
          <w:rFonts w:ascii="Book Antiqua" w:hAnsi="Book Antiqua"/>
          <w:lang w:val="es-PR"/>
        </w:rPr>
        <w:t xml:space="preserve"> </w:t>
      </w:r>
      <w:r w:rsidR="00092805" w:rsidRPr="00092805">
        <w:rPr>
          <w:rFonts w:ascii="Book Antiqua" w:hAnsi="Book Antiqua"/>
          <w:lang w:val="es-PR"/>
        </w:rPr>
        <w:t>cualquier otro elemento o circunstancia relacionada.</w:t>
      </w:r>
      <w:r w:rsidR="00092805">
        <w:rPr>
          <w:rFonts w:ascii="Book Antiqua" w:hAnsi="Book Antiqua"/>
          <w:lang w:val="es-PR"/>
        </w:rPr>
        <w:t xml:space="preserve"> </w:t>
      </w:r>
    </w:p>
    <w:p w14:paraId="496A4077" w14:textId="7C73176F" w:rsidR="00243CC2" w:rsidRDefault="00243CC2" w:rsidP="00243CC2">
      <w:pPr>
        <w:pStyle w:val="Normal1"/>
        <w:widowControl w:val="0"/>
        <w:spacing w:line="480" w:lineRule="auto"/>
        <w:ind w:firstLine="720"/>
        <w:jc w:val="both"/>
        <w:rPr>
          <w:rFonts w:ascii="Book Antiqua" w:eastAsia="Times New Roman" w:hAnsi="Book Antiqua" w:cs="Times New Roman"/>
          <w:sz w:val="24"/>
        </w:rPr>
      </w:pPr>
      <w:r w:rsidRPr="00613D8E">
        <w:rPr>
          <w:rFonts w:ascii="Book Antiqua" w:eastAsia="Times New Roman" w:hAnsi="Book Antiqua" w:cs="Times New Roman"/>
          <w:sz w:val="24"/>
        </w:rPr>
        <w:t>Sección 2.-La Comisión</w:t>
      </w:r>
      <w:r w:rsidRPr="00AF0A89">
        <w:rPr>
          <w:rFonts w:ascii="Book Antiqua" w:eastAsia="Times New Roman" w:hAnsi="Book Antiqua" w:cs="Times New Roman"/>
          <w:sz w:val="24"/>
        </w:rPr>
        <w:t xml:space="preserve"> podrá requerir la producción de</w:t>
      </w:r>
      <w:r>
        <w:rPr>
          <w:rFonts w:ascii="Book Antiqua" w:eastAsia="Times New Roman" w:hAnsi="Book Antiqua" w:cs="Times New Roman"/>
          <w:sz w:val="24"/>
        </w:rPr>
        <w:t xml:space="preserve"> declaraciones, información y</w:t>
      </w:r>
      <w:r w:rsidRPr="00AF0A89">
        <w:rPr>
          <w:rFonts w:ascii="Book Antiqua" w:eastAsia="Times New Roman" w:hAnsi="Book Antiqua" w:cs="Times New Roman"/>
          <w:sz w:val="24"/>
        </w:rPr>
        <w:t xml:space="preserve"> documentos, al igual que realizar todas las vistas</w:t>
      </w:r>
      <w:r>
        <w:rPr>
          <w:rFonts w:ascii="Book Antiqua" w:eastAsia="Times New Roman" w:hAnsi="Book Antiqua" w:cs="Times New Roman"/>
          <w:sz w:val="24"/>
        </w:rPr>
        <w:t>, reuniones</w:t>
      </w:r>
      <w:r w:rsidRPr="00AF0A89">
        <w:rPr>
          <w:rFonts w:ascii="Book Antiqua" w:eastAsia="Times New Roman" w:hAnsi="Book Antiqua" w:cs="Times New Roman"/>
          <w:sz w:val="24"/>
        </w:rPr>
        <w:t xml:space="preserve"> e inspecciones que sean necesarias para cumplir con los fines de esta Resolución.</w:t>
      </w:r>
    </w:p>
    <w:p w14:paraId="0C37FB5C" w14:textId="0B35A3A8" w:rsidR="00243CC2" w:rsidRPr="00C470D0" w:rsidRDefault="00243CC2" w:rsidP="00243CC2">
      <w:pPr>
        <w:pStyle w:val="Normal1"/>
        <w:widowControl w:val="0"/>
        <w:spacing w:line="480" w:lineRule="auto"/>
        <w:ind w:firstLine="720"/>
        <w:jc w:val="both"/>
        <w:rPr>
          <w:rFonts w:ascii="Book Antiqua" w:eastAsia="Times New Roman" w:hAnsi="Book Antiqua" w:cs="Times New Roman"/>
          <w:sz w:val="24"/>
        </w:rPr>
      </w:pPr>
      <w:r w:rsidRPr="000445FD">
        <w:rPr>
          <w:rFonts w:ascii="Book Antiqua" w:eastAsia="Times New Roman" w:hAnsi="Book Antiqua" w:cs="Times New Roman"/>
          <w:sz w:val="24"/>
        </w:rPr>
        <w:t xml:space="preserve">Sección </w:t>
      </w:r>
      <w:r>
        <w:rPr>
          <w:rFonts w:ascii="Book Antiqua" w:eastAsia="Times New Roman" w:hAnsi="Book Antiqua" w:cs="Times New Roman"/>
          <w:sz w:val="24"/>
        </w:rPr>
        <w:t>3</w:t>
      </w:r>
      <w:r w:rsidRPr="000445FD">
        <w:rPr>
          <w:rFonts w:ascii="Book Antiqua" w:eastAsia="Times New Roman" w:hAnsi="Book Antiqua" w:cs="Times New Roman"/>
          <w:sz w:val="24"/>
        </w:rPr>
        <w:t>.-</w:t>
      </w:r>
      <w:r w:rsidRPr="00AF0A89">
        <w:rPr>
          <w:rFonts w:ascii="Book Antiqua" w:eastAsia="Times New Roman" w:hAnsi="Book Antiqua" w:cs="Times New Roman"/>
          <w:sz w:val="24"/>
        </w:rPr>
        <w:t xml:space="preserve">La Comisión </w:t>
      </w:r>
      <w:r>
        <w:rPr>
          <w:rFonts w:ascii="Book Antiqua" w:eastAsia="Times New Roman" w:hAnsi="Book Antiqua" w:cs="Times New Roman"/>
          <w:sz w:val="24"/>
        </w:rPr>
        <w:t xml:space="preserve">podrá realizar referidos a las agencias pertinentes y </w:t>
      </w:r>
      <w:r w:rsidRPr="00AF0A89">
        <w:rPr>
          <w:rFonts w:ascii="Book Antiqua" w:eastAsia="Times New Roman" w:hAnsi="Book Antiqua" w:cs="Times New Roman"/>
          <w:sz w:val="24"/>
        </w:rPr>
        <w:t xml:space="preserve">rendirá </w:t>
      </w:r>
      <w:r>
        <w:rPr>
          <w:rFonts w:ascii="Book Antiqua" w:eastAsia="Times New Roman" w:hAnsi="Book Antiqua" w:cs="Times New Roman"/>
          <w:sz w:val="24"/>
        </w:rPr>
        <w:t>un</w:t>
      </w:r>
      <w:r w:rsidRPr="00AF0A89">
        <w:rPr>
          <w:rFonts w:ascii="Book Antiqua" w:eastAsia="Times New Roman" w:hAnsi="Book Antiqua" w:cs="Times New Roman"/>
          <w:sz w:val="24"/>
        </w:rPr>
        <w:t xml:space="preserve"> Informe Final conteniendo los hallazgos, conclusiones y recomendaciones</w:t>
      </w:r>
      <w:r w:rsidR="004B4838" w:rsidRPr="004B4838">
        <w:rPr>
          <w:rFonts w:ascii="Book Antiqua" w:eastAsia="Times New Roman" w:hAnsi="Book Antiqua" w:cs="Times New Roman"/>
          <w:sz w:val="24"/>
        </w:rPr>
        <w:t xml:space="preserve">, dentro de un periodo de </w:t>
      </w:r>
      <w:r w:rsidR="004B4838">
        <w:rPr>
          <w:rFonts w:ascii="Book Antiqua" w:eastAsia="Times New Roman" w:hAnsi="Book Antiqua" w:cs="Times New Roman"/>
          <w:sz w:val="24"/>
        </w:rPr>
        <w:t>ciento ochenta</w:t>
      </w:r>
      <w:r w:rsidR="004B4838" w:rsidRPr="004B4838">
        <w:rPr>
          <w:rFonts w:ascii="Book Antiqua" w:eastAsia="Times New Roman" w:hAnsi="Book Antiqua" w:cs="Times New Roman"/>
          <w:sz w:val="24"/>
        </w:rPr>
        <w:t xml:space="preserve"> (</w:t>
      </w:r>
      <w:r w:rsidR="004B4838">
        <w:rPr>
          <w:rFonts w:ascii="Book Antiqua" w:eastAsia="Times New Roman" w:hAnsi="Book Antiqua" w:cs="Times New Roman"/>
          <w:sz w:val="24"/>
        </w:rPr>
        <w:t>18</w:t>
      </w:r>
      <w:r w:rsidR="004B4838" w:rsidRPr="004B4838">
        <w:rPr>
          <w:rFonts w:ascii="Book Antiqua" w:eastAsia="Times New Roman" w:hAnsi="Book Antiqua" w:cs="Times New Roman"/>
          <w:sz w:val="24"/>
        </w:rPr>
        <w:t>0) días contados a partir de la aprobación de esta Resolución</w:t>
      </w:r>
      <w:r w:rsidRPr="00AF0A89">
        <w:rPr>
          <w:rFonts w:ascii="Book Antiqua" w:eastAsia="Times New Roman" w:hAnsi="Book Antiqua" w:cs="Times New Roman"/>
          <w:sz w:val="24"/>
        </w:rPr>
        <w:t>.</w:t>
      </w:r>
      <w:r w:rsidR="004B4838">
        <w:rPr>
          <w:rFonts w:ascii="Book Antiqua" w:eastAsia="Times New Roman" w:hAnsi="Book Antiqua" w:cs="Times New Roman"/>
          <w:sz w:val="24"/>
        </w:rPr>
        <w:t xml:space="preserve"> </w:t>
      </w:r>
    </w:p>
    <w:p w14:paraId="6A8E3044" w14:textId="6BFCDA37" w:rsidR="00890C1A" w:rsidRPr="00243CC2" w:rsidRDefault="00243CC2" w:rsidP="00243CC2">
      <w:pPr>
        <w:pStyle w:val="Normal1"/>
        <w:widowControl w:val="0"/>
        <w:spacing w:line="480" w:lineRule="auto"/>
        <w:ind w:firstLine="720"/>
        <w:jc w:val="both"/>
        <w:rPr>
          <w:rFonts w:ascii="Book Antiqua" w:hAnsi="Book Antiqua"/>
          <w:sz w:val="24"/>
        </w:rPr>
      </w:pPr>
      <w:r>
        <w:rPr>
          <w:rFonts w:ascii="Book Antiqua" w:eastAsia="Times New Roman" w:hAnsi="Book Antiqua" w:cs="Times New Roman"/>
          <w:sz w:val="24"/>
        </w:rPr>
        <w:t>Sección 4</w:t>
      </w:r>
      <w:r w:rsidRPr="00093855">
        <w:rPr>
          <w:rFonts w:ascii="Book Antiqua" w:eastAsia="Times New Roman" w:hAnsi="Book Antiqua" w:cs="Times New Roman"/>
          <w:sz w:val="24"/>
        </w:rPr>
        <w:t>.-</w:t>
      </w:r>
      <w:r w:rsidRPr="00AF0A89">
        <w:rPr>
          <w:rFonts w:ascii="Book Antiqua" w:eastAsia="Times New Roman" w:hAnsi="Book Antiqua" w:cs="Times New Roman"/>
          <w:sz w:val="24"/>
        </w:rPr>
        <w:t>Esta Resolución comenzará a regir inmediatamente después de su aprobación.</w:t>
      </w:r>
    </w:p>
    <w:sectPr w:rsidR="00890C1A" w:rsidRPr="00243CC2"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D5A09" w14:textId="77777777" w:rsidR="008C2E6A" w:rsidRDefault="008C2E6A">
      <w:r>
        <w:separator/>
      </w:r>
    </w:p>
  </w:endnote>
  <w:endnote w:type="continuationSeparator" w:id="0">
    <w:p w14:paraId="77A9ED49" w14:textId="77777777" w:rsidR="008C2E6A" w:rsidRDefault="008C2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15AD3" w14:textId="77777777" w:rsidR="008C2E6A" w:rsidRDefault="008C2E6A">
      <w:r>
        <w:separator/>
      </w:r>
    </w:p>
  </w:footnote>
  <w:footnote w:type="continuationSeparator" w:id="0">
    <w:p w14:paraId="4FFBFAAD" w14:textId="77777777" w:rsidR="008C2E6A" w:rsidRDefault="008C2E6A">
      <w:r>
        <w:continuationSeparator/>
      </w:r>
    </w:p>
  </w:footnote>
  <w:footnote w:id="1">
    <w:p w14:paraId="5C9564BF" w14:textId="73FC46DC" w:rsidR="00E13D8B" w:rsidRDefault="00E13D8B">
      <w:pPr>
        <w:pStyle w:val="Textonotapie"/>
      </w:pPr>
      <w:r>
        <w:rPr>
          <w:rStyle w:val="Refdenotaalpie"/>
        </w:rPr>
        <w:footnoteRef/>
      </w:r>
      <w:r>
        <w:t xml:space="preserve"> </w:t>
      </w:r>
      <w:hyperlink r:id="rId1" w:history="1">
        <w:r w:rsidRPr="00C8718B">
          <w:rPr>
            <w:rStyle w:val="Hipervnculo"/>
          </w:rPr>
          <w:t>https://s3.documentcloud.org/documents/28086297/usa-v-juan-carlos-ortiz-vazquez.pdf</w:t>
        </w:r>
      </w:hyperlink>
      <w:r>
        <w:t xml:space="preserve"> </w:t>
      </w:r>
    </w:p>
  </w:footnote>
  <w:footnote w:id="2">
    <w:p w14:paraId="501359CE" w14:textId="46FC5863" w:rsidR="00604D8C" w:rsidRDefault="00604D8C">
      <w:pPr>
        <w:pStyle w:val="Textonotapie"/>
      </w:pPr>
      <w:r>
        <w:rPr>
          <w:rStyle w:val="Refdenotaalpie"/>
        </w:rPr>
        <w:footnoteRef/>
      </w:r>
      <w:r>
        <w:t xml:space="preserve"> </w:t>
      </w:r>
      <w:hyperlink r:id="rId2" w:history="1">
        <w:r w:rsidRPr="00C8718B">
          <w:rPr>
            <w:rStyle w:val="Hipervnculo"/>
          </w:rPr>
          <w:t>https://www.propublica.org/article/trump-doj-puerto-rico-election-fraud-prison-drugs-votes</w:t>
        </w:r>
      </w:hyperlink>
      <w:r>
        <w:t xml:space="preserve"> </w:t>
      </w:r>
    </w:p>
  </w:footnote>
  <w:footnote w:id="3">
    <w:p w14:paraId="1B848DAB" w14:textId="4C462DC8" w:rsidR="001E52BA" w:rsidRDefault="001E52BA">
      <w:pPr>
        <w:pStyle w:val="Textonotapie"/>
      </w:pPr>
      <w:r>
        <w:rPr>
          <w:rStyle w:val="Refdenotaalpie"/>
        </w:rPr>
        <w:footnoteRef/>
      </w:r>
      <w:hyperlink r:id="rId3" w:history="1">
        <w:r w:rsidRPr="00C8718B">
          <w:rPr>
            <w:rStyle w:val="Hipervnculo"/>
          </w:rPr>
          <w:t>https://cdc.pr.gov/InstitutoDeEducacion/RecursosEducativos/Informes/Informe%20Procesos%20Electorales%202024.pdf?csf=1&amp;e=8TdspX</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20C62"/>
    <w:rsid w:val="00030742"/>
    <w:rsid w:val="0003393F"/>
    <w:rsid w:val="00035E54"/>
    <w:rsid w:val="00043B21"/>
    <w:rsid w:val="00056024"/>
    <w:rsid w:val="00074568"/>
    <w:rsid w:val="00092805"/>
    <w:rsid w:val="00095AE1"/>
    <w:rsid w:val="000A5AF7"/>
    <w:rsid w:val="000A6B6C"/>
    <w:rsid w:val="000B0DBB"/>
    <w:rsid w:val="000B587D"/>
    <w:rsid w:val="000B5F20"/>
    <w:rsid w:val="000C3C2B"/>
    <w:rsid w:val="000C6C28"/>
    <w:rsid w:val="000D6CA4"/>
    <w:rsid w:val="000F5878"/>
    <w:rsid w:val="00111E71"/>
    <w:rsid w:val="00121EE6"/>
    <w:rsid w:val="00127C6A"/>
    <w:rsid w:val="00131B70"/>
    <w:rsid w:val="001363FE"/>
    <w:rsid w:val="00140EF6"/>
    <w:rsid w:val="0014430B"/>
    <w:rsid w:val="00152A06"/>
    <w:rsid w:val="00153407"/>
    <w:rsid w:val="0016070A"/>
    <w:rsid w:val="00160CBC"/>
    <w:rsid w:val="00162DB8"/>
    <w:rsid w:val="0017132B"/>
    <w:rsid w:val="001760FD"/>
    <w:rsid w:val="001850B4"/>
    <w:rsid w:val="00185988"/>
    <w:rsid w:val="00196D30"/>
    <w:rsid w:val="001A3C9D"/>
    <w:rsid w:val="001A4F41"/>
    <w:rsid w:val="001C42D4"/>
    <w:rsid w:val="001D54A2"/>
    <w:rsid w:val="001D6647"/>
    <w:rsid w:val="001E0D88"/>
    <w:rsid w:val="001E49AB"/>
    <w:rsid w:val="001E52BA"/>
    <w:rsid w:val="001F4CA3"/>
    <w:rsid w:val="001F612A"/>
    <w:rsid w:val="00200720"/>
    <w:rsid w:val="00203EFC"/>
    <w:rsid w:val="00206DDA"/>
    <w:rsid w:val="00211396"/>
    <w:rsid w:val="002171CA"/>
    <w:rsid w:val="00226AE6"/>
    <w:rsid w:val="002314F5"/>
    <w:rsid w:val="00242D78"/>
    <w:rsid w:val="00243CC2"/>
    <w:rsid w:val="00245B34"/>
    <w:rsid w:val="00246130"/>
    <w:rsid w:val="002502B0"/>
    <w:rsid w:val="00253529"/>
    <w:rsid w:val="00261EBD"/>
    <w:rsid w:val="00263355"/>
    <w:rsid w:val="00273792"/>
    <w:rsid w:val="0028127E"/>
    <w:rsid w:val="00295E43"/>
    <w:rsid w:val="002A35C8"/>
    <w:rsid w:val="002A7B3A"/>
    <w:rsid w:val="002B071E"/>
    <w:rsid w:val="002B3DC5"/>
    <w:rsid w:val="002B7EDC"/>
    <w:rsid w:val="002C3354"/>
    <w:rsid w:val="002D4AC8"/>
    <w:rsid w:val="002D4BD9"/>
    <w:rsid w:val="002E43CA"/>
    <w:rsid w:val="002E59C0"/>
    <w:rsid w:val="002F711A"/>
    <w:rsid w:val="00305B2A"/>
    <w:rsid w:val="00311A60"/>
    <w:rsid w:val="00317163"/>
    <w:rsid w:val="00320D78"/>
    <w:rsid w:val="003372BC"/>
    <w:rsid w:val="003372CE"/>
    <w:rsid w:val="00343C46"/>
    <w:rsid w:val="00351CD3"/>
    <w:rsid w:val="00380FE5"/>
    <w:rsid w:val="003924DD"/>
    <w:rsid w:val="00394FCB"/>
    <w:rsid w:val="003963F4"/>
    <w:rsid w:val="00397466"/>
    <w:rsid w:val="00397F4A"/>
    <w:rsid w:val="003A0EBF"/>
    <w:rsid w:val="003A4821"/>
    <w:rsid w:val="003A6D9A"/>
    <w:rsid w:val="003B0B8A"/>
    <w:rsid w:val="003B5254"/>
    <w:rsid w:val="003B580C"/>
    <w:rsid w:val="003B5BF6"/>
    <w:rsid w:val="003B75A6"/>
    <w:rsid w:val="003F5AF9"/>
    <w:rsid w:val="004061CA"/>
    <w:rsid w:val="0041111D"/>
    <w:rsid w:val="00415689"/>
    <w:rsid w:val="004211E7"/>
    <w:rsid w:val="00421A22"/>
    <w:rsid w:val="004220A9"/>
    <w:rsid w:val="004244F7"/>
    <w:rsid w:val="00425E31"/>
    <w:rsid w:val="004264F3"/>
    <w:rsid w:val="0042775F"/>
    <w:rsid w:val="00432CB5"/>
    <w:rsid w:val="00436C3E"/>
    <w:rsid w:val="004440CB"/>
    <w:rsid w:val="00444369"/>
    <w:rsid w:val="00445FC5"/>
    <w:rsid w:val="0044682A"/>
    <w:rsid w:val="00461578"/>
    <w:rsid w:val="00462A30"/>
    <w:rsid w:val="0046496D"/>
    <w:rsid w:val="004660D9"/>
    <w:rsid w:val="00467695"/>
    <w:rsid w:val="004713D2"/>
    <w:rsid w:val="00471DFA"/>
    <w:rsid w:val="00473A4B"/>
    <w:rsid w:val="0047775F"/>
    <w:rsid w:val="00486727"/>
    <w:rsid w:val="004879C9"/>
    <w:rsid w:val="00487E1F"/>
    <w:rsid w:val="00495FE7"/>
    <w:rsid w:val="004A24D4"/>
    <w:rsid w:val="004A74A8"/>
    <w:rsid w:val="004B4838"/>
    <w:rsid w:val="004B594A"/>
    <w:rsid w:val="004B615E"/>
    <w:rsid w:val="004B660B"/>
    <w:rsid w:val="004D6BF6"/>
    <w:rsid w:val="004E1B57"/>
    <w:rsid w:val="004F5126"/>
    <w:rsid w:val="00501551"/>
    <w:rsid w:val="00501A6A"/>
    <w:rsid w:val="00521639"/>
    <w:rsid w:val="00525A33"/>
    <w:rsid w:val="0052618B"/>
    <w:rsid w:val="00532BB7"/>
    <w:rsid w:val="005332E4"/>
    <w:rsid w:val="00534092"/>
    <w:rsid w:val="0053550C"/>
    <w:rsid w:val="0053775D"/>
    <w:rsid w:val="00547F18"/>
    <w:rsid w:val="005544A2"/>
    <w:rsid w:val="00555018"/>
    <w:rsid w:val="005556B4"/>
    <w:rsid w:val="00557D07"/>
    <w:rsid w:val="005723DC"/>
    <w:rsid w:val="00587B04"/>
    <w:rsid w:val="005924B5"/>
    <w:rsid w:val="005964E1"/>
    <w:rsid w:val="005A7CAC"/>
    <w:rsid w:val="005B69F5"/>
    <w:rsid w:val="005B6AC8"/>
    <w:rsid w:val="005C236B"/>
    <w:rsid w:val="005D5464"/>
    <w:rsid w:val="005D679A"/>
    <w:rsid w:val="005F25DA"/>
    <w:rsid w:val="00604D8C"/>
    <w:rsid w:val="0061442E"/>
    <w:rsid w:val="0061708B"/>
    <w:rsid w:val="006210DC"/>
    <w:rsid w:val="00622CED"/>
    <w:rsid w:val="00627474"/>
    <w:rsid w:val="0064349D"/>
    <w:rsid w:val="006461F0"/>
    <w:rsid w:val="00653E1E"/>
    <w:rsid w:val="00653EED"/>
    <w:rsid w:val="00656763"/>
    <w:rsid w:val="00657554"/>
    <w:rsid w:val="00663DBE"/>
    <w:rsid w:val="00667F05"/>
    <w:rsid w:val="006729B2"/>
    <w:rsid w:val="00685549"/>
    <w:rsid w:val="006874C9"/>
    <w:rsid w:val="006B7365"/>
    <w:rsid w:val="006C2D81"/>
    <w:rsid w:val="006C7DF8"/>
    <w:rsid w:val="006D4B6E"/>
    <w:rsid w:val="006E5DD4"/>
    <w:rsid w:val="006E6775"/>
    <w:rsid w:val="006F03E8"/>
    <w:rsid w:val="006F6DB6"/>
    <w:rsid w:val="00701991"/>
    <w:rsid w:val="00702186"/>
    <w:rsid w:val="00703717"/>
    <w:rsid w:val="00716CF2"/>
    <w:rsid w:val="00716D3A"/>
    <w:rsid w:val="007172D9"/>
    <w:rsid w:val="007223FC"/>
    <w:rsid w:val="00740270"/>
    <w:rsid w:val="00750FC8"/>
    <w:rsid w:val="007533D0"/>
    <w:rsid w:val="00755069"/>
    <w:rsid w:val="00761BAD"/>
    <w:rsid w:val="00772CD5"/>
    <w:rsid w:val="00776E8F"/>
    <w:rsid w:val="00781769"/>
    <w:rsid w:val="00781A52"/>
    <w:rsid w:val="00784ADA"/>
    <w:rsid w:val="007915D3"/>
    <w:rsid w:val="00791800"/>
    <w:rsid w:val="007A7BE5"/>
    <w:rsid w:val="007B0660"/>
    <w:rsid w:val="007C2AA3"/>
    <w:rsid w:val="007D449C"/>
    <w:rsid w:val="007E3868"/>
    <w:rsid w:val="007F03E4"/>
    <w:rsid w:val="00807638"/>
    <w:rsid w:val="00811111"/>
    <w:rsid w:val="00820C41"/>
    <w:rsid w:val="008304B2"/>
    <w:rsid w:val="00844906"/>
    <w:rsid w:val="00850256"/>
    <w:rsid w:val="00853DCB"/>
    <w:rsid w:val="008629FB"/>
    <w:rsid w:val="0087658B"/>
    <w:rsid w:val="008769A5"/>
    <w:rsid w:val="0088150D"/>
    <w:rsid w:val="00890C1A"/>
    <w:rsid w:val="00896423"/>
    <w:rsid w:val="00897291"/>
    <w:rsid w:val="008A3E27"/>
    <w:rsid w:val="008B578C"/>
    <w:rsid w:val="008C2194"/>
    <w:rsid w:val="008C2E6A"/>
    <w:rsid w:val="008C6B09"/>
    <w:rsid w:val="008E656A"/>
    <w:rsid w:val="008F0224"/>
    <w:rsid w:val="008F307D"/>
    <w:rsid w:val="008F435B"/>
    <w:rsid w:val="008F6077"/>
    <w:rsid w:val="00902B57"/>
    <w:rsid w:val="0091384D"/>
    <w:rsid w:val="00916A94"/>
    <w:rsid w:val="009259F2"/>
    <w:rsid w:val="0093330E"/>
    <w:rsid w:val="0093686F"/>
    <w:rsid w:val="00942FD4"/>
    <w:rsid w:val="00951997"/>
    <w:rsid w:val="00960F9E"/>
    <w:rsid w:val="00976DCD"/>
    <w:rsid w:val="0098132E"/>
    <w:rsid w:val="009834E1"/>
    <w:rsid w:val="00990352"/>
    <w:rsid w:val="0099602F"/>
    <w:rsid w:val="009A4161"/>
    <w:rsid w:val="009A6BB9"/>
    <w:rsid w:val="009A75D3"/>
    <w:rsid w:val="009B696A"/>
    <w:rsid w:val="009C13F0"/>
    <w:rsid w:val="009C1D7D"/>
    <w:rsid w:val="009E0CE5"/>
    <w:rsid w:val="009E10AF"/>
    <w:rsid w:val="009F211B"/>
    <w:rsid w:val="00A03405"/>
    <w:rsid w:val="00A04745"/>
    <w:rsid w:val="00A12045"/>
    <w:rsid w:val="00A12881"/>
    <w:rsid w:val="00A1528A"/>
    <w:rsid w:val="00A33918"/>
    <w:rsid w:val="00A466F3"/>
    <w:rsid w:val="00A60C09"/>
    <w:rsid w:val="00A7629F"/>
    <w:rsid w:val="00A903E7"/>
    <w:rsid w:val="00A94DDD"/>
    <w:rsid w:val="00AA06CC"/>
    <w:rsid w:val="00AB78E2"/>
    <w:rsid w:val="00AC1D44"/>
    <w:rsid w:val="00AC2EC5"/>
    <w:rsid w:val="00AC310E"/>
    <w:rsid w:val="00AD086A"/>
    <w:rsid w:val="00AD3BF2"/>
    <w:rsid w:val="00AD400E"/>
    <w:rsid w:val="00AF0CEE"/>
    <w:rsid w:val="00B14053"/>
    <w:rsid w:val="00B155D0"/>
    <w:rsid w:val="00B1631A"/>
    <w:rsid w:val="00B1764D"/>
    <w:rsid w:val="00B177D5"/>
    <w:rsid w:val="00B20CFB"/>
    <w:rsid w:val="00B2143D"/>
    <w:rsid w:val="00B36D47"/>
    <w:rsid w:val="00B45DFB"/>
    <w:rsid w:val="00B5095B"/>
    <w:rsid w:val="00B51752"/>
    <w:rsid w:val="00B53DD9"/>
    <w:rsid w:val="00B667AD"/>
    <w:rsid w:val="00B84C38"/>
    <w:rsid w:val="00B86C00"/>
    <w:rsid w:val="00B91966"/>
    <w:rsid w:val="00B92475"/>
    <w:rsid w:val="00B947F6"/>
    <w:rsid w:val="00B95EF5"/>
    <w:rsid w:val="00BA4F2B"/>
    <w:rsid w:val="00BA6AB1"/>
    <w:rsid w:val="00BB3E3C"/>
    <w:rsid w:val="00BB7DAD"/>
    <w:rsid w:val="00BC0B34"/>
    <w:rsid w:val="00BC5ED8"/>
    <w:rsid w:val="00BD2C62"/>
    <w:rsid w:val="00BD7181"/>
    <w:rsid w:val="00BE0CD3"/>
    <w:rsid w:val="00BE2564"/>
    <w:rsid w:val="00BE5E80"/>
    <w:rsid w:val="00BF16AA"/>
    <w:rsid w:val="00BF3784"/>
    <w:rsid w:val="00C05908"/>
    <w:rsid w:val="00C07CBE"/>
    <w:rsid w:val="00C07DC8"/>
    <w:rsid w:val="00C216A3"/>
    <w:rsid w:val="00C242C9"/>
    <w:rsid w:val="00C24E41"/>
    <w:rsid w:val="00C32139"/>
    <w:rsid w:val="00C354B8"/>
    <w:rsid w:val="00C43193"/>
    <w:rsid w:val="00C4614A"/>
    <w:rsid w:val="00C52517"/>
    <w:rsid w:val="00C56632"/>
    <w:rsid w:val="00C60921"/>
    <w:rsid w:val="00C62936"/>
    <w:rsid w:val="00C64D1E"/>
    <w:rsid w:val="00C653F2"/>
    <w:rsid w:val="00C679E6"/>
    <w:rsid w:val="00C819A5"/>
    <w:rsid w:val="00C9029A"/>
    <w:rsid w:val="00C908F9"/>
    <w:rsid w:val="00CA0917"/>
    <w:rsid w:val="00CA1099"/>
    <w:rsid w:val="00CA1D0F"/>
    <w:rsid w:val="00CA5082"/>
    <w:rsid w:val="00CD455F"/>
    <w:rsid w:val="00CF32D2"/>
    <w:rsid w:val="00CF3BA1"/>
    <w:rsid w:val="00D06A74"/>
    <w:rsid w:val="00D23274"/>
    <w:rsid w:val="00D2391F"/>
    <w:rsid w:val="00D24E34"/>
    <w:rsid w:val="00D25F4E"/>
    <w:rsid w:val="00D417C2"/>
    <w:rsid w:val="00D51125"/>
    <w:rsid w:val="00D536D1"/>
    <w:rsid w:val="00D60936"/>
    <w:rsid w:val="00D6244F"/>
    <w:rsid w:val="00D63B14"/>
    <w:rsid w:val="00D709EB"/>
    <w:rsid w:val="00D740BD"/>
    <w:rsid w:val="00D74714"/>
    <w:rsid w:val="00D76B6A"/>
    <w:rsid w:val="00D81EFB"/>
    <w:rsid w:val="00D82F3F"/>
    <w:rsid w:val="00D84023"/>
    <w:rsid w:val="00D921C6"/>
    <w:rsid w:val="00D958C2"/>
    <w:rsid w:val="00DA67AA"/>
    <w:rsid w:val="00DC23AD"/>
    <w:rsid w:val="00DE08B4"/>
    <w:rsid w:val="00DF5FA3"/>
    <w:rsid w:val="00E03207"/>
    <w:rsid w:val="00E04AB5"/>
    <w:rsid w:val="00E13D8B"/>
    <w:rsid w:val="00E208BD"/>
    <w:rsid w:val="00E36C92"/>
    <w:rsid w:val="00E50EEA"/>
    <w:rsid w:val="00E52F58"/>
    <w:rsid w:val="00E562B3"/>
    <w:rsid w:val="00E57F17"/>
    <w:rsid w:val="00E67104"/>
    <w:rsid w:val="00E74C1C"/>
    <w:rsid w:val="00E8181D"/>
    <w:rsid w:val="00E87913"/>
    <w:rsid w:val="00E90C8C"/>
    <w:rsid w:val="00EA22E0"/>
    <w:rsid w:val="00EA29BC"/>
    <w:rsid w:val="00EA413B"/>
    <w:rsid w:val="00EA7E1A"/>
    <w:rsid w:val="00EB2B03"/>
    <w:rsid w:val="00EB6B8A"/>
    <w:rsid w:val="00EC26AA"/>
    <w:rsid w:val="00ED1E2F"/>
    <w:rsid w:val="00ED6FD2"/>
    <w:rsid w:val="00ED7A53"/>
    <w:rsid w:val="00EE1241"/>
    <w:rsid w:val="00EE4273"/>
    <w:rsid w:val="00EE69A1"/>
    <w:rsid w:val="00F02004"/>
    <w:rsid w:val="00F042CB"/>
    <w:rsid w:val="00F10F4B"/>
    <w:rsid w:val="00F13047"/>
    <w:rsid w:val="00F14DC1"/>
    <w:rsid w:val="00F17F4E"/>
    <w:rsid w:val="00F31AAC"/>
    <w:rsid w:val="00F34813"/>
    <w:rsid w:val="00F40CF3"/>
    <w:rsid w:val="00F45A24"/>
    <w:rsid w:val="00F51823"/>
    <w:rsid w:val="00F538B1"/>
    <w:rsid w:val="00F60A20"/>
    <w:rsid w:val="00F73338"/>
    <w:rsid w:val="00FA00FA"/>
    <w:rsid w:val="00FB5FF6"/>
    <w:rsid w:val="00FC0A95"/>
    <w:rsid w:val="00FC3D9C"/>
    <w:rsid w:val="00FC7C91"/>
    <w:rsid w:val="00FD2623"/>
    <w:rsid w:val="00FF0153"/>
    <w:rsid w:val="00FF12D9"/>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703717"/>
    <w:rPr>
      <w:sz w:val="20"/>
    </w:rPr>
  </w:style>
  <w:style w:type="character" w:customStyle="1" w:styleId="TextonotapieCar">
    <w:name w:val="Texto nota pie Car"/>
    <w:basedOn w:val="Fuentedeprrafopredeter"/>
    <w:link w:val="Textonotapie"/>
    <w:uiPriority w:val="99"/>
    <w:semiHidden/>
    <w:rsid w:val="00703717"/>
  </w:style>
  <w:style w:type="character" w:styleId="Refdenotaalpie">
    <w:name w:val="footnote reference"/>
    <w:basedOn w:val="Fuentedeprrafopredeter"/>
    <w:uiPriority w:val="99"/>
    <w:semiHidden/>
    <w:unhideWhenUsed/>
    <w:rsid w:val="00703717"/>
    <w:rPr>
      <w:vertAlign w:val="superscript"/>
    </w:rPr>
  </w:style>
  <w:style w:type="character" w:styleId="Hipervnculo">
    <w:name w:val="Hyperlink"/>
    <w:basedOn w:val="Fuentedeprrafopredeter"/>
    <w:uiPriority w:val="99"/>
    <w:unhideWhenUsed/>
    <w:rsid w:val="00703717"/>
    <w:rPr>
      <w:color w:val="0563C1" w:themeColor="hyperlink"/>
      <w:u w:val="single"/>
    </w:rPr>
  </w:style>
  <w:style w:type="character" w:styleId="Mencinsinresolver">
    <w:name w:val="Unresolved Mention"/>
    <w:basedOn w:val="Fuentedeprrafopredeter"/>
    <w:uiPriority w:val="99"/>
    <w:semiHidden/>
    <w:unhideWhenUsed/>
    <w:rsid w:val="00703717"/>
    <w:rPr>
      <w:color w:val="605E5C"/>
      <w:shd w:val="clear" w:color="auto" w:fill="E1DFDD"/>
    </w:rPr>
  </w:style>
  <w:style w:type="paragraph" w:customStyle="1" w:styleId="Normal1">
    <w:name w:val="Normal1"/>
    <w:rsid w:val="00243CC2"/>
    <w:pPr>
      <w:spacing w:line="276" w:lineRule="auto"/>
    </w:pPr>
    <w:rPr>
      <w:rFonts w:ascii="Arial" w:eastAsia="Arial" w:hAnsi="Arial" w:cs="Arial"/>
      <w:color w:val="000000"/>
      <w:sz w:val="22"/>
      <w:szCs w:val="24"/>
      <w:lang w:val="es-ES_tradnl"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cdc.pr.gov/InstitutoDeEducacion/RecursosEducativos/Informes/Informe%20Procesos%20Electorales%202024.pdf?csf=1&amp;e=8TdspX" TargetMode="External"/><Relationship Id="rId2" Type="http://schemas.openxmlformats.org/officeDocument/2006/relationships/hyperlink" Target="https://www.propublica.org/article/trump-doj-puerto-rico-election-fraud-prison-drugs-votes" TargetMode="External"/><Relationship Id="rId1" Type="http://schemas.openxmlformats.org/officeDocument/2006/relationships/hyperlink" Target="https://s3.documentcloud.org/documents/28086297/usa-v-juan-carlos-ortiz-vazquez.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1280</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2026-05-05T17:03:00Z</cp:lastPrinted>
  <dcterms:created xsi:type="dcterms:W3CDTF">2026-05-05T18:59:00Z</dcterms:created>
  <dcterms:modified xsi:type="dcterms:W3CDTF">2026-05-05T20:32:00Z</dcterms:modified>
</cp:coreProperties>
</file>