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AD20E9" w14:textId="77777777" w:rsidR="008A7FE5" w:rsidRPr="0076587D" w:rsidRDefault="008A7FE5" w:rsidP="008A7FE5">
      <w:pPr>
        <w:jc w:val="center"/>
        <w:rPr>
          <w:rFonts w:ascii="Book Antiqua" w:eastAsia="Times New Roman" w:hAnsi="Book Antiqua"/>
          <w:b/>
          <w:bCs/>
          <w:sz w:val="36"/>
          <w:szCs w:val="36"/>
          <w:lang w:val="es-ES"/>
        </w:rPr>
      </w:pPr>
      <w:r w:rsidRPr="0076587D">
        <w:rPr>
          <w:rFonts w:ascii="Book Antiqua" w:eastAsia="Times New Roman" w:hAnsi="Book Antiqua"/>
          <w:b/>
          <w:bCs/>
          <w:sz w:val="36"/>
          <w:szCs w:val="36"/>
        </w:rPr>
        <w:t>GOBIERNO DE PUERTO RICO</w:t>
      </w:r>
    </w:p>
    <w:p w14:paraId="21D45B7F" w14:textId="77777777" w:rsidR="008A7FE5" w:rsidRPr="0076587D" w:rsidRDefault="008A7FE5" w:rsidP="008A7FE5">
      <w:pPr>
        <w:jc w:val="center"/>
        <w:rPr>
          <w:rFonts w:ascii="Book Antiqua" w:eastAsia="Times New Roman" w:hAnsi="Book Antiqua"/>
          <w:szCs w:val="20"/>
          <w:lang w:val="es-ES"/>
        </w:rPr>
      </w:pPr>
    </w:p>
    <w:p w14:paraId="6AC6CA3C" w14:textId="5597CC99" w:rsidR="008A7FE5" w:rsidRPr="0076587D" w:rsidRDefault="008A7FE5" w:rsidP="008A7FE5">
      <w:pPr>
        <w:jc w:val="both"/>
        <w:rPr>
          <w:rFonts w:ascii="Book Antiqua" w:eastAsia="Times New Roman" w:hAnsi="Book Antiqua"/>
          <w:szCs w:val="20"/>
          <w:lang w:val="es-ES"/>
        </w:rPr>
      </w:pPr>
      <w:r w:rsidRPr="0076587D">
        <w:rPr>
          <w:rFonts w:ascii="Book Antiqua" w:eastAsia="Times New Roman" w:hAnsi="Book Antiqua"/>
          <w:szCs w:val="20"/>
          <w:lang w:val="es-ES"/>
        </w:rPr>
        <w:t>20ma. Asamblea</w:t>
      </w:r>
      <w:r w:rsidRPr="0076587D">
        <w:rPr>
          <w:rFonts w:ascii="Book Antiqua" w:eastAsia="Times New Roman" w:hAnsi="Book Antiqua"/>
          <w:szCs w:val="20"/>
          <w:lang w:val="es-ES"/>
        </w:rPr>
        <w:tab/>
        <w:t xml:space="preserve">                                                                                                </w:t>
      </w:r>
      <w:r w:rsidR="00F57766">
        <w:rPr>
          <w:rFonts w:ascii="Book Antiqua" w:eastAsia="Times New Roman" w:hAnsi="Book Antiqua"/>
          <w:szCs w:val="20"/>
          <w:lang w:val="es-ES"/>
        </w:rPr>
        <w:t>3r</w:t>
      </w:r>
      <w:r w:rsidRPr="0076587D">
        <w:rPr>
          <w:rFonts w:ascii="Book Antiqua" w:eastAsia="Times New Roman" w:hAnsi="Book Antiqua"/>
          <w:szCs w:val="20"/>
          <w:lang w:val="es-ES"/>
        </w:rPr>
        <w:t>a. Sesión</w:t>
      </w:r>
    </w:p>
    <w:p w14:paraId="67495B5A" w14:textId="77777777" w:rsidR="008A7FE5" w:rsidRPr="0076587D" w:rsidRDefault="008A7FE5" w:rsidP="008A7FE5">
      <w:pPr>
        <w:jc w:val="both"/>
        <w:rPr>
          <w:rFonts w:ascii="Book Antiqua" w:eastAsia="Times New Roman" w:hAnsi="Book Antiqua"/>
          <w:szCs w:val="20"/>
          <w:lang w:val="es-ES"/>
        </w:rPr>
      </w:pPr>
      <w:r w:rsidRPr="0076587D">
        <w:rPr>
          <w:rFonts w:ascii="Book Antiqua" w:eastAsia="Times New Roman" w:hAnsi="Book Antiqua"/>
          <w:szCs w:val="20"/>
          <w:lang w:val="es-ES"/>
        </w:rPr>
        <w:t xml:space="preserve">          Legislativa                                                                                                             Ordinaria</w:t>
      </w:r>
    </w:p>
    <w:p w14:paraId="044279C5" w14:textId="77777777" w:rsidR="008A7FE5" w:rsidRPr="0076587D" w:rsidRDefault="008A7FE5" w:rsidP="008A7FE5">
      <w:pPr>
        <w:rPr>
          <w:rFonts w:ascii="Book Antiqua" w:eastAsia="Times New Roman" w:hAnsi="Book Antiqua"/>
          <w:lang w:val="es-ES"/>
        </w:rPr>
      </w:pPr>
    </w:p>
    <w:p w14:paraId="05462787" w14:textId="77777777" w:rsidR="008A7FE5" w:rsidRPr="0076587D" w:rsidRDefault="008A7FE5" w:rsidP="008A7FE5">
      <w:pPr>
        <w:jc w:val="center"/>
        <w:rPr>
          <w:rFonts w:ascii="Book Antiqua" w:eastAsia="Times New Roman" w:hAnsi="Book Antiqua"/>
          <w:b/>
          <w:sz w:val="36"/>
          <w:szCs w:val="36"/>
          <w:lang w:val="es-ES"/>
        </w:rPr>
      </w:pPr>
      <w:r w:rsidRPr="0076587D">
        <w:rPr>
          <w:rFonts w:ascii="Book Antiqua" w:eastAsia="Times New Roman" w:hAnsi="Book Antiqua"/>
          <w:b/>
          <w:sz w:val="36"/>
          <w:szCs w:val="36"/>
          <w:lang w:val="es-ES"/>
        </w:rPr>
        <w:t>CÁMARA DE REPRESENTANTES</w:t>
      </w:r>
    </w:p>
    <w:p w14:paraId="6F6718EB" w14:textId="77777777" w:rsidR="008A7FE5" w:rsidRPr="0076587D" w:rsidRDefault="008A7FE5" w:rsidP="008A7FE5">
      <w:pPr>
        <w:jc w:val="center"/>
        <w:rPr>
          <w:rFonts w:ascii="Book Antiqua" w:eastAsia="Times New Roman" w:hAnsi="Book Antiqua"/>
          <w:bCs/>
          <w:lang w:val="es-ES"/>
        </w:rPr>
      </w:pPr>
    </w:p>
    <w:p w14:paraId="6133D605" w14:textId="3020B10F" w:rsidR="008A7FE5" w:rsidRPr="0076587D" w:rsidRDefault="008A7FE5" w:rsidP="008A7FE5">
      <w:pPr>
        <w:jc w:val="center"/>
        <w:rPr>
          <w:rFonts w:ascii="Book Antiqua" w:eastAsia="Times New Roman" w:hAnsi="Book Antiqua"/>
          <w:b/>
          <w:sz w:val="52"/>
          <w:szCs w:val="52"/>
          <w:lang w:val="es-ES"/>
        </w:rPr>
      </w:pPr>
      <w:r w:rsidRPr="0076587D">
        <w:rPr>
          <w:rFonts w:ascii="Book Antiqua" w:eastAsia="Times New Roman" w:hAnsi="Book Antiqua"/>
          <w:b/>
          <w:sz w:val="52"/>
          <w:szCs w:val="52"/>
          <w:lang w:val="es-ES"/>
        </w:rPr>
        <w:t xml:space="preserve">P. de la C. </w:t>
      </w:r>
      <w:r w:rsidR="00725800">
        <w:rPr>
          <w:rFonts w:ascii="Book Antiqua" w:eastAsia="Times New Roman" w:hAnsi="Book Antiqua"/>
          <w:b/>
          <w:sz w:val="52"/>
          <w:szCs w:val="52"/>
          <w:lang w:val="es-ES"/>
        </w:rPr>
        <w:t>126</w:t>
      </w:r>
      <w:r w:rsidR="00BF1A02">
        <w:rPr>
          <w:rFonts w:ascii="Book Antiqua" w:eastAsia="Times New Roman" w:hAnsi="Book Antiqua"/>
          <w:b/>
          <w:sz w:val="52"/>
          <w:szCs w:val="52"/>
          <w:lang w:val="es-ES"/>
        </w:rPr>
        <w:t>0</w:t>
      </w:r>
    </w:p>
    <w:p w14:paraId="1CA67854" w14:textId="77777777" w:rsidR="008A7FE5" w:rsidRPr="0076587D" w:rsidRDefault="008A7FE5" w:rsidP="008A7FE5">
      <w:pPr>
        <w:jc w:val="center"/>
        <w:rPr>
          <w:rFonts w:ascii="Book Antiqua" w:eastAsia="Times New Roman" w:hAnsi="Book Antiqua"/>
          <w:lang w:val="es-ES"/>
        </w:rPr>
      </w:pPr>
    </w:p>
    <w:p w14:paraId="3962E151" w14:textId="60CD1D9E" w:rsidR="008A7FE5" w:rsidRPr="0076587D" w:rsidRDefault="00725800" w:rsidP="008A7FE5">
      <w:pPr>
        <w:jc w:val="center"/>
        <w:rPr>
          <w:rFonts w:ascii="Book Antiqua" w:eastAsia="Times New Roman" w:hAnsi="Book Antiqua"/>
          <w:lang w:val="es-ES"/>
        </w:rPr>
      </w:pPr>
      <w:r>
        <w:rPr>
          <w:rFonts w:ascii="Book Antiqua" w:eastAsia="Times New Roman" w:hAnsi="Book Antiqua"/>
          <w:lang w:val="es-ES"/>
        </w:rPr>
        <w:t>7</w:t>
      </w:r>
      <w:r w:rsidR="0013020D">
        <w:rPr>
          <w:rFonts w:ascii="Book Antiqua" w:eastAsia="Times New Roman" w:hAnsi="Book Antiqua"/>
          <w:lang w:val="es-ES"/>
        </w:rPr>
        <w:t xml:space="preserve"> </w:t>
      </w:r>
      <w:r w:rsidR="008A7FE5" w:rsidRPr="0076587D">
        <w:rPr>
          <w:rFonts w:ascii="Book Antiqua" w:eastAsia="Times New Roman" w:hAnsi="Book Antiqua"/>
          <w:lang w:val="es-ES"/>
        </w:rPr>
        <w:t xml:space="preserve">DE </w:t>
      </w:r>
      <w:r w:rsidR="00046DD4">
        <w:rPr>
          <w:rFonts w:ascii="Book Antiqua" w:eastAsia="Times New Roman" w:hAnsi="Book Antiqua"/>
          <w:lang w:val="es-ES"/>
        </w:rPr>
        <w:t>MAYO</w:t>
      </w:r>
      <w:r w:rsidR="008A7FE5" w:rsidRPr="0076587D">
        <w:rPr>
          <w:rFonts w:ascii="Book Antiqua" w:eastAsia="Times New Roman" w:hAnsi="Book Antiqua"/>
          <w:lang w:val="es-ES"/>
        </w:rPr>
        <w:t xml:space="preserve"> DE 202</w:t>
      </w:r>
      <w:r w:rsidR="00F57766">
        <w:rPr>
          <w:rFonts w:ascii="Book Antiqua" w:eastAsia="Times New Roman" w:hAnsi="Book Antiqua"/>
          <w:lang w:val="es-ES"/>
        </w:rPr>
        <w:t>6</w:t>
      </w:r>
    </w:p>
    <w:p w14:paraId="216AC01D" w14:textId="77777777" w:rsidR="008A7FE5" w:rsidRPr="0076587D" w:rsidRDefault="008A7FE5" w:rsidP="008A7FE5">
      <w:pPr>
        <w:jc w:val="center"/>
        <w:rPr>
          <w:rFonts w:ascii="Book Antiqua" w:eastAsia="Times New Roman" w:hAnsi="Book Antiqua"/>
          <w:lang w:val="es-ES"/>
        </w:rPr>
      </w:pPr>
      <w:r w:rsidRPr="0076587D">
        <w:rPr>
          <w:rFonts w:ascii="Book Antiqua" w:eastAsia="Times New Roman" w:hAnsi="Book Antiqua"/>
          <w:lang w:val="es-ES"/>
        </w:rPr>
        <w:t xml:space="preserve"> </w:t>
      </w:r>
    </w:p>
    <w:p w14:paraId="1758CA4A" w14:textId="77777777" w:rsidR="008A7FE5" w:rsidRPr="0076587D" w:rsidRDefault="008A7FE5" w:rsidP="008A7FE5">
      <w:pPr>
        <w:suppressLineNumbers/>
        <w:jc w:val="center"/>
        <w:rPr>
          <w:rFonts w:ascii="Book Antiqua" w:eastAsia="Times New Roman" w:hAnsi="Book Antiqua"/>
          <w:lang w:val="es-ES"/>
        </w:rPr>
      </w:pPr>
      <w:r w:rsidRPr="0076587D">
        <w:rPr>
          <w:rFonts w:ascii="Book Antiqua" w:hAnsi="Book Antiqua"/>
          <w:lang w:val="es-ES"/>
        </w:rPr>
        <w:t>Presentado por el representante</w:t>
      </w:r>
      <w:r w:rsidRPr="00A61267">
        <w:rPr>
          <w:rFonts w:ascii="Book Antiqua" w:hAnsi="Book Antiqua"/>
          <w:i/>
          <w:iCs/>
          <w:lang w:val="es-ES"/>
        </w:rPr>
        <w:t xml:space="preserve"> </w:t>
      </w:r>
      <w:r w:rsidRPr="006B6060">
        <w:rPr>
          <w:rFonts w:ascii="Book Antiqua" w:hAnsi="Book Antiqua"/>
          <w:i/>
          <w:iCs/>
          <w:lang w:val="es-ES"/>
        </w:rPr>
        <w:t>Pacheco Burgos</w:t>
      </w:r>
      <w:r w:rsidRPr="0076587D">
        <w:rPr>
          <w:rFonts w:ascii="Book Antiqua" w:hAnsi="Book Antiqua"/>
          <w:lang w:val="es-ES"/>
        </w:rPr>
        <w:t xml:space="preserve"> </w:t>
      </w:r>
    </w:p>
    <w:p w14:paraId="28E95AFF" w14:textId="77777777" w:rsidR="008A7FE5" w:rsidRPr="0076587D" w:rsidRDefault="008A7FE5" w:rsidP="00D04E2E">
      <w:pPr>
        <w:suppressLineNumbers/>
        <w:rPr>
          <w:rFonts w:ascii="Book Antiqua" w:eastAsia="Times New Roman" w:hAnsi="Book Antiqua"/>
          <w:lang w:val="es-ES"/>
        </w:rPr>
      </w:pPr>
    </w:p>
    <w:p w14:paraId="1B54B8AA" w14:textId="18D84F86" w:rsidR="008A7FE5" w:rsidRPr="0076587D" w:rsidRDefault="008A7FE5" w:rsidP="008A7FE5">
      <w:pPr>
        <w:suppressLineNumbers/>
        <w:jc w:val="center"/>
        <w:rPr>
          <w:rFonts w:ascii="Book Antiqua" w:eastAsia="Times New Roman" w:hAnsi="Book Antiqua"/>
          <w:lang w:val="es-ES"/>
        </w:rPr>
      </w:pPr>
      <w:r w:rsidRPr="0076587D">
        <w:rPr>
          <w:rFonts w:ascii="Book Antiqua" w:eastAsia="Times New Roman" w:hAnsi="Book Antiqua"/>
          <w:lang w:val="es-ES"/>
        </w:rPr>
        <w:t>Referido a</w:t>
      </w:r>
      <w:r w:rsidR="000E639E">
        <w:rPr>
          <w:rFonts w:ascii="Book Antiqua" w:eastAsia="Times New Roman" w:hAnsi="Book Antiqua"/>
          <w:lang w:val="es-ES"/>
        </w:rPr>
        <w:t xml:space="preserve"> la Comisión de Seguridad Pública</w:t>
      </w:r>
    </w:p>
    <w:p w14:paraId="1C3D04F0" w14:textId="77777777" w:rsidR="008A7FE5" w:rsidRPr="0076587D" w:rsidRDefault="008A7FE5" w:rsidP="008A7FE5">
      <w:pPr>
        <w:suppressLineNumbers/>
        <w:jc w:val="center"/>
        <w:rPr>
          <w:rFonts w:ascii="Book Antiqua" w:eastAsia="Times New Roman" w:hAnsi="Book Antiqua"/>
          <w:lang w:val="es-ES"/>
        </w:rPr>
      </w:pPr>
    </w:p>
    <w:p w14:paraId="6BF320FC" w14:textId="77777777" w:rsidR="008A7FE5" w:rsidRPr="0076587D" w:rsidRDefault="008A7FE5" w:rsidP="008A7FE5">
      <w:pPr>
        <w:keepNext/>
        <w:jc w:val="center"/>
        <w:outlineLvl w:val="2"/>
        <w:rPr>
          <w:rFonts w:ascii="Book Antiqua" w:eastAsia="Times New Roman" w:hAnsi="Book Antiqua"/>
          <w:b/>
          <w:sz w:val="28"/>
          <w:szCs w:val="20"/>
          <w:lang w:val="es-ES"/>
        </w:rPr>
      </w:pPr>
      <w:r w:rsidRPr="0076587D">
        <w:rPr>
          <w:rFonts w:ascii="Book Antiqua" w:eastAsia="Times New Roman" w:hAnsi="Book Antiqua"/>
          <w:b/>
          <w:sz w:val="28"/>
          <w:szCs w:val="20"/>
          <w:lang w:val="es-ES"/>
        </w:rPr>
        <w:t>LEY</w:t>
      </w:r>
    </w:p>
    <w:p w14:paraId="69454D6B" w14:textId="77777777" w:rsidR="008A7FE5" w:rsidRPr="0076587D" w:rsidRDefault="008A7FE5" w:rsidP="008A7FE5">
      <w:pPr>
        <w:jc w:val="center"/>
        <w:rPr>
          <w:rFonts w:ascii="Book Antiqua" w:eastAsia="Times New Roman" w:hAnsi="Book Antiqua"/>
          <w:szCs w:val="20"/>
          <w:lang w:val="es-ES"/>
        </w:rPr>
      </w:pPr>
    </w:p>
    <w:p w14:paraId="5F16E50C" w14:textId="40F06D08" w:rsidR="001C1F65" w:rsidRDefault="008A7FE5" w:rsidP="000E639E">
      <w:pPr>
        <w:ind w:left="720" w:hanging="720"/>
        <w:jc w:val="both"/>
        <w:rPr>
          <w:rFonts w:ascii="Book Antiqua" w:hAnsi="Book Antiqua"/>
          <w:bCs/>
          <w:lang w:val="es-ES"/>
        </w:rPr>
      </w:pPr>
      <w:bookmarkStart w:id="0" w:name="_Hlk164089542"/>
      <w:r w:rsidRPr="0076587D">
        <w:rPr>
          <w:rStyle w:val="s2"/>
          <w:rFonts w:ascii="Book Antiqua" w:hAnsi="Book Antiqua"/>
          <w:lang w:val="es-ES"/>
        </w:rPr>
        <w:t xml:space="preserve">Para </w:t>
      </w:r>
      <w:bookmarkStart w:id="1" w:name="_Hlk190192080"/>
      <w:r w:rsidR="00485E4E">
        <w:rPr>
          <w:rStyle w:val="s2"/>
          <w:rFonts w:ascii="Book Antiqua" w:hAnsi="Book Antiqua"/>
          <w:lang w:val="es-ES"/>
        </w:rPr>
        <w:t>enmendar el Artículo 7.22 de la Ley 168-2019</w:t>
      </w:r>
      <w:r w:rsidR="00C85594" w:rsidRPr="00C85594">
        <w:rPr>
          <w:rFonts w:ascii="Book Antiqua" w:hAnsi="Book Antiqua"/>
        </w:rPr>
        <w:t xml:space="preserve">, según enmendada, conocida como “Ley de </w:t>
      </w:r>
      <w:r w:rsidR="00485E4E">
        <w:rPr>
          <w:rFonts w:ascii="Book Antiqua" w:hAnsi="Book Antiqua"/>
        </w:rPr>
        <w:t>Armas</w:t>
      </w:r>
      <w:r w:rsidR="00C85594" w:rsidRPr="00C85594">
        <w:rPr>
          <w:rFonts w:ascii="Book Antiqua" w:hAnsi="Book Antiqua"/>
        </w:rPr>
        <w:t xml:space="preserve"> de Puerto Rico</w:t>
      </w:r>
      <w:r w:rsidR="00485E4E">
        <w:rPr>
          <w:rFonts w:ascii="Book Antiqua" w:hAnsi="Book Antiqua"/>
        </w:rPr>
        <w:t xml:space="preserve"> de 2020</w:t>
      </w:r>
      <w:r w:rsidR="00C85594" w:rsidRPr="00C85594">
        <w:rPr>
          <w:rFonts w:ascii="Book Antiqua" w:hAnsi="Book Antiqua"/>
        </w:rPr>
        <w:t xml:space="preserve">”, a los fines de </w:t>
      </w:r>
      <w:r w:rsidR="00485E4E">
        <w:rPr>
          <w:rFonts w:ascii="Book Antiqua" w:hAnsi="Book Antiqua"/>
        </w:rPr>
        <w:t xml:space="preserve">establecer una nueva amnistía general por </w:t>
      </w:r>
      <w:r w:rsidR="00AC374D">
        <w:rPr>
          <w:rFonts w:ascii="Book Antiqua" w:hAnsi="Book Antiqua"/>
        </w:rPr>
        <w:t>sesenta</w:t>
      </w:r>
      <w:r w:rsidR="00485E4E">
        <w:rPr>
          <w:rFonts w:ascii="Book Antiqua" w:hAnsi="Book Antiqua"/>
        </w:rPr>
        <w:t xml:space="preserve"> (</w:t>
      </w:r>
      <w:r w:rsidR="00AC374D">
        <w:rPr>
          <w:rFonts w:ascii="Book Antiqua" w:hAnsi="Book Antiqua"/>
        </w:rPr>
        <w:t>6</w:t>
      </w:r>
      <w:r w:rsidR="00485E4E">
        <w:rPr>
          <w:rFonts w:ascii="Book Antiqua" w:hAnsi="Book Antiqua"/>
        </w:rPr>
        <w:t>0) días</w:t>
      </w:r>
      <w:r w:rsidR="00AC374D">
        <w:rPr>
          <w:rFonts w:ascii="Book Antiqua" w:hAnsi="Book Antiqua"/>
        </w:rPr>
        <w:t>; autorizar al Superintendente</w:t>
      </w:r>
      <w:r w:rsidR="00D24EF1">
        <w:rPr>
          <w:rFonts w:ascii="Book Antiqua" w:hAnsi="Book Antiqua"/>
        </w:rPr>
        <w:t xml:space="preserve"> de la Policía de Puerto Rico</w:t>
      </w:r>
      <w:r w:rsidR="00AC374D">
        <w:rPr>
          <w:rFonts w:ascii="Book Antiqua" w:hAnsi="Book Antiqua"/>
        </w:rPr>
        <w:t xml:space="preserve"> a decretar administrativamente </w:t>
      </w:r>
      <w:r w:rsidR="00B07E62">
        <w:rPr>
          <w:rFonts w:ascii="Book Antiqua" w:hAnsi="Book Antiqua"/>
        </w:rPr>
        <w:t>una extensión por un periodo adicional de treinta</w:t>
      </w:r>
      <w:r w:rsidR="00AC374D">
        <w:rPr>
          <w:rFonts w:ascii="Book Antiqua" w:hAnsi="Book Antiqua"/>
        </w:rPr>
        <w:t xml:space="preserve"> (30) días;</w:t>
      </w:r>
      <w:r w:rsidR="00990751">
        <w:rPr>
          <w:rFonts w:ascii="Book Antiqua" w:hAnsi="Book Antiqua"/>
        </w:rPr>
        <w:t xml:space="preserve"> </w:t>
      </w:r>
      <w:r w:rsidR="00990751" w:rsidRPr="00990751">
        <w:rPr>
          <w:rFonts w:ascii="Book Antiqua" w:hAnsi="Book Antiqua"/>
          <w:bCs/>
        </w:rPr>
        <w:t>establecer mecanismos claros de recopilación, análisis y divulgación de datos que permitan medir su impacto real sobre la seguridad pública</w:t>
      </w:r>
      <w:r w:rsidR="00990751">
        <w:rPr>
          <w:rFonts w:ascii="Book Antiqua" w:hAnsi="Book Antiqua"/>
        </w:rPr>
        <w:t>;</w:t>
      </w:r>
      <w:r w:rsidR="00503FD8">
        <w:rPr>
          <w:rFonts w:ascii="Book Antiqua" w:hAnsi="Book Antiqua"/>
        </w:rPr>
        <w:t xml:space="preserve"> establecer la responsabilidad </w:t>
      </w:r>
      <w:r w:rsidR="00D24EF1">
        <w:rPr>
          <w:rFonts w:ascii="Book Antiqua" w:hAnsi="Book Antiqua"/>
        </w:rPr>
        <w:t xml:space="preserve">investigativa de la Policía y </w:t>
      </w:r>
      <w:r w:rsidR="00503FD8">
        <w:rPr>
          <w:rFonts w:ascii="Book Antiqua" w:hAnsi="Book Antiqua"/>
        </w:rPr>
        <w:t xml:space="preserve">del Instituto de Ciencias Forenses (ICF); </w:t>
      </w:r>
      <w:r w:rsidR="00C85594" w:rsidRPr="00C85594">
        <w:rPr>
          <w:rFonts w:ascii="Book Antiqua" w:hAnsi="Book Antiqua"/>
        </w:rPr>
        <w:t>y para otros fines</w:t>
      </w:r>
      <w:r w:rsidR="00C85594">
        <w:rPr>
          <w:rFonts w:ascii="Book Antiqua" w:hAnsi="Book Antiqua"/>
        </w:rPr>
        <w:t xml:space="preserve"> relacionados</w:t>
      </w:r>
      <w:r w:rsidR="0059790B" w:rsidRPr="0059790B">
        <w:rPr>
          <w:rFonts w:ascii="Book Antiqua" w:hAnsi="Book Antiqua"/>
          <w:bCs/>
          <w:lang w:val="es-ES"/>
        </w:rPr>
        <w:t xml:space="preserve">. </w:t>
      </w:r>
    </w:p>
    <w:bookmarkEnd w:id="0"/>
    <w:bookmarkEnd w:id="1"/>
    <w:p w14:paraId="06403B15" w14:textId="77777777" w:rsidR="008A7FE5" w:rsidRPr="0076587D" w:rsidRDefault="008A7FE5" w:rsidP="008A7FE5">
      <w:pPr>
        <w:jc w:val="both"/>
        <w:rPr>
          <w:rStyle w:val="s2"/>
          <w:rFonts w:ascii="Book Antiqua" w:hAnsi="Book Antiqua"/>
          <w:lang w:val="es-ES"/>
        </w:rPr>
      </w:pPr>
    </w:p>
    <w:p w14:paraId="69273BD0" w14:textId="77777777" w:rsidR="008A7FE5" w:rsidRPr="0076587D" w:rsidRDefault="008A7FE5" w:rsidP="008A7FE5">
      <w:pPr>
        <w:keepNext/>
        <w:jc w:val="center"/>
        <w:outlineLvl w:val="3"/>
        <w:rPr>
          <w:rFonts w:ascii="Book Antiqua" w:eastAsia="Times New Roman" w:hAnsi="Book Antiqua"/>
          <w:lang w:val="es-ES"/>
        </w:rPr>
      </w:pPr>
      <w:r w:rsidRPr="0010612A">
        <w:rPr>
          <w:rFonts w:ascii="Book Antiqua" w:eastAsia="Times New Roman" w:hAnsi="Book Antiqua"/>
          <w:lang w:val="es-ES"/>
        </w:rPr>
        <w:t>EXPOSICIÓN DE MOTIVOS</w:t>
      </w:r>
    </w:p>
    <w:p w14:paraId="212E9AB1" w14:textId="77777777" w:rsidR="008A7FE5" w:rsidRPr="0076587D" w:rsidRDefault="008A7FE5" w:rsidP="008A7FE5">
      <w:pPr>
        <w:keepNext/>
        <w:jc w:val="center"/>
        <w:outlineLvl w:val="3"/>
        <w:rPr>
          <w:rFonts w:ascii="Book Antiqua" w:eastAsia="Times New Roman" w:hAnsi="Book Antiqua"/>
          <w:lang w:val="es-ES"/>
        </w:rPr>
      </w:pPr>
    </w:p>
    <w:p w14:paraId="3D694EAF" w14:textId="77777777" w:rsidR="00B07E62" w:rsidRDefault="00B07E62" w:rsidP="000E639E">
      <w:pPr>
        <w:ind w:firstLine="720"/>
        <w:jc w:val="both"/>
        <w:rPr>
          <w:rFonts w:ascii="Book Antiqua" w:hAnsi="Book Antiqua"/>
          <w:bCs/>
        </w:rPr>
      </w:pPr>
      <w:r w:rsidRPr="00DE7037">
        <w:rPr>
          <w:rFonts w:ascii="Book Antiqua" w:hAnsi="Book Antiqua"/>
          <w:bCs/>
        </w:rPr>
        <w:t>La seguridad pública constituye uno de los pilares fundamentales sobre los cuales descansa la estabilidad social, el desarrollo económico y la calidad de vida del Pueblo de Puerto Rico. En ese contexto, la proliferación de armas de fuego en manos no autorizadas, así como la posesión irregular de armas y municiones, continúa representando uno de los principales retos para las autoridades encargadas de velar por el orden público.</w:t>
      </w:r>
    </w:p>
    <w:p w14:paraId="5CEAECD7" w14:textId="77777777" w:rsidR="000E639E" w:rsidRPr="00DE7037" w:rsidRDefault="000E639E" w:rsidP="000E639E">
      <w:pPr>
        <w:ind w:firstLine="720"/>
        <w:jc w:val="both"/>
        <w:rPr>
          <w:rFonts w:ascii="Book Antiqua" w:hAnsi="Book Antiqua"/>
          <w:bCs/>
        </w:rPr>
      </w:pPr>
    </w:p>
    <w:p w14:paraId="1E3AFFF6" w14:textId="042D78B0" w:rsidR="00E72278" w:rsidRPr="00DE7037" w:rsidRDefault="00E72278" w:rsidP="000E639E">
      <w:pPr>
        <w:ind w:firstLine="720"/>
        <w:jc w:val="both"/>
        <w:rPr>
          <w:rFonts w:ascii="Book Antiqua" w:hAnsi="Book Antiqua"/>
          <w:bCs/>
        </w:rPr>
      </w:pPr>
      <w:r w:rsidRPr="00DE7037">
        <w:rPr>
          <w:rFonts w:ascii="Book Antiqua" w:hAnsi="Book Antiqua"/>
          <w:bCs/>
        </w:rPr>
        <w:t>A través de los años, el Gobierno de Puerto Rico ha recurrido a mecanismos extraordinarios, como las amnistías de armas, para incentivar la entrega voluntaria de armamento fuera del marco legal. Estas iniciativas, implementadas bajo la derogada Ley 404-2000 y la vigente Ley 168-2019, según enmendada, han permitido la recuperación de miles de armas de fuego y municiones, contribuyendo de manera tangible a reducir el potencial de violencia y a prevenir incidentes fatales.</w:t>
      </w:r>
    </w:p>
    <w:p w14:paraId="587A4826" w14:textId="41555FBE" w:rsidR="00E72278" w:rsidRDefault="00E72278" w:rsidP="000E639E">
      <w:pPr>
        <w:ind w:firstLine="720"/>
        <w:jc w:val="both"/>
        <w:rPr>
          <w:rFonts w:ascii="Book Antiqua" w:hAnsi="Book Antiqua"/>
          <w:bCs/>
        </w:rPr>
      </w:pPr>
      <w:r w:rsidRPr="00DE7037">
        <w:rPr>
          <w:rFonts w:ascii="Book Antiqua" w:hAnsi="Book Antiqua"/>
          <w:bCs/>
        </w:rPr>
        <w:lastRenderedPageBreak/>
        <w:t xml:space="preserve">No obstante, </w:t>
      </w:r>
      <w:r w:rsidR="00B07E62" w:rsidRPr="00DE7037">
        <w:rPr>
          <w:rFonts w:ascii="Book Antiqua" w:hAnsi="Book Antiqua"/>
          <w:bCs/>
        </w:rPr>
        <w:t xml:space="preserve">a pesar de los resultados positivos, </w:t>
      </w:r>
      <w:r w:rsidRPr="00DE7037">
        <w:rPr>
          <w:rFonts w:ascii="Book Antiqua" w:hAnsi="Book Antiqua"/>
          <w:bCs/>
        </w:rPr>
        <w:t xml:space="preserve">la experiencia acumulada demuestra que una cantidad significativa de armas permanece fuera del control del Estado, ya sea como resultado de transferencias informales, herencias no registradas, licencias vencidas o posesión ilegal. A ello se suma la realidad de que muchas de estas armas no necesariamente están vinculadas a actividades criminales activas, pero sí representan un riesgo latente al encontrarse fuera del </w:t>
      </w:r>
      <w:r w:rsidR="00B07E62" w:rsidRPr="00DE7037">
        <w:rPr>
          <w:rFonts w:ascii="Book Antiqua" w:hAnsi="Book Antiqua"/>
          <w:bCs/>
        </w:rPr>
        <w:t>sistema regulado, lo que constituye un factor de riesgo que el Estado no puede ignorar.</w:t>
      </w:r>
    </w:p>
    <w:p w14:paraId="0BEFA9AF" w14:textId="77777777" w:rsidR="000E639E" w:rsidRPr="00DE7037" w:rsidRDefault="000E639E" w:rsidP="000E639E">
      <w:pPr>
        <w:ind w:firstLine="720"/>
        <w:jc w:val="both"/>
        <w:rPr>
          <w:rFonts w:ascii="Book Antiqua" w:hAnsi="Book Antiqua"/>
          <w:bCs/>
        </w:rPr>
      </w:pPr>
    </w:p>
    <w:p w14:paraId="662EB417" w14:textId="77777777" w:rsidR="00E72278" w:rsidRDefault="00E72278" w:rsidP="000E639E">
      <w:pPr>
        <w:ind w:firstLine="720"/>
        <w:jc w:val="both"/>
        <w:rPr>
          <w:rFonts w:ascii="Book Antiqua" w:hAnsi="Book Antiqua"/>
          <w:bCs/>
        </w:rPr>
      </w:pPr>
      <w:r w:rsidRPr="00DE7037">
        <w:rPr>
          <w:rFonts w:ascii="Book Antiqua" w:hAnsi="Book Antiqua"/>
          <w:bCs/>
        </w:rPr>
        <w:t>En ese contexto, la amnistía de armas se configura como una herramienta de política pública efectiva, pragmática y de alto impacto, al permitir que ciudadanos puedan regularizar su situación o entregar armamento sin exponerse a consecuencias penales. Este enfoque fomenta la colaboración ciudadana con las autoridades, reduce la carga investigativa del Estado y promueve una cultura de responsabilidad en la tenencia de armas.</w:t>
      </w:r>
    </w:p>
    <w:p w14:paraId="072E652B" w14:textId="77777777" w:rsidR="000E639E" w:rsidRPr="00DE7037" w:rsidRDefault="000E639E" w:rsidP="000E639E">
      <w:pPr>
        <w:ind w:firstLine="720"/>
        <w:jc w:val="both"/>
        <w:rPr>
          <w:rFonts w:ascii="Book Antiqua" w:hAnsi="Book Antiqua"/>
          <w:bCs/>
        </w:rPr>
      </w:pPr>
    </w:p>
    <w:p w14:paraId="4B8E2449" w14:textId="3FDAB97E" w:rsidR="00E72278" w:rsidRDefault="00E72278" w:rsidP="000E639E">
      <w:pPr>
        <w:ind w:firstLine="720"/>
        <w:jc w:val="both"/>
        <w:rPr>
          <w:rFonts w:ascii="Book Antiqua" w:hAnsi="Book Antiqua"/>
          <w:bCs/>
        </w:rPr>
      </w:pPr>
      <w:r w:rsidRPr="00DE7037">
        <w:rPr>
          <w:rFonts w:ascii="Book Antiqua" w:hAnsi="Book Antiqua"/>
          <w:bCs/>
        </w:rPr>
        <w:t>Asimismo, la aprobación de una nueva amnistía permite atender situaciones particulares que han sido identificadas en la práctica, tales como:</w:t>
      </w:r>
      <w:r w:rsidR="00DE7037">
        <w:rPr>
          <w:rFonts w:ascii="Book Antiqua" w:hAnsi="Book Antiqua"/>
          <w:bCs/>
        </w:rPr>
        <w:t xml:space="preserve"> </w:t>
      </w:r>
      <w:r w:rsidRPr="00DE7037">
        <w:rPr>
          <w:rFonts w:ascii="Book Antiqua" w:hAnsi="Book Antiqua"/>
          <w:bCs/>
        </w:rPr>
        <w:t>armas heredadas sin registro formal;</w:t>
      </w:r>
      <w:r w:rsidR="00DE7037">
        <w:rPr>
          <w:rFonts w:ascii="Book Antiqua" w:hAnsi="Book Antiqua"/>
          <w:bCs/>
        </w:rPr>
        <w:t xml:space="preserve"> </w:t>
      </w:r>
      <w:r w:rsidRPr="00DE7037">
        <w:rPr>
          <w:rFonts w:ascii="Book Antiqua" w:hAnsi="Book Antiqua"/>
          <w:bCs/>
        </w:rPr>
        <w:t>armas con licencias expiradas;</w:t>
      </w:r>
      <w:r w:rsidR="00DE7037">
        <w:rPr>
          <w:rFonts w:ascii="Book Antiqua" w:hAnsi="Book Antiqua"/>
          <w:bCs/>
        </w:rPr>
        <w:t xml:space="preserve"> </w:t>
      </w:r>
      <w:r w:rsidRPr="00DE7037">
        <w:rPr>
          <w:rFonts w:ascii="Book Antiqua" w:hAnsi="Book Antiqua"/>
          <w:bCs/>
        </w:rPr>
        <w:t>municiones acumuladas sin control;</w:t>
      </w:r>
      <w:r w:rsidR="00DE7037">
        <w:rPr>
          <w:rFonts w:ascii="Book Antiqua" w:hAnsi="Book Antiqua"/>
          <w:bCs/>
        </w:rPr>
        <w:t xml:space="preserve"> </w:t>
      </w:r>
      <w:r w:rsidRPr="00DE7037">
        <w:rPr>
          <w:rFonts w:ascii="Book Antiqua" w:hAnsi="Book Antiqua"/>
          <w:bCs/>
        </w:rPr>
        <w:t>y armamento en desuso que permanece en residencias.</w:t>
      </w:r>
      <w:r w:rsidR="00DE7037">
        <w:rPr>
          <w:rFonts w:ascii="Book Antiqua" w:hAnsi="Book Antiqua"/>
          <w:bCs/>
        </w:rPr>
        <w:t xml:space="preserve"> </w:t>
      </w:r>
      <w:r w:rsidRPr="00DE7037">
        <w:rPr>
          <w:rFonts w:ascii="Book Antiqua" w:hAnsi="Book Antiqua"/>
          <w:bCs/>
        </w:rPr>
        <w:t>Más aún, una amnistía bien estructurada puede incorporar mecanismos adicionales de control, como la recopilación de datos estadísticos uniformes, la trazabilidad del armamento recuperado y la identificación de patrones que informen futuras estrategias de seguridad pública.</w:t>
      </w:r>
    </w:p>
    <w:p w14:paraId="6C12A290" w14:textId="77777777" w:rsidR="000E639E" w:rsidRPr="00DE7037" w:rsidRDefault="000E639E" w:rsidP="000E639E">
      <w:pPr>
        <w:ind w:firstLine="720"/>
        <w:jc w:val="both"/>
        <w:rPr>
          <w:rFonts w:ascii="Book Antiqua" w:hAnsi="Book Antiqua"/>
          <w:bCs/>
        </w:rPr>
      </w:pPr>
    </w:p>
    <w:p w14:paraId="2712E28E" w14:textId="77777777" w:rsidR="00E72278" w:rsidRDefault="00E72278" w:rsidP="000E639E">
      <w:pPr>
        <w:ind w:firstLine="720"/>
        <w:jc w:val="both"/>
        <w:rPr>
          <w:rFonts w:ascii="Book Antiqua" w:hAnsi="Book Antiqua"/>
          <w:bCs/>
        </w:rPr>
      </w:pPr>
      <w:r w:rsidRPr="00DE7037">
        <w:rPr>
          <w:rFonts w:ascii="Book Antiqua" w:hAnsi="Book Antiqua"/>
          <w:bCs/>
        </w:rPr>
        <w:t>Es menester destacar que la ausencia de informes consolidados sobre las armas y municiones recuperadas en amnistías anteriores evidencia la necesidad de fortalecer los componentes de recopilación y análisis de datos, de modo que el Estado pueda evaluar con mayor precisión la efectividad de estas iniciativas y optimizar su diseño en el futuro.</w:t>
      </w:r>
    </w:p>
    <w:p w14:paraId="12B87191" w14:textId="77777777" w:rsidR="000E639E" w:rsidRPr="00DE7037" w:rsidRDefault="000E639E" w:rsidP="000E639E">
      <w:pPr>
        <w:ind w:firstLine="720"/>
        <w:jc w:val="both"/>
        <w:rPr>
          <w:rFonts w:ascii="Book Antiqua" w:hAnsi="Book Antiqua"/>
          <w:bCs/>
        </w:rPr>
      </w:pPr>
    </w:p>
    <w:p w14:paraId="1A8A39DB" w14:textId="77777777" w:rsidR="00E72278" w:rsidRDefault="00E72278" w:rsidP="000E639E">
      <w:pPr>
        <w:ind w:firstLine="720"/>
        <w:jc w:val="both"/>
        <w:rPr>
          <w:rFonts w:ascii="Book Antiqua" w:hAnsi="Book Antiqua"/>
          <w:bCs/>
        </w:rPr>
      </w:pPr>
      <w:r w:rsidRPr="00DE7037">
        <w:rPr>
          <w:rFonts w:ascii="Book Antiqua" w:hAnsi="Book Antiqua"/>
          <w:bCs/>
        </w:rPr>
        <w:t>Por todo lo anterior, la aprobación de una nueva amnistía de armas no solo constituye una medida razonable y necesaria, sino también una intervención estratégica dirigida a salvar vidas, prevenir la violencia y fortalecer la seguridad colectiva del Pueblo de Puerto Rico.</w:t>
      </w:r>
    </w:p>
    <w:p w14:paraId="4398D123" w14:textId="77777777" w:rsidR="000E639E" w:rsidRPr="00DE7037" w:rsidRDefault="000E639E" w:rsidP="000E639E">
      <w:pPr>
        <w:ind w:firstLine="720"/>
        <w:jc w:val="both"/>
        <w:rPr>
          <w:rFonts w:ascii="Book Antiqua" w:hAnsi="Book Antiqua"/>
          <w:bCs/>
        </w:rPr>
      </w:pPr>
    </w:p>
    <w:p w14:paraId="036D4DC1" w14:textId="66989372" w:rsidR="003C7E6E" w:rsidRDefault="00E72278" w:rsidP="000E639E">
      <w:pPr>
        <w:ind w:firstLine="720"/>
        <w:jc w:val="both"/>
        <w:rPr>
          <w:rFonts w:ascii="Book Antiqua" w:hAnsi="Book Antiqua"/>
          <w:bCs/>
        </w:rPr>
      </w:pPr>
      <w:r w:rsidRPr="00DE7037">
        <w:rPr>
          <w:rFonts w:ascii="Book Antiqua" w:hAnsi="Book Antiqua"/>
          <w:bCs/>
        </w:rPr>
        <w:t xml:space="preserve">Esta Asamblea Legislativa reafirma su compromiso con la protección de la vida, la propiedad y la sana convivencia social, mediante la adopción de herramientas que, como la presente </w:t>
      </w:r>
      <w:r w:rsidR="00DE7037">
        <w:rPr>
          <w:rFonts w:ascii="Book Antiqua" w:hAnsi="Book Antiqua"/>
          <w:bCs/>
        </w:rPr>
        <w:t>Ley</w:t>
      </w:r>
      <w:r w:rsidRPr="00DE7037">
        <w:rPr>
          <w:rFonts w:ascii="Book Antiqua" w:hAnsi="Book Antiqua"/>
          <w:bCs/>
        </w:rPr>
        <w:t>, promueven soluciones efectivas, colaborativas y fundamentadas en el interés público.</w:t>
      </w:r>
      <w:r w:rsidR="003C7E6E" w:rsidRPr="00DE7037">
        <w:rPr>
          <w:rFonts w:ascii="Book Antiqua" w:hAnsi="Book Antiqua"/>
          <w:bCs/>
        </w:rPr>
        <w:t xml:space="preserve"> Por consiguiente, estimamos necesario no solo autorizar una nueva amnistía de armas, sino también establecer mecanismos claros de recopilación, análisis y divulgación de datos que permitan medir su impacto real sobre la seguridad pública.</w:t>
      </w:r>
    </w:p>
    <w:p w14:paraId="658A96D5" w14:textId="77777777" w:rsidR="000E639E" w:rsidRPr="00DE7037" w:rsidRDefault="000E639E" w:rsidP="000E639E">
      <w:pPr>
        <w:ind w:firstLine="720"/>
        <w:jc w:val="both"/>
        <w:rPr>
          <w:rFonts w:ascii="Book Antiqua" w:hAnsi="Book Antiqua"/>
          <w:bCs/>
        </w:rPr>
      </w:pPr>
    </w:p>
    <w:p w14:paraId="22EC9F18" w14:textId="30A73012" w:rsidR="008A7FE5" w:rsidRPr="0076587D" w:rsidRDefault="008A7FE5" w:rsidP="008A7FE5">
      <w:pPr>
        <w:spacing w:line="480" w:lineRule="auto"/>
        <w:rPr>
          <w:rFonts w:ascii="Book Antiqua" w:eastAsia="Times New Roman" w:hAnsi="Book Antiqua"/>
          <w:b/>
          <w:bCs/>
          <w:i/>
          <w:iCs/>
          <w:lang w:val="es-ES"/>
        </w:rPr>
      </w:pPr>
      <w:r w:rsidRPr="0076587D">
        <w:rPr>
          <w:rFonts w:ascii="Book Antiqua" w:eastAsia="Times New Roman" w:hAnsi="Book Antiqua"/>
          <w:i/>
          <w:iCs/>
          <w:lang w:val="es-ES"/>
        </w:rPr>
        <w:t>DECRÉTASE POR LA ASAMBLEA LEGISLATIVA DE PUERTO RICO:</w:t>
      </w:r>
    </w:p>
    <w:p w14:paraId="6AA01855" w14:textId="77777777" w:rsidR="008A7FE5" w:rsidRPr="0076587D" w:rsidRDefault="008A7FE5" w:rsidP="008A7FE5">
      <w:pPr>
        <w:rPr>
          <w:rFonts w:ascii="Book Antiqua" w:hAnsi="Book Antiqua"/>
          <w:b/>
          <w:bCs/>
          <w:lang w:val="es-ES"/>
        </w:rPr>
        <w:sectPr w:rsidR="008A7FE5" w:rsidRPr="0076587D" w:rsidSect="008A7FE5">
          <w:headerReference w:type="default" r:id="rId8"/>
          <w:footerReference w:type="default" r:id="rId9"/>
          <w:headerReference w:type="first" r:id="rId10"/>
          <w:pgSz w:w="12240" w:h="15840" w:code="1"/>
          <w:pgMar w:top="1440" w:right="1440" w:bottom="1440" w:left="1440" w:header="720" w:footer="720" w:gutter="0"/>
          <w:cols w:space="720"/>
          <w:titlePg/>
        </w:sectPr>
      </w:pPr>
    </w:p>
    <w:p w14:paraId="12066C07" w14:textId="0CA990AB" w:rsidR="00CB0CEE" w:rsidRDefault="008A7FE5" w:rsidP="00A4532F">
      <w:pPr>
        <w:widowControl w:val="0"/>
        <w:spacing w:before="120" w:after="120" w:line="480" w:lineRule="auto"/>
        <w:ind w:firstLine="360"/>
        <w:jc w:val="both"/>
        <w:rPr>
          <w:rFonts w:ascii="Book Antiqua" w:hAnsi="Book Antiqua"/>
        </w:rPr>
      </w:pPr>
      <w:r w:rsidRPr="0076587D">
        <w:rPr>
          <w:rFonts w:ascii="Book Antiqua" w:hAnsi="Book Antiqua"/>
          <w:lang w:val="es-ES"/>
        </w:rPr>
        <w:t xml:space="preserve">Sección 1.- </w:t>
      </w:r>
      <w:r w:rsidR="00FA14F1">
        <w:rPr>
          <w:rFonts w:ascii="Book Antiqua" w:hAnsi="Book Antiqua"/>
        </w:rPr>
        <w:t>Se enmienda el Artículo 7.55 de la Ley 168-20</w:t>
      </w:r>
      <w:r w:rsidR="001057F4">
        <w:rPr>
          <w:rFonts w:ascii="Book Antiqua" w:hAnsi="Book Antiqua"/>
        </w:rPr>
        <w:t>19</w:t>
      </w:r>
      <w:r w:rsidR="00FA14F1">
        <w:rPr>
          <w:rFonts w:ascii="Book Antiqua" w:hAnsi="Book Antiqua"/>
        </w:rPr>
        <w:t xml:space="preserve">, según enmendada, </w:t>
      </w:r>
      <w:r w:rsidR="001057F4">
        <w:rPr>
          <w:rFonts w:ascii="Book Antiqua" w:hAnsi="Book Antiqua"/>
        </w:rPr>
        <w:lastRenderedPageBreak/>
        <w:t xml:space="preserve">conocida como “Ley de Armas de Puerto Rico de 2020”, </w:t>
      </w:r>
      <w:r w:rsidR="00FA14F1">
        <w:rPr>
          <w:rFonts w:ascii="Book Antiqua" w:hAnsi="Book Antiqua"/>
        </w:rPr>
        <w:t>para que se lea como sigue:</w:t>
      </w:r>
    </w:p>
    <w:p w14:paraId="22203B3C" w14:textId="13521390" w:rsidR="00FA14F1" w:rsidRDefault="001057F4" w:rsidP="00A4532F">
      <w:pPr>
        <w:widowControl w:val="0"/>
        <w:spacing w:before="120" w:after="120" w:line="480" w:lineRule="auto"/>
        <w:ind w:firstLine="360"/>
        <w:jc w:val="both"/>
        <w:rPr>
          <w:rFonts w:ascii="Book Antiqua" w:hAnsi="Book Antiqua"/>
        </w:rPr>
      </w:pPr>
      <w:r>
        <w:rPr>
          <w:rFonts w:ascii="Book Antiqua" w:hAnsi="Book Antiqua"/>
        </w:rPr>
        <w:t>“Artículo 7.22.- Amnistías.</w:t>
      </w:r>
    </w:p>
    <w:p w14:paraId="01B57C3A" w14:textId="0FF528BB" w:rsidR="001057F4" w:rsidRPr="001057F4" w:rsidRDefault="001057F4" w:rsidP="00A4532F">
      <w:pPr>
        <w:widowControl w:val="0"/>
        <w:spacing w:before="120" w:after="120" w:line="480" w:lineRule="auto"/>
        <w:ind w:firstLine="360"/>
        <w:jc w:val="both"/>
        <w:rPr>
          <w:rFonts w:ascii="Book Antiqua" w:hAnsi="Book Antiqua"/>
          <w:b/>
          <w:bCs/>
        </w:rPr>
      </w:pPr>
      <w:r w:rsidRPr="001057F4">
        <w:rPr>
          <w:rFonts w:ascii="Book Antiqua" w:hAnsi="Book Antiqua"/>
          <w:b/>
          <w:bCs/>
        </w:rPr>
        <w:t xml:space="preserve">[Se declara una amnistía general por sesenta (60) días, la cual entrará en vigor a partir de que culmine el término dispuesto para la adopción del Reglamento aquí requerido, para que toda persona que tenga o posea un arma de fuego o municiones pueda deshacerse de las mismas, entregándolas de forma voluntaria al Negociado de la Policía, sin que se inicie contra dicha persona procedimiento penal alguno. Toda persona que entregue voluntariamente al Negociado de la Policía un arma de fuego ilegalmente adquirida, encontrada sin que se conozca su procedencia o que de cualquier otro medio ilegal llegue a su poder y que constituya posesión ilegal, no será acusado ni procesado por infringir estatuto o ley alguna que penalice dicha posesión ilegal o contraria a la ley. La amnistía aquí establecida se limita estrictamente a la posesión incidental para la entrega de ésta. El Negociado de la Policía, en colaboración con otras entidades gubernamentales y organizaciones sin fines de lucro, establecerán los centros de acopio autorizados a recibir armas de fuego y municiones conforme a lo dispuesto en este Artículo. El horario de operación de los centros de acopio no podrá extenderse después de las 6:00 pm. </w:t>
      </w:r>
    </w:p>
    <w:p w14:paraId="16D4424F" w14:textId="77777777" w:rsidR="001057F4" w:rsidRPr="001057F4" w:rsidRDefault="001057F4" w:rsidP="00A4532F">
      <w:pPr>
        <w:widowControl w:val="0"/>
        <w:spacing w:before="120" w:after="120" w:line="480" w:lineRule="auto"/>
        <w:ind w:firstLine="360"/>
        <w:jc w:val="both"/>
        <w:rPr>
          <w:rFonts w:ascii="Book Antiqua" w:hAnsi="Book Antiqua"/>
          <w:b/>
          <w:bCs/>
        </w:rPr>
      </w:pPr>
      <w:r w:rsidRPr="001057F4">
        <w:rPr>
          <w:rFonts w:ascii="Book Antiqua" w:hAnsi="Book Antiqua"/>
          <w:b/>
          <w:bCs/>
        </w:rPr>
        <w:t xml:space="preserve">El Gobierno de Puerto Rico no podrá radicar ni facilitar la radicación de cargos criminales por la posesión o tenencia ilegal de un arma de fuego entregada al Negociado de la Policía por las personas que se acojan a esta amnistía y voluntariamente entreguen un arma de fuego. Para poder acogerse a los beneficios de la amnistía decretada en virtud de este Artículo, será necesario que la parte interesada </w:t>
      </w:r>
      <w:r w:rsidRPr="001057F4">
        <w:rPr>
          <w:rFonts w:ascii="Book Antiqua" w:hAnsi="Book Antiqua"/>
          <w:b/>
          <w:bCs/>
        </w:rPr>
        <w:lastRenderedPageBreak/>
        <w:t xml:space="preserve">invoque esta Ley o que dicha parte realice actos afirmativos que indiquen claramente que el presunto beneficiario de esta amnistía tenía la intención manifiesta y el deseo de entregar voluntariamente el arma o armas de fuego y/o municiones pertinentes. </w:t>
      </w:r>
    </w:p>
    <w:p w14:paraId="536756BA" w14:textId="77777777" w:rsidR="001057F4" w:rsidRPr="001057F4" w:rsidRDefault="001057F4" w:rsidP="00A4532F">
      <w:pPr>
        <w:widowControl w:val="0"/>
        <w:spacing w:before="120" w:after="120" w:line="480" w:lineRule="auto"/>
        <w:ind w:firstLine="360"/>
        <w:jc w:val="both"/>
        <w:rPr>
          <w:rFonts w:ascii="Book Antiqua" w:hAnsi="Book Antiqua"/>
          <w:b/>
          <w:bCs/>
        </w:rPr>
      </w:pPr>
      <w:r w:rsidRPr="001057F4">
        <w:rPr>
          <w:rFonts w:ascii="Book Antiqua" w:hAnsi="Book Antiqua"/>
          <w:b/>
          <w:bCs/>
        </w:rPr>
        <w:t xml:space="preserve">Previo y durante la vigencia de esta amnistía, el Comisionado promoverá el apercibimiento al público, a través de los medios de comunicación, sobre la existencia de la amnistía y sobre el proceso para acogerse a la misma conforme a las disposiciones de esta Ley. </w:t>
      </w:r>
    </w:p>
    <w:p w14:paraId="7E47A770" w14:textId="10AAABC5" w:rsidR="001057F4" w:rsidRPr="001057F4" w:rsidRDefault="001057F4" w:rsidP="00A4532F">
      <w:pPr>
        <w:widowControl w:val="0"/>
        <w:spacing w:before="120" w:after="120" w:line="480" w:lineRule="auto"/>
        <w:ind w:firstLine="360"/>
        <w:jc w:val="both"/>
        <w:rPr>
          <w:rFonts w:ascii="Book Antiqua" w:hAnsi="Book Antiqua"/>
        </w:rPr>
      </w:pPr>
      <w:r w:rsidRPr="001057F4">
        <w:rPr>
          <w:rFonts w:ascii="Book Antiqua" w:hAnsi="Book Antiqua"/>
          <w:b/>
          <w:bCs/>
        </w:rPr>
        <w:t>El Comisionado deberá adoptar el reglamento necesario para viabilizar esta amnistía dentro de los noventa (90) luego de la aprobación de esta Ley.]</w:t>
      </w:r>
    </w:p>
    <w:p w14:paraId="569FCEFE" w14:textId="4DD82506" w:rsidR="001057F4" w:rsidRDefault="001057F4" w:rsidP="00A4532F">
      <w:pPr>
        <w:widowControl w:val="0"/>
        <w:spacing w:before="120" w:after="120" w:line="480" w:lineRule="auto"/>
        <w:ind w:firstLine="360"/>
        <w:jc w:val="both"/>
        <w:rPr>
          <w:rFonts w:ascii="Book Antiqua" w:hAnsi="Book Antiqua"/>
          <w:i/>
          <w:iCs/>
        </w:rPr>
      </w:pPr>
      <w:r>
        <w:rPr>
          <w:rFonts w:ascii="Book Antiqua" w:hAnsi="Book Antiqua"/>
          <w:i/>
          <w:iCs/>
          <w:lang w:val="es-ES"/>
        </w:rPr>
        <w:t xml:space="preserve">Se </w:t>
      </w:r>
      <w:r w:rsidRPr="001057F4">
        <w:rPr>
          <w:rFonts w:ascii="Book Antiqua" w:hAnsi="Book Antiqua"/>
          <w:i/>
          <w:iCs/>
        </w:rPr>
        <w:t xml:space="preserve">declara una amnistía general de sesenta (60) días, contados a partir de que comience la vigencia de esta enmienda a la </w:t>
      </w:r>
      <w:r>
        <w:rPr>
          <w:rFonts w:ascii="Book Antiqua" w:hAnsi="Book Antiqua"/>
          <w:i/>
          <w:iCs/>
        </w:rPr>
        <w:t>L</w:t>
      </w:r>
      <w:r w:rsidRPr="001057F4">
        <w:rPr>
          <w:rFonts w:ascii="Book Antiqua" w:hAnsi="Book Antiqua"/>
          <w:i/>
          <w:iCs/>
        </w:rPr>
        <w:t xml:space="preserve">ey, para que toda persona que tenga o posea un arma de fuego о municiones obtenidas de forma ilegal pueda deshacerse legalmente de las mismas, entregándolas de forma voluntaria a la Policía, sin que se inicie contra dicha persona procedimiento penal alguno. Toda persona que entregue voluntariamente a la Policía un arma de fuego ilegalmente adquirida, encontrada sin que se conozca su procedencia o que de cualquier otro medio ilegal llegue a su poder y que constituya posesión o tenencia ilegal, no será acusado ni procesado por infringir ningún estatuto o ley que penalice dicha posesión o tenencia ilegal o contraria a la ley. </w:t>
      </w:r>
    </w:p>
    <w:p w14:paraId="6BA78B44" w14:textId="4CC2230E" w:rsidR="001057F4" w:rsidRDefault="001057F4" w:rsidP="00A4532F">
      <w:pPr>
        <w:widowControl w:val="0"/>
        <w:spacing w:before="120" w:after="120" w:line="480" w:lineRule="auto"/>
        <w:ind w:firstLine="360"/>
        <w:jc w:val="both"/>
        <w:rPr>
          <w:rFonts w:ascii="Book Antiqua" w:hAnsi="Book Antiqua"/>
          <w:i/>
          <w:iCs/>
        </w:rPr>
      </w:pPr>
      <w:r w:rsidRPr="001057F4">
        <w:rPr>
          <w:rFonts w:ascii="Book Antiqua" w:hAnsi="Book Antiqua"/>
          <w:i/>
          <w:iCs/>
        </w:rPr>
        <w:t xml:space="preserve">El Gobierno de Puerto Rico no podrá abrir ningún tipo de investigación ni expediente, ni podrá radicar cargos criminales por la posesión o tenencia ilegal de un arma de fuego entregada a la Policía por las personas que se acojan a esta amnistía y voluntariamente entreguen un arma de fuego, de conformidad con </w:t>
      </w:r>
      <w:r w:rsidR="001E3FA0">
        <w:rPr>
          <w:rFonts w:ascii="Book Antiqua" w:hAnsi="Book Antiqua"/>
          <w:i/>
          <w:iCs/>
        </w:rPr>
        <w:t>esta Ley</w:t>
      </w:r>
      <w:r w:rsidRPr="001057F4">
        <w:rPr>
          <w:rFonts w:ascii="Book Antiqua" w:hAnsi="Book Antiqua"/>
          <w:i/>
          <w:iCs/>
        </w:rPr>
        <w:t>. Disponiéndose que</w:t>
      </w:r>
      <w:r>
        <w:rPr>
          <w:rFonts w:ascii="Book Antiqua" w:hAnsi="Book Antiqua"/>
          <w:i/>
          <w:iCs/>
        </w:rPr>
        <w:t>,</w:t>
      </w:r>
      <w:r w:rsidRPr="001057F4">
        <w:rPr>
          <w:rFonts w:ascii="Book Antiqua" w:hAnsi="Book Antiqua"/>
          <w:i/>
          <w:iCs/>
        </w:rPr>
        <w:t xml:space="preserve"> para poder acogerse a los beneficios de la amnistía decretada en virtud de</w:t>
      </w:r>
      <w:r>
        <w:rPr>
          <w:rFonts w:ascii="Book Antiqua" w:hAnsi="Book Antiqua"/>
          <w:i/>
          <w:iCs/>
        </w:rPr>
        <w:t xml:space="preserve"> </w:t>
      </w:r>
      <w:r w:rsidRPr="001057F4">
        <w:rPr>
          <w:rFonts w:ascii="Book Antiqua" w:hAnsi="Book Antiqua"/>
          <w:i/>
          <w:iCs/>
        </w:rPr>
        <w:t>l</w:t>
      </w:r>
      <w:r>
        <w:rPr>
          <w:rFonts w:ascii="Book Antiqua" w:hAnsi="Book Antiqua"/>
          <w:i/>
          <w:iCs/>
        </w:rPr>
        <w:t>a</w:t>
      </w:r>
      <w:r w:rsidRPr="001057F4">
        <w:rPr>
          <w:rFonts w:ascii="Book Antiqua" w:hAnsi="Book Antiqua"/>
          <w:i/>
          <w:iCs/>
        </w:rPr>
        <w:t xml:space="preserve"> presente </w:t>
      </w:r>
      <w:r>
        <w:rPr>
          <w:rFonts w:ascii="Book Antiqua" w:hAnsi="Book Antiqua"/>
          <w:i/>
          <w:iCs/>
        </w:rPr>
        <w:t>Ley</w:t>
      </w:r>
      <w:r w:rsidRPr="001057F4">
        <w:rPr>
          <w:rFonts w:ascii="Book Antiqua" w:hAnsi="Book Antiqua"/>
          <w:i/>
          <w:iCs/>
        </w:rPr>
        <w:t xml:space="preserve">, será necesario que la parte interesada invoque el </w:t>
      </w:r>
      <w:r w:rsidRPr="001057F4">
        <w:rPr>
          <w:rFonts w:ascii="Book Antiqua" w:hAnsi="Book Antiqua"/>
          <w:i/>
          <w:iCs/>
        </w:rPr>
        <w:lastRenderedPageBreak/>
        <w:t xml:space="preserve">presente </w:t>
      </w:r>
      <w:r>
        <w:rPr>
          <w:rFonts w:ascii="Book Antiqua" w:hAnsi="Book Antiqua"/>
          <w:i/>
          <w:iCs/>
        </w:rPr>
        <w:t>Artículo</w:t>
      </w:r>
      <w:r w:rsidRPr="001057F4">
        <w:rPr>
          <w:rFonts w:ascii="Book Antiqua" w:hAnsi="Book Antiqua"/>
          <w:i/>
          <w:iCs/>
        </w:rPr>
        <w:t xml:space="preserve"> o que dicha parte realice actos afirmativos que indiquen claramente que el presunto beneficiario de esta amnistía tenía la intención manifiesta y el deseo de entregar voluntariamente el arma o armas de fuego o municiones pertinentes. </w:t>
      </w:r>
    </w:p>
    <w:p w14:paraId="1D8A5DE1" w14:textId="17E973EF" w:rsidR="001057F4" w:rsidRDefault="001057F4" w:rsidP="00A4532F">
      <w:pPr>
        <w:widowControl w:val="0"/>
        <w:spacing w:before="120" w:after="120" w:line="480" w:lineRule="auto"/>
        <w:ind w:firstLine="360"/>
        <w:jc w:val="both"/>
        <w:rPr>
          <w:rFonts w:ascii="Book Antiqua" w:hAnsi="Book Antiqua"/>
          <w:i/>
          <w:iCs/>
        </w:rPr>
      </w:pPr>
      <w:r w:rsidRPr="001057F4">
        <w:rPr>
          <w:rFonts w:ascii="Book Antiqua" w:hAnsi="Book Antiqua"/>
          <w:i/>
          <w:iCs/>
        </w:rPr>
        <w:t>Durante la vigencia de esta amnistía, el Superintendente llevará a cabo una extensa campaña publicitaria, mediante</w:t>
      </w:r>
      <w:r w:rsidR="00D0642C">
        <w:rPr>
          <w:rFonts w:ascii="Book Antiqua" w:hAnsi="Book Antiqua"/>
          <w:i/>
          <w:iCs/>
        </w:rPr>
        <w:t xml:space="preserve"> redes sociales,</w:t>
      </w:r>
      <w:r w:rsidRPr="001057F4">
        <w:rPr>
          <w:rFonts w:ascii="Book Antiqua" w:hAnsi="Book Antiqua"/>
          <w:i/>
          <w:iCs/>
        </w:rPr>
        <w:t xml:space="preserve"> </w:t>
      </w:r>
      <w:r w:rsidR="00EE0C0C" w:rsidRPr="001057F4">
        <w:rPr>
          <w:rFonts w:ascii="Book Antiqua" w:hAnsi="Book Antiqua"/>
          <w:i/>
          <w:iCs/>
        </w:rPr>
        <w:t>prensa</w:t>
      </w:r>
      <w:r w:rsidRPr="001057F4">
        <w:rPr>
          <w:rFonts w:ascii="Book Antiqua" w:hAnsi="Book Antiqua"/>
          <w:i/>
          <w:iCs/>
        </w:rPr>
        <w:t>, radio y televisión, apercibiendo al público sobre la existencia de la amnistía, y del proceso para acogerse a la misma conforme a las disposiciones de esta Ley.</w:t>
      </w:r>
    </w:p>
    <w:p w14:paraId="321A2A46" w14:textId="53D5AA94" w:rsidR="00503FD8" w:rsidRPr="001057F4" w:rsidRDefault="00503FD8" w:rsidP="00A4532F">
      <w:pPr>
        <w:widowControl w:val="0"/>
        <w:spacing w:before="120" w:after="120" w:line="480" w:lineRule="auto"/>
        <w:ind w:firstLine="360"/>
        <w:jc w:val="both"/>
        <w:rPr>
          <w:rFonts w:ascii="Book Antiqua" w:hAnsi="Book Antiqua"/>
          <w:i/>
          <w:iCs/>
          <w:lang w:val="es-ES"/>
        </w:rPr>
      </w:pPr>
      <w:r>
        <w:rPr>
          <w:rFonts w:ascii="Book Antiqua" w:hAnsi="Book Antiqua"/>
          <w:i/>
          <w:iCs/>
        </w:rPr>
        <w:t>El Superintendente deberá adoptar o enmendar el reglamento necesario para viabilizar esta amnistía dentro de los noventa (90) días, luego de la aprobación de esta Ley.</w:t>
      </w:r>
      <w:r w:rsidR="00C83C3B">
        <w:rPr>
          <w:rFonts w:ascii="Book Antiqua" w:hAnsi="Book Antiqua"/>
          <w:i/>
          <w:iCs/>
        </w:rPr>
        <w:t>”</w:t>
      </w:r>
    </w:p>
    <w:p w14:paraId="099CF0EB" w14:textId="6F4F4F14" w:rsidR="00503FD8" w:rsidRPr="00C83C3B" w:rsidRDefault="00B32B2E" w:rsidP="00937F92">
      <w:pPr>
        <w:widowControl w:val="0"/>
        <w:spacing w:before="120" w:after="120" w:line="480" w:lineRule="auto"/>
        <w:ind w:firstLine="360"/>
        <w:jc w:val="both"/>
        <w:rPr>
          <w:rFonts w:ascii="Book Antiqua" w:eastAsia="Times New Roman" w:hAnsi="Book Antiqua"/>
        </w:rPr>
      </w:pPr>
      <w:r w:rsidRPr="00C83C3B">
        <w:rPr>
          <w:rFonts w:ascii="Book Antiqua" w:hAnsi="Book Antiqua"/>
          <w:lang w:val="es-ES"/>
        </w:rPr>
        <w:t>Sección 2.-</w:t>
      </w:r>
      <w:r w:rsidR="00A4532F" w:rsidRPr="00C83C3B">
        <w:rPr>
          <w:rFonts w:ascii="Book Antiqua" w:eastAsia="Times New Roman" w:hAnsi="Book Antiqua"/>
          <w:b/>
          <w:bCs/>
        </w:rPr>
        <w:t xml:space="preserve"> </w:t>
      </w:r>
      <w:r w:rsidR="00503FD8" w:rsidRPr="00C83C3B">
        <w:rPr>
          <w:rFonts w:ascii="Book Antiqua" w:eastAsia="Times New Roman" w:hAnsi="Book Antiqua"/>
        </w:rPr>
        <w:t>Recopilación de datos y estadísticas.</w:t>
      </w:r>
    </w:p>
    <w:p w14:paraId="088EE9B3" w14:textId="3821F411" w:rsidR="00A4532F" w:rsidRPr="00C83C3B" w:rsidRDefault="00937F92" w:rsidP="00937F92">
      <w:pPr>
        <w:widowControl w:val="0"/>
        <w:spacing w:before="120" w:after="120" w:line="480" w:lineRule="auto"/>
        <w:ind w:firstLine="360"/>
        <w:jc w:val="both"/>
        <w:rPr>
          <w:rFonts w:ascii="Book Antiqua" w:hAnsi="Book Antiqua"/>
        </w:rPr>
      </w:pPr>
      <w:r w:rsidRPr="00C83C3B">
        <w:rPr>
          <w:rFonts w:ascii="Book Antiqua" w:hAnsi="Book Antiqua"/>
        </w:rPr>
        <w:t>El Superintendente de la Policía deberá establecer</w:t>
      </w:r>
      <w:r w:rsidRPr="00C83C3B">
        <w:rPr>
          <w:rFonts w:ascii="Book Antiqua" w:hAnsi="Book Antiqua"/>
          <w:bCs/>
        </w:rPr>
        <w:t xml:space="preserve"> mecanismos claros de recopilación, análisis y divulgación de datos que permitan medir su impacto real sobre la seguridad pública. </w:t>
      </w:r>
    </w:p>
    <w:p w14:paraId="0804C695" w14:textId="47005213" w:rsidR="00503FD8" w:rsidRPr="00C83C3B" w:rsidRDefault="00A56295" w:rsidP="00503FD8">
      <w:pPr>
        <w:widowControl w:val="0"/>
        <w:spacing w:before="120" w:after="120" w:line="480" w:lineRule="auto"/>
        <w:ind w:firstLine="360"/>
        <w:jc w:val="both"/>
        <w:rPr>
          <w:rFonts w:ascii="Book Antiqua" w:hAnsi="Book Antiqua"/>
          <w:lang w:val="es-ES"/>
        </w:rPr>
      </w:pPr>
      <w:r w:rsidRPr="00C83C3B">
        <w:rPr>
          <w:rFonts w:ascii="Book Antiqua" w:hAnsi="Book Antiqua"/>
          <w:lang w:val="es-ES"/>
        </w:rPr>
        <w:t xml:space="preserve">Sección 3.- </w:t>
      </w:r>
      <w:r w:rsidR="00503FD8" w:rsidRPr="00C83C3B">
        <w:rPr>
          <w:rFonts w:ascii="Book Antiqua" w:hAnsi="Book Antiqua"/>
          <w:lang w:val="es-ES"/>
        </w:rPr>
        <w:t>Informes a la Asamblea Legislativa.</w:t>
      </w:r>
    </w:p>
    <w:p w14:paraId="4638F24F" w14:textId="0074475F" w:rsidR="00503FD8" w:rsidRPr="00C83C3B" w:rsidRDefault="00503FD8" w:rsidP="00503FD8">
      <w:pPr>
        <w:widowControl w:val="0"/>
        <w:spacing w:before="120" w:after="120" w:line="480" w:lineRule="auto"/>
        <w:ind w:firstLine="360"/>
        <w:jc w:val="both"/>
        <w:rPr>
          <w:rFonts w:ascii="Book Antiqua" w:hAnsi="Book Antiqua"/>
          <w:bCs/>
        </w:rPr>
      </w:pPr>
      <w:r w:rsidRPr="00C83C3B">
        <w:rPr>
          <w:rFonts w:ascii="Book Antiqua" w:hAnsi="Book Antiqua"/>
          <w:bCs/>
        </w:rPr>
        <w:t>Dentro de los ciento ochenta (180) días posteriores al cierre de la amnistía, o la extensión de esta, el Superintendente</w:t>
      </w:r>
      <w:r w:rsidR="00ED7813">
        <w:rPr>
          <w:rFonts w:ascii="Book Antiqua" w:hAnsi="Book Antiqua"/>
          <w:bCs/>
        </w:rPr>
        <w:t xml:space="preserve"> de la Policía</w:t>
      </w:r>
      <w:r w:rsidRPr="00C83C3B">
        <w:rPr>
          <w:rFonts w:ascii="Book Antiqua" w:hAnsi="Book Antiqua"/>
          <w:bCs/>
        </w:rPr>
        <w:t xml:space="preserve"> deberá presentar un Informe detallado a la Asamblea Legislativa, por conducto de la Secretaría del Senado de Puerto Rico y de la Cámara de Representantes, detallando el número total de armas de fuego y municiones recuperadas durante dichos periodos </w:t>
      </w:r>
      <w:r w:rsidR="007F42DE" w:rsidRPr="00C83C3B">
        <w:rPr>
          <w:rFonts w:ascii="Book Antiqua" w:hAnsi="Book Antiqua"/>
          <w:bCs/>
        </w:rPr>
        <w:t>e incluir</w:t>
      </w:r>
      <w:r w:rsidRPr="00C83C3B">
        <w:rPr>
          <w:rFonts w:ascii="Book Antiqua" w:hAnsi="Book Antiqua"/>
          <w:bCs/>
        </w:rPr>
        <w:t xml:space="preserve"> las estadísticas según el tipo de artefactos recuperados</w:t>
      </w:r>
      <w:r w:rsidR="007F42DE" w:rsidRPr="00C83C3B">
        <w:rPr>
          <w:rFonts w:ascii="Book Antiqua" w:hAnsi="Book Antiqua"/>
          <w:bCs/>
        </w:rPr>
        <w:t xml:space="preserve"> incluyendo un desglose separado de lo siguiente:</w:t>
      </w:r>
    </w:p>
    <w:p w14:paraId="19EE2FB6" w14:textId="03B342F3" w:rsidR="007F42DE" w:rsidRPr="00C83C3B" w:rsidRDefault="007F42DE" w:rsidP="007F42DE">
      <w:pPr>
        <w:pStyle w:val="Prrafodelista"/>
        <w:widowControl w:val="0"/>
        <w:numPr>
          <w:ilvl w:val="0"/>
          <w:numId w:val="24"/>
        </w:numPr>
        <w:spacing w:before="120" w:after="120" w:line="480" w:lineRule="auto"/>
        <w:jc w:val="both"/>
        <w:rPr>
          <w:rFonts w:ascii="Book Antiqua" w:hAnsi="Book Antiqua"/>
          <w:bCs/>
        </w:rPr>
      </w:pPr>
      <w:r w:rsidRPr="00C83C3B">
        <w:rPr>
          <w:rFonts w:ascii="Book Antiqua" w:hAnsi="Book Antiqua"/>
          <w:bCs/>
        </w:rPr>
        <w:t>Total</w:t>
      </w:r>
      <w:r w:rsidR="0092062F">
        <w:rPr>
          <w:rFonts w:ascii="Book Antiqua" w:hAnsi="Book Antiqua"/>
          <w:bCs/>
        </w:rPr>
        <w:t>,</w:t>
      </w:r>
      <w:r w:rsidRPr="00C83C3B">
        <w:rPr>
          <w:rFonts w:ascii="Book Antiqua" w:hAnsi="Book Antiqua"/>
          <w:bCs/>
        </w:rPr>
        <w:t xml:space="preserve"> y tipo de armas</w:t>
      </w:r>
      <w:r w:rsidR="00FA30BC">
        <w:rPr>
          <w:rFonts w:ascii="Book Antiqua" w:hAnsi="Book Antiqua"/>
          <w:bCs/>
        </w:rPr>
        <w:t xml:space="preserve"> según su clasificación</w:t>
      </w:r>
      <w:r w:rsidR="00C83C3B">
        <w:rPr>
          <w:rFonts w:ascii="Book Antiqua" w:hAnsi="Book Antiqua"/>
          <w:bCs/>
        </w:rPr>
        <w:t>;</w:t>
      </w:r>
    </w:p>
    <w:p w14:paraId="0FE14EDF" w14:textId="4D62F8D6" w:rsidR="007F42DE" w:rsidRPr="00C83C3B" w:rsidRDefault="007F42DE" w:rsidP="007F42DE">
      <w:pPr>
        <w:pStyle w:val="Prrafodelista"/>
        <w:widowControl w:val="0"/>
        <w:numPr>
          <w:ilvl w:val="0"/>
          <w:numId w:val="24"/>
        </w:numPr>
        <w:spacing w:before="120" w:after="120" w:line="480" w:lineRule="auto"/>
        <w:jc w:val="both"/>
        <w:rPr>
          <w:rFonts w:ascii="Book Antiqua" w:hAnsi="Book Antiqua"/>
          <w:bCs/>
        </w:rPr>
      </w:pPr>
      <w:r w:rsidRPr="00C83C3B">
        <w:rPr>
          <w:rFonts w:ascii="Book Antiqua" w:hAnsi="Book Antiqua"/>
          <w:bCs/>
        </w:rPr>
        <w:lastRenderedPageBreak/>
        <w:t xml:space="preserve">si </w:t>
      </w:r>
      <w:r w:rsidR="00113836">
        <w:rPr>
          <w:rFonts w:ascii="Book Antiqua" w:hAnsi="Book Antiqua"/>
          <w:bCs/>
        </w:rPr>
        <w:t xml:space="preserve">éstas </w:t>
      </w:r>
      <w:r w:rsidRPr="00C83C3B">
        <w:rPr>
          <w:rFonts w:ascii="Book Antiqua" w:hAnsi="Book Antiqua"/>
          <w:bCs/>
        </w:rPr>
        <w:t>contienen número de serie o se encuentran mutilados</w:t>
      </w:r>
      <w:r w:rsidR="00C83C3B">
        <w:rPr>
          <w:rFonts w:ascii="Book Antiqua" w:hAnsi="Book Antiqua"/>
          <w:bCs/>
        </w:rPr>
        <w:t>;</w:t>
      </w:r>
    </w:p>
    <w:p w14:paraId="006B3EF6" w14:textId="72C858ED" w:rsidR="007F42DE" w:rsidRPr="00C83C3B" w:rsidRDefault="007F42DE" w:rsidP="007F42DE">
      <w:pPr>
        <w:pStyle w:val="Prrafodelista"/>
        <w:widowControl w:val="0"/>
        <w:numPr>
          <w:ilvl w:val="0"/>
          <w:numId w:val="24"/>
        </w:numPr>
        <w:spacing w:before="120" w:after="120" w:line="480" w:lineRule="auto"/>
        <w:jc w:val="both"/>
        <w:rPr>
          <w:rFonts w:ascii="Book Antiqua" w:hAnsi="Book Antiqua"/>
          <w:bCs/>
        </w:rPr>
      </w:pPr>
      <w:proofErr w:type="spellStart"/>
      <w:r w:rsidRPr="00C83C3B">
        <w:rPr>
          <w:rFonts w:ascii="Book Antiqua" w:hAnsi="Book Antiqua"/>
          <w:bCs/>
        </w:rPr>
        <w:t>si</w:t>
      </w:r>
      <w:proofErr w:type="spellEnd"/>
      <w:r w:rsidRPr="00C83C3B">
        <w:rPr>
          <w:rFonts w:ascii="Book Antiqua" w:hAnsi="Book Antiqua"/>
          <w:bCs/>
        </w:rPr>
        <w:t xml:space="preserve"> ha sido vinculada a algún delito previo</w:t>
      </w:r>
      <w:r w:rsidR="00C83C3B">
        <w:rPr>
          <w:rFonts w:ascii="Book Antiqua" w:hAnsi="Book Antiqua"/>
          <w:bCs/>
        </w:rPr>
        <w:t>;</w:t>
      </w:r>
    </w:p>
    <w:p w14:paraId="2D0093A7" w14:textId="0A9D00CD" w:rsidR="00C83C3B" w:rsidRPr="00C83C3B" w:rsidRDefault="007F42DE" w:rsidP="00C83C3B">
      <w:pPr>
        <w:pStyle w:val="Prrafodelista"/>
        <w:widowControl w:val="0"/>
        <w:numPr>
          <w:ilvl w:val="0"/>
          <w:numId w:val="24"/>
        </w:numPr>
        <w:spacing w:before="120" w:after="120" w:line="480" w:lineRule="auto"/>
        <w:jc w:val="both"/>
        <w:rPr>
          <w:rFonts w:ascii="Book Antiqua" w:hAnsi="Book Antiqua"/>
          <w:bCs/>
        </w:rPr>
      </w:pPr>
      <w:r w:rsidRPr="00C83C3B">
        <w:rPr>
          <w:rFonts w:ascii="Book Antiqua" w:hAnsi="Book Antiqua"/>
          <w:bCs/>
        </w:rPr>
        <w:t>total, y tipo de municiones</w:t>
      </w:r>
      <w:r w:rsidR="00C83C3B">
        <w:rPr>
          <w:rFonts w:ascii="Book Antiqua" w:hAnsi="Book Antiqua"/>
          <w:bCs/>
        </w:rPr>
        <w:t>; y</w:t>
      </w:r>
    </w:p>
    <w:p w14:paraId="7EB94126" w14:textId="3C4793C5" w:rsidR="007F42DE" w:rsidRPr="00C83C3B" w:rsidRDefault="007F42DE" w:rsidP="007F42DE">
      <w:pPr>
        <w:pStyle w:val="Prrafodelista"/>
        <w:widowControl w:val="0"/>
        <w:numPr>
          <w:ilvl w:val="0"/>
          <w:numId w:val="24"/>
        </w:numPr>
        <w:spacing w:before="120" w:after="120" w:line="480" w:lineRule="auto"/>
        <w:jc w:val="both"/>
        <w:rPr>
          <w:rFonts w:ascii="Book Antiqua" w:hAnsi="Book Antiqua"/>
          <w:bCs/>
        </w:rPr>
      </w:pPr>
      <w:r w:rsidRPr="00C83C3B">
        <w:rPr>
          <w:rFonts w:ascii="Book Antiqua" w:hAnsi="Book Antiqua"/>
          <w:bCs/>
        </w:rPr>
        <w:t>lugar donde fueron entregadas las mismas</w:t>
      </w:r>
      <w:r w:rsidR="00C83C3B">
        <w:rPr>
          <w:rFonts w:ascii="Book Antiqua" w:hAnsi="Book Antiqua"/>
          <w:bCs/>
        </w:rPr>
        <w:t>.</w:t>
      </w:r>
    </w:p>
    <w:p w14:paraId="7B3555D0" w14:textId="462EA48A" w:rsidR="00A4532F" w:rsidRPr="00C83C3B" w:rsidRDefault="00A4532F" w:rsidP="00A4532F">
      <w:pPr>
        <w:widowControl w:val="0"/>
        <w:spacing w:before="120" w:after="120" w:line="480" w:lineRule="auto"/>
        <w:ind w:left="360"/>
        <w:jc w:val="both"/>
        <w:rPr>
          <w:rFonts w:ascii="Book Antiqua" w:hAnsi="Book Antiqua"/>
        </w:rPr>
      </w:pPr>
      <w:r w:rsidRPr="00C83C3B">
        <w:rPr>
          <w:rFonts w:ascii="Book Antiqua" w:hAnsi="Book Antiqua"/>
        </w:rPr>
        <w:t>Sección 4.-</w:t>
      </w:r>
      <w:r w:rsidRPr="00C83C3B">
        <w:rPr>
          <w:rFonts w:ascii="Book Antiqua" w:eastAsia="Times New Roman" w:hAnsi="Book Antiqua"/>
          <w:b/>
          <w:bCs/>
        </w:rPr>
        <w:t xml:space="preserve"> </w:t>
      </w:r>
      <w:r w:rsidRPr="00C83C3B">
        <w:rPr>
          <w:rFonts w:ascii="Book Antiqua" w:hAnsi="Book Antiqua"/>
        </w:rPr>
        <w:t>Procedimiento de Entrega y Participación de Entidades.</w:t>
      </w:r>
    </w:p>
    <w:p w14:paraId="0EABDECD" w14:textId="4A6657A1" w:rsidR="00A4532F" w:rsidRDefault="007F42DE" w:rsidP="00C83C3B">
      <w:pPr>
        <w:widowControl w:val="0"/>
        <w:spacing w:before="120" w:after="120" w:line="480" w:lineRule="auto"/>
        <w:ind w:firstLine="360"/>
        <w:jc w:val="both"/>
        <w:rPr>
          <w:rFonts w:ascii="Book Antiqua" w:hAnsi="Book Antiqua"/>
        </w:rPr>
      </w:pPr>
      <w:r w:rsidRPr="00C83C3B">
        <w:rPr>
          <w:rFonts w:ascii="Book Antiqua" w:hAnsi="Book Antiqua"/>
        </w:rPr>
        <w:t xml:space="preserve">Se autoriza al Superintendente de la Policía a </w:t>
      </w:r>
      <w:r w:rsidR="00A4532F" w:rsidRPr="00C83C3B">
        <w:rPr>
          <w:rFonts w:ascii="Book Antiqua" w:hAnsi="Book Antiqua"/>
        </w:rPr>
        <w:t>designar</w:t>
      </w:r>
      <w:r w:rsidRPr="00C83C3B">
        <w:rPr>
          <w:rFonts w:ascii="Book Antiqua" w:hAnsi="Book Antiqua"/>
        </w:rPr>
        <w:t xml:space="preserve"> mediante reglamento las</w:t>
      </w:r>
      <w:r w:rsidR="00A4532F" w:rsidRPr="00C83C3B">
        <w:rPr>
          <w:rFonts w:ascii="Book Antiqua" w:hAnsi="Book Antiqua"/>
        </w:rPr>
        <w:t xml:space="preserve"> </w:t>
      </w:r>
      <w:r w:rsidRPr="00C83C3B">
        <w:rPr>
          <w:rFonts w:ascii="Book Antiqua" w:hAnsi="Book Antiqua"/>
        </w:rPr>
        <w:t xml:space="preserve">agencias, </w:t>
      </w:r>
      <w:r w:rsidR="00A4532F" w:rsidRPr="00C83C3B">
        <w:rPr>
          <w:rFonts w:ascii="Book Antiqua" w:hAnsi="Book Antiqua"/>
        </w:rPr>
        <w:t>instituciones sin fines de lucro o de base de fe, debidamente certificadas, para asistir en el recibo de armas y municiones.</w:t>
      </w:r>
      <w:r w:rsidRPr="00C83C3B">
        <w:rPr>
          <w:rFonts w:ascii="Book Antiqua" w:hAnsi="Book Antiqua"/>
        </w:rPr>
        <w:t xml:space="preserve"> El proceso de entrega de armas y municiones se </w:t>
      </w:r>
      <w:r w:rsidR="00A4532F" w:rsidRPr="00C83C3B">
        <w:rPr>
          <w:rFonts w:ascii="Book Antiqua" w:hAnsi="Book Antiqua"/>
        </w:rPr>
        <w:t>realizará sin llevar récord del nombre o identidad de la persona que se acoge a la amnistía, garantizando la confidencialidad del proceso.</w:t>
      </w:r>
    </w:p>
    <w:p w14:paraId="7544A585" w14:textId="3578B44E" w:rsidR="00113836" w:rsidRDefault="00113836" w:rsidP="00C83C3B">
      <w:pPr>
        <w:widowControl w:val="0"/>
        <w:spacing w:before="120" w:after="120" w:line="480" w:lineRule="auto"/>
        <w:ind w:firstLine="360"/>
        <w:jc w:val="both"/>
        <w:rPr>
          <w:rFonts w:ascii="Book Antiqua" w:hAnsi="Book Antiqua"/>
        </w:rPr>
      </w:pPr>
      <w:r>
        <w:rPr>
          <w:rFonts w:ascii="Book Antiqua" w:hAnsi="Book Antiqua"/>
        </w:rPr>
        <w:t xml:space="preserve">Sección 5.-Acuerdos </w:t>
      </w:r>
      <w:proofErr w:type="spellStart"/>
      <w:r>
        <w:rPr>
          <w:rFonts w:ascii="Book Antiqua" w:hAnsi="Book Antiqua"/>
        </w:rPr>
        <w:t>Interagenciales</w:t>
      </w:r>
      <w:proofErr w:type="spellEnd"/>
      <w:r w:rsidR="00ED7813">
        <w:rPr>
          <w:rFonts w:ascii="Book Antiqua" w:hAnsi="Book Antiqua"/>
        </w:rPr>
        <w:t xml:space="preserve"> o Colaborativos</w:t>
      </w:r>
      <w:r>
        <w:rPr>
          <w:rFonts w:ascii="Book Antiqua" w:hAnsi="Book Antiqua"/>
        </w:rPr>
        <w:t>.</w:t>
      </w:r>
    </w:p>
    <w:p w14:paraId="274ABCEA" w14:textId="297AD6EE" w:rsidR="00113836" w:rsidRPr="00C83C3B" w:rsidRDefault="00113836" w:rsidP="00C83C3B">
      <w:pPr>
        <w:widowControl w:val="0"/>
        <w:spacing w:before="120" w:after="120" w:line="480" w:lineRule="auto"/>
        <w:ind w:firstLine="360"/>
        <w:jc w:val="both"/>
        <w:rPr>
          <w:rFonts w:ascii="Book Antiqua" w:hAnsi="Book Antiqua"/>
        </w:rPr>
      </w:pPr>
      <w:r>
        <w:rPr>
          <w:rFonts w:ascii="Book Antiqua" w:hAnsi="Book Antiqua"/>
        </w:rPr>
        <w:t xml:space="preserve">Se autoriza al Superintendente de la Policía a establecer los Acuerdos </w:t>
      </w:r>
      <w:proofErr w:type="spellStart"/>
      <w:r>
        <w:rPr>
          <w:rFonts w:ascii="Book Antiqua" w:hAnsi="Book Antiqua"/>
        </w:rPr>
        <w:t>Interagenciales</w:t>
      </w:r>
      <w:proofErr w:type="spellEnd"/>
      <w:r w:rsidR="00ED7813">
        <w:rPr>
          <w:rFonts w:ascii="Book Antiqua" w:hAnsi="Book Antiqua"/>
        </w:rPr>
        <w:t xml:space="preserve"> o Colaborativos</w:t>
      </w:r>
      <w:r>
        <w:rPr>
          <w:rFonts w:ascii="Book Antiqua" w:hAnsi="Book Antiqua"/>
        </w:rPr>
        <w:t xml:space="preserve"> que estime </w:t>
      </w:r>
      <w:r w:rsidR="0028466E">
        <w:rPr>
          <w:rFonts w:ascii="Book Antiqua" w:hAnsi="Book Antiqua"/>
        </w:rPr>
        <w:t>conveniente</w:t>
      </w:r>
      <w:r>
        <w:rPr>
          <w:rFonts w:ascii="Book Antiqua" w:hAnsi="Book Antiqua"/>
        </w:rPr>
        <w:t>s para cumplir con las disposiciones de esta Ley.</w:t>
      </w:r>
    </w:p>
    <w:p w14:paraId="614EDB76" w14:textId="6C029678" w:rsidR="00A4532F" w:rsidRPr="00C83C3B" w:rsidRDefault="00EC4C48" w:rsidP="00A4532F">
      <w:pPr>
        <w:widowControl w:val="0"/>
        <w:spacing w:before="120" w:after="120" w:line="480" w:lineRule="auto"/>
        <w:ind w:left="360"/>
        <w:jc w:val="both"/>
        <w:rPr>
          <w:rFonts w:ascii="Book Antiqua" w:hAnsi="Book Antiqua"/>
        </w:rPr>
      </w:pPr>
      <w:r w:rsidRPr="00C83C3B">
        <w:rPr>
          <w:rFonts w:ascii="Book Antiqua" w:hAnsi="Book Antiqua"/>
          <w:lang w:val="es-ES"/>
        </w:rPr>
        <w:t xml:space="preserve">Sección </w:t>
      </w:r>
      <w:r w:rsidR="00113836">
        <w:rPr>
          <w:rFonts w:ascii="Book Antiqua" w:hAnsi="Book Antiqua"/>
          <w:lang w:val="es-ES"/>
        </w:rPr>
        <w:t>6</w:t>
      </w:r>
      <w:r w:rsidRPr="00C83C3B">
        <w:rPr>
          <w:rFonts w:ascii="Book Antiqua" w:hAnsi="Book Antiqua"/>
          <w:lang w:val="es-ES"/>
        </w:rPr>
        <w:t>.-</w:t>
      </w:r>
      <w:r w:rsidR="00A4532F" w:rsidRPr="00C83C3B">
        <w:rPr>
          <w:rFonts w:ascii="Book Antiqua" w:eastAsia="Times New Roman" w:hAnsi="Book Antiqua"/>
          <w:b/>
          <w:bCs/>
        </w:rPr>
        <w:t xml:space="preserve"> </w:t>
      </w:r>
      <w:r w:rsidR="00A4532F" w:rsidRPr="00C83C3B">
        <w:rPr>
          <w:rFonts w:ascii="Book Antiqua" w:hAnsi="Book Antiqua"/>
        </w:rPr>
        <w:t>Obligación de Investigar e Informar.</w:t>
      </w:r>
    </w:p>
    <w:p w14:paraId="2946348E" w14:textId="00139E95" w:rsidR="00A4532F" w:rsidRPr="00C83C3B" w:rsidRDefault="007F42DE" w:rsidP="007F42DE">
      <w:pPr>
        <w:widowControl w:val="0"/>
        <w:spacing w:before="120" w:after="120" w:line="480" w:lineRule="auto"/>
        <w:ind w:firstLine="360"/>
        <w:jc w:val="both"/>
        <w:rPr>
          <w:rFonts w:ascii="Book Antiqua" w:hAnsi="Book Antiqua"/>
        </w:rPr>
      </w:pPr>
      <w:r w:rsidRPr="00C83C3B">
        <w:rPr>
          <w:rFonts w:ascii="Book Antiqua" w:hAnsi="Book Antiqua"/>
        </w:rPr>
        <w:t>L</w:t>
      </w:r>
      <w:r w:rsidR="00A4532F" w:rsidRPr="00C83C3B">
        <w:rPr>
          <w:rFonts w:ascii="Book Antiqua" w:hAnsi="Book Antiqua"/>
        </w:rPr>
        <w:t>a Policía</w:t>
      </w:r>
      <w:r w:rsidRPr="00C83C3B">
        <w:rPr>
          <w:rFonts w:ascii="Book Antiqua" w:hAnsi="Book Antiqua"/>
        </w:rPr>
        <w:t xml:space="preserve"> de Puerto Rico</w:t>
      </w:r>
      <w:r w:rsidR="00A4532F" w:rsidRPr="00C83C3B">
        <w:rPr>
          <w:rFonts w:ascii="Book Antiqua" w:hAnsi="Book Antiqua"/>
        </w:rPr>
        <w:t>, en coordinación con el Instituto de Ciencias Forenses</w:t>
      </w:r>
      <w:r w:rsidRPr="00C83C3B">
        <w:rPr>
          <w:rFonts w:ascii="Book Antiqua" w:hAnsi="Book Antiqua"/>
        </w:rPr>
        <w:t xml:space="preserve"> (ICF)</w:t>
      </w:r>
      <w:r w:rsidR="00A4532F" w:rsidRPr="00C83C3B">
        <w:rPr>
          <w:rFonts w:ascii="Book Antiqua" w:hAnsi="Book Antiqua"/>
        </w:rPr>
        <w:t>, llevará a cabo una investigación sobre la procedencia de las armas entregadas</w:t>
      </w:r>
      <w:r w:rsidRPr="00C83C3B">
        <w:rPr>
          <w:rFonts w:ascii="Book Antiqua" w:hAnsi="Book Antiqua"/>
        </w:rPr>
        <w:t>, a los efectos de establecer si las mismas se encuentran vinculadas con algún evento delictivo</w:t>
      </w:r>
      <w:r w:rsidR="00A4532F" w:rsidRPr="00C83C3B">
        <w:rPr>
          <w:rFonts w:ascii="Book Antiqua" w:hAnsi="Book Antiqua"/>
        </w:rPr>
        <w:t>.</w:t>
      </w:r>
    </w:p>
    <w:p w14:paraId="7D2C668A" w14:textId="7734BD11" w:rsidR="00A4532F" w:rsidRPr="00C83C3B" w:rsidRDefault="004F1618" w:rsidP="00A4532F">
      <w:pPr>
        <w:widowControl w:val="0"/>
        <w:spacing w:before="120" w:after="120" w:line="480" w:lineRule="auto"/>
        <w:ind w:left="360"/>
        <w:jc w:val="both"/>
        <w:rPr>
          <w:rFonts w:ascii="Book Antiqua" w:hAnsi="Book Antiqua"/>
        </w:rPr>
      </w:pPr>
      <w:r w:rsidRPr="00C83C3B">
        <w:rPr>
          <w:rFonts w:ascii="Book Antiqua" w:hAnsi="Book Antiqua"/>
        </w:rPr>
        <w:t xml:space="preserve">Sección </w:t>
      </w:r>
      <w:r w:rsidR="00113836">
        <w:rPr>
          <w:rFonts w:ascii="Book Antiqua" w:hAnsi="Book Antiqua"/>
        </w:rPr>
        <w:t>7</w:t>
      </w:r>
      <w:r w:rsidR="00B50AA8" w:rsidRPr="00C83C3B">
        <w:rPr>
          <w:rFonts w:ascii="Book Antiqua" w:hAnsi="Book Antiqua"/>
        </w:rPr>
        <w:t xml:space="preserve">.- </w:t>
      </w:r>
      <w:r w:rsidR="00A4532F" w:rsidRPr="00C83C3B">
        <w:rPr>
          <w:rFonts w:ascii="Book Antiqua" w:hAnsi="Book Antiqua"/>
        </w:rPr>
        <w:t>Decomiso y Uso Institucional.</w:t>
      </w:r>
    </w:p>
    <w:p w14:paraId="2B66A7A8" w14:textId="67F389EA" w:rsidR="00A4532F" w:rsidRPr="00C83C3B" w:rsidRDefault="00C83C3B" w:rsidP="00C83C3B">
      <w:pPr>
        <w:widowControl w:val="0"/>
        <w:spacing w:before="120" w:after="120" w:line="480" w:lineRule="auto"/>
        <w:ind w:firstLine="360"/>
        <w:jc w:val="both"/>
        <w:rPr>
          <w:rFonts w:ascii="Book Antiqua" w:hAnsi="Book Antiqua"/>
        </w:rPr>
      </w:pPr>
      <w:r w:rsidRPr="00C83C3B">
        <w:rPr>
          <w:rFonts w:ascii="Book Antiqua" w:hAnsi="Book Antiqua"/>
        </w:rPr>
        <w:t xml:space="preserve">El Superintendente de la Policía establecerá mediante reglamento, orden administrativa u orden general el procedimiento para el decomiso de armas de fuego y </w:t>
      </w:r>
      <w:r w:rsidRPr="00C83C3B">
        <w:rPr>
          <w:rFonts w:ascii="Book Antiqua" w:hAnsi="Book Antiqua"/>
        </w:rPr>
        <w:lastRenderedPageBreak/>
        <w:t>municiones o para el uso institucional que se le pueda brindar a las mismas. Asimismo, éste establecerá el procedimiento aplicable para la devolución de l</w:t>
      </w:r>
      <w:r w:rsidR="00A4532F" w:rsidRPr="00C83C3B">
        <w:rPr>
          <w:rFonts w:ascii="Book Antiqua" w:hAnsi="Book Antiqua"/>
        </w:rPr>
        <w:t>as armas reportadas como hurtadas a su dueño registral</w:t>
      </w:r>
      <w:r w:rsidRPr="00C83C3B">
        <w:rPr>
          <w:rFonts w:ascii="Book Antiqua" w:hAnsi="Book Antiqua"/>
        </w:rPr>
        <w:t>, siempre que las mismas no se encuentren alteradas o mutiladas</w:t>
      </w:r>
      <w:r w:rsidR="00A4532F" w:rsidRPr="00C83C3B">
        <w:rPr>
          <w:rFonts w:ascii="Book Antiqua" w:hAnsi="Book Antiqua"/>
        </w:rPr>
        <w:t>.</w:t>
      </w:r>
    </w:p>
    <w:p w14:paraId="0AF1385D" w14:textId="0627CD36" w:rsidR="00C6159E" w:rsidRPr="00C83C3B" w:rsidRDefault="00DE0A0F" w:rsidP="00A4532F">
      <w:pPr>
        <w:widowControl w:val="0"/>
        <w:spacing w:before="120" w:after="120" w:line="480" w:lineRule="auto"/>
        <w:ind w:left="360"/>
        <w:jc w:val="both"/>
        <w:rPr>
          <w:rFonts w:ascii="Book Antiqua" w:hAnsi="Book Antiqua"/>
          <w:b/>
          <w:bCs/>
          <w:lang w:val="es-ES"/>
        </w:rPr>
      </w:pPr>
      <w:r w:rsidRPr="00C83C3B">
        <w:rPr>
          <w:rFonts w:ascii="Book Antiqua" w:hAnsi="Book Antiqua"/>
        </w:rPr>
        <w:t xml:space="preserve">Sección </w:t>
      </w:r>
      <w:r w:rsidR="00113836">
        <w:rPr>
          <w:rFonts w:ascii="Book Antiqua" w:hAnsi="Book Antiqua"/>
        </w:rPr>
        <w:t>8</w:t>
      </w:r>
      <w:r w:rsidRPr="00C83C3B">
        <w:rPr>
          <w:rFonts w:ascii="Book Antiqua" w:hAnsi="Book Antiqua"/>
        </w:rPr>
        <w:t>.-</w:t>
      </w:r>
      <w:r w:rsidR="0021523F" w:rsidRPr="00C83C3B">
        <w:rPr>
          <w:rFonts w:ascii="Book Antiqua" w:hAnsi="Book Antiqua"/>
        </w:rPr>
        <w:t xml:space="preserve"> </w:t>
      </w:r>
      <w:r w:rsidR="008A7FE5" w:rsidRPr="00C83C3B">
        <w:rPr>
          <w:rFonts w:ascii="Book Antiqua" w:hAnsi="Book Antiqua"/>
          <w:lang w:val="es-ES"/>
        </w:rPr>
        <w:t>Vigencia.</w:t>
      </w:r>
    </w:p>
    <w:p w14:paraId="6FDBD968" w14:textId="782A544E" w:rsidR="00F53C47" w:rsidRPr="00C83C3B" w:rsidRDefault="008A7FE5" w:rsidP="002F7249">
      <w:pPr>
        <w:pStyle w:val="Level4"/>
        <w:widowControl/>
        <w:spacing w:before="120" w:after="240" w:line="480" w:lineRule="auto"/>
        <w:ind w:firstLine="360"/>
        <w:contextualSpacing/>
        <w:jc w:val="both"/>
        <w:rPr>
          <w:rFonts w:ascii="Book Antiqua" w:hAnsi="Book Antiqua"/>
          <w:b w:val="0"/>
          <w:bCs w:val="0"/>
          <w:sz w:val="24"/>
          <w:szCs w:val="24"/>
          <w:lang w:val="es-ES"/>
        </w:rPr>
      </w:pPr>
      <w:r w:rsidRPr="00C83C3B">
        <w:rPr>
          <w:rFonts w:ascii="Book Antiqua" w:hAnsi="Book Antiqua"/>
          <w:b w:val="0"/>
          <w:bCs w:val="0"/>
          <w:sz w:val="24"/>
          <w:szCs w:val="24"/>
          <w:lang w:val="es-ES"/>
        </w:rPr>
        <w:t>Esta Ley comenzará a regir inmediatamente después de su aprobación.</w:t>
      </w:r>
    </w:p>
    <w:sectPr w:rsidR="00F53C47" w:rsidRPr="00C83C3B" w:rsidSect="008A7FE5">
      <w:headerReference w:type="even" r:id="rId11"/>
      <w:headerReference w:type="default" r:id="rId12"/>
      <w:footerReference w:type="default" r:id="rId13"/>
      <w:type w:val="continuous"/>
      <w:pgSz w:w="12240" w:h="15840"/>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80070" w14:textId="77777777" w:rsidR="00B27B06" w:rsidRDefault="00B27B06">
      <w:r>
        <w:separator/>
      </w:r>
    </w:p>
  </w:endnote>
  <w:endnote w:type="continuationSeparator" w:id="0">
    <w:p w14:paraId="5E42A471" w14:textId="77777777" w:rsidR="00B27B06" w:rsidRDefault="00B27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8A7FE5" w14:paraId="1C6E6F5C" w14:textId="77777777">
      <w:trPr>
        <w:trHeight w:val="300"/>
      </w:trPr>
      <w:tc>
        <w:tcPr>
          <w:tcW w:w="3120" w:type="dxa"/>
        </w:tcPr>
        <w:p w14:paraId="4CCCFCA1" w14:textId="77777777" w:rsidR="008A7FE5" w:rsidRDefault="008A7FE5">
          <w:pPr>
            <w:pStyle w:val="Encabezado"/>
            <w:ind w:left="-115"/>
          </w:pPr>
        </w:p>
      </w:tc>
      <w:tc>
        <w:tcPr>
          <w:tcW w:w="3120" w:type="dxa"/>
        </w:tcPr>
        <w:p w14:paraId="6F048CEB" w14:textId="77777777" w:rsidR="008A7FE5" w:rsidRDefault="008A7FE5">
          <w:pPr>
            <w:pStyle w:val="Encabezado"/>
            <w:jc w:val="center"/>
          </w:pPr>
        </w:p>
      </w:tc>
      <w:tc>
        <w:tcPr>
          <w:tcW w:w="3120" w:type="dxa"/>
        </w:tcPr>
        <w:p w14:paraId="1C9F0ACF" w14:textId="77777777" w:rsidR="008A7FE5" w:rsidRDefault="008A7FE5">
          <w:pPr>
            <w:pStyle w:val="Encabezado"/>
            <w:ind w:right="-115"/>
            <w:jc w:val="right"/>
          </w:pPr>
        </w:p>
      </w:tc>
    </w:tr>
  </w:tbl>
  <w:p w14:paraId="53B2CCD3" w14:textId="77777777" w:rsidR="008A7FE5" w:rsidRDefault="008A7FE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8A7FE5" w14:paraId="725BA59B" w14:textId="77777777">
      <w:trPr>
        <w:trHeight w:val="300"/>
      </w:trPr>
      <w:tc>
        <w:tcPr>
          <w:tcW w:w="3120" w:type="dxa"/>
        </w:tcPr>
        <w:p w14:paraId="524ADD32" w14:textId="77777777" w:rsidR="008A7FE5" w:rsidRDefault="008A7FE5">
          <w:pPr>
            <w:pStyle w:val="Encabezado"/>
            <w:ind w:left="-115"/>
          </w:pPr>
        </w:p>
      </w:tc>
      <w:tc>
        <w:tcPr>
          <w:tcW w:w="3120" w:type="dxa"/>
        </w:tcPr>
        <w:p w14:paraId="1D14BB15" w14:textId="77777777" w:rsidR="008A7FE5" w:rsidRDefault="008A7FE5">
          <w:pPr>
            <w:pStyle w:val="Encabezado"/>
            <w:jc w:val="center"/>
          </w:pPr>
        </w:p>
      </w:tc>
      <w:tc>
        <w:tcPr>
          <w:tcW w:w="3120" w:type="dxa"/>
        </w:tcPr>
        <w:p w14:paraId="3F59C808" w14:textId="77777777" w:rsidR="008A7FE5" w:rsidRDefault="008A7FE5">
          <w:pPr>
            <w:pStyle w:val="Encabezado"/>
            <w:ind w:right="-115"/>
            <w:jc w:val="right"/>
          </w:pPr>
        </w:p>
      </w:tc>
    </w:tr>
  </w:tbl>
  <w:p w14:paraId="40ED2F2F" w14:textId="77777777" w:rsidR="008A7FE5" w:rsidRDefault="008A7FE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E9BA6" w14:textId="77777777" w:rsidR="00B27B06" w:rsidRDefault="00B27B06">
      <w:r>
        <w:separator/>
      </w:r>
    </w:p>
  </w:footnote>
  <w:footnote w:type="continuationSeparator" w:id="0">
    <w:p w14:paraId="72B4841B" w14:textId="77777777" w:rsidR="00B27B06" w:rsidRDefault="00B27B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F71C2" w14:textId="77777777" w:rsidR="008A7FE5" w:rsidRPr="00256B74" w:rsidRDefault="008A7FE5">
    <w:pPr>
      <w:pStyle w:val="Encabezado"/>
      <w:framePr w:wrap="auto" w:vAnchor="text" w:hAnchor="margin" w:xAlign="center" w:y="1"/>
      <w:rPr>
        <w:rStyle w:val="Nmerodepgina"/>
        <w:rFonts w:ascii="CG Times (W1)" w:hAnsi="CG Times (W1)"/>
      </w:rPr>
    </w:pPr>
    <w:r w:rsidRPr="00256B74">
      <w:rPr>
        <w:rStyle w:val="Nmerodepgina"/>
        <w:rFonts w:ascii="CG Times (W1)" w:hAnsi="CG Times (W1)"/>
      </w:rPr>
      <w:fldChar w:fldCharType="begin"/>
    </w:r>
    <w:r w:rsidRPr="00256B74">
      <w:rPr>
        <w:rStyle w:val="Nmerodepgina"/>
        <w:rFonts w:ascii="CG Times (W1)" w:hAnsi="CG Times (W1)"/>
      </w:rPr>
      <w:instrText xml:space="preserve">PAGE  </w:instrText>
    </w:r>
    <w:r w:rsidRPr="00256B74">
      <w:rPr>
        <w:rStyle w:val="Nmerodepgina"/>
        <w:rFonts w:ascii="CG Times (W1)" w:hAnsi="CG Times (W1)"/>
      </w:rPr>
      <w:fldChar w:fldCharType="separate"/>
    </w:r>
    <w:r w:rsidRPr="00256B74">
      <w:rPr>
        <w:rStyle w:val="Nmerodepgina"/>
        <w:rFonts w:ascii="CG Times (W1)" w:hAnsi="CG Times (W1)"/>
      </w:rPr>
      <w:t>2</w:t>
    </w:r>
    <w:r w:rsidRPr="00256B74">
      <w:rPr>
        <w:rStyle w:val="Nmerodepgina"/>
        <w:rFonts w:ascii="CG Times (W1)" w:hAnsi="CG Times (W1)"/>
      </w:rPr>
      <w:fldChar w:fldCharType="end"/>
    </w:r>
  </w:p>
  <w:p w14:paraId="498C0574" w14:textId="77777777" w:rsidR="008A7FE5" w:rsidRPr="00256B74" w:rsidRDefault="008A7FE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9A0F2" w14:textId="77777777" w:rsidR="008A7FE5" w:rsidRPr="00D032E7" w:rsidRDefault="008A7FE5">
    <w:pPr>
      <w:pStyle w:val="Encabezado"/>
      <w:jc w:val="center"/>
      <w:rPr>
        <w:rFonts w:ascii="Book Antiqua" w:hAnsi="Book Antiqua"/>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31558" w14:textId="77777777" w:rsidR="008A7FE5" w:rsidRPr="00256B74" w:rsidRDefault="008A7FE5">
    <w:pPr>
      <w:pStyle w:val="Encabezado"/>
      <w:framePr w:wrap="around" w:vAnchor="text" w:hAnchor="margin" w:xAlign="center" w:y="1"/>
      <w:rPr>
        <w:rStyle w:val="Nmerodepgina"/>
      </w:rPr>
    </w:pPr>
    <w:r w:rsidRPr="00256B74">
      <w:rPr>
        <w:rStyle w:val="Nmerodepgina"/>
      </w:rPr>
      <w:fldChar w:fldCharType="begin"/>
    </w:r>
    <w:r w:rsidRPr="00256B74">
      <w:rPr>
        <w:rStyle w:val="Nmerodepgina"/>
      </w:rPr>
      <w:instrText xml:space="preserve">PAGE  </w:instrText>
    </w:r>
    <w:r w:rsidRPr="00256B74">
      <w:rPr>
        <w:rStyle w:val="Nmerodepgina"/>
      </w:rPr>
      <w:fldChar w:fldCharType="separate"/>
    </w:r>
    <w:r w:rsidRPr="00256B74">
      <w:rPr>
        <w:rStyle w:val="Nmerodepgina"/>
      </w:rPr>
      <w:t>1</w:t>
    </w:r>
    <w:r w:rsidRPr="00256B74">
      <w:rPr>
        <w:rStyle w:val="Nmerodepgina"/>
      </w:rPr>
      <w:fldChar w:fldCharType="end"/>
    </w:r>
  </w:p>
  <w:p w14:paraId="4686B4C6" w14:textId="77777777" w:rsidR="008A7FE5" w:rsidRPr="00256B74" w:rsidRDefault="008A7FE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17FDB" w14:textId="77777777" w:rsidR="008A7FE5" w:rsidRPr="00256B74" w:rsidRDefault="008A7FE5">
    <w:pPr>
      <w:pStyle w:val="Encabezado"/>
      <w:framePr w:wrap="around" w:vAnchor="text" w:hAnchor="margin" w:xAlign="center" w:y="1"/>
      <w:rPr>
        <w:rStyle w:val="Nmerodepgina"/>
      </w:rPr>
    </w:pPr>
    <w:r w:rsidRPr="00256B74">
      <w:rPr>
        <w:rStyle w:val="Nmerodepgina"/>
      </w:rPr>
      <w:fldChar w:fldCharType="begin"/>
    </w:r>
    <w:r w:rsidRPr="00256B74">
      <w:rPr>
        <w:rStyle w:val="Nmerodepgina"/>
      </w:rPr>
      <w:instrText xml:space="preserve">PAGE  </w:instrText>
    </w:r>
    <w:r w:rsidRPr="00256B74">
      <w:rPr>
        <w:rStyle w:val="Nmerodepgina"/>
      </w:rPr>
      <w:fldChar w:fldCharType="separate"/>
    </w:r>
    <w:r w:rsidRPr="00256B74">
      <w:rPr>
        <w:rStyle w:val="Nmerodepgina"/>
      </w:rPr>
      <w:t>10</w:t>
    </w:r>
    <w:r w:rsidRPr="00256B74">
      <w:rPr>
        <w:rStyle w:val="Nmerodepgina"/>
      </w:rPr>
      <w:fldChar w:fldCharType="end"/>
    </w:r>
  </w:p>
  <w:p w14:paraId="1F82F49D" w14:textId="77777777" w:rsidR="008A7FE5" w:rsidRPr="00256B74" w:rsidRDefault="008A7FE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369AC"/>
    <w:multiLevelType w:val="hybridMultilevel"/>
    <w:tmpl w:val="45C28510"/>
    <w:lvl w:ilvl="0" w:tplc="A17C9A7A">
      <w:start w:val="1"/>
      <w:numFmt w:val="decimal"/>
      <w:lvlText w:val="(%1)"/>
      <w:lvlJc w:val="left"/>
      <w:pPr>
        <w:ind w:left="2160" w:hanging="360"/>
      </w:pPr>
      <w:rPr>
        <w:rFonts w:hint="default"/>
      </w:rPr>
    </w:lvl>
    <w:lvl w:ilvl="1" w:tplc="1A18809C">
      <w:start w:val="1"/>
      <w:numFmt w:val="lowerLetter"/>
      <w:lvlText w:val="(%2)"/>
      <w:lvlJc w:val="left"/>
      <w:pPr>
        <w:ind w:left="2880" w:hanging="360"/>
      </w:pPr>
      <w:rPr>
        <w:rFonts w:hint="default"/>
        <w:i/>
      </w:r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08611651"/>
    <w:multiLevelType w:val="hybridMultilevel"/>
    <w:tmpl w:val="BE64AF02"/>
    <w:lvl w:ilvl="0" w:tplc="3DA0832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8D2B75"/>
    <w:multiLevelType w:val="hybridMultilevel"/>
    <w:tmpl w:val="D87A5F9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421721"/>
    <w:multiLevelType w:val="hybridMultilevel"/>
    <w:tmpl w:val="BBF66614"/>
    <w:lvl w:ilvl="0" w:tplc="3DA0832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026A80"/>
    <w:multiLevelType w:val="multilevel"/>
    <w:tmpl w:val="1BB8C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1305A8"/>
    <w:multiLevelType w:val="hybridMultilevel"/>
    <w:tmpl w:val="752C9054"/>
    <w:lvl w:ilvl="0" w:tplc="3DA08326">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C1E2E1F"/>
    <w:multiLevelType w:val="hybridMultilevel"/>
    <w:tmpl w:val="85988904"/>
    <w:lvl w:ilvl="0" w:tplc="FFFFFFFF">
      <w:start w:val="1"/>
      <w:numFmt w:val="lowerLetter"/>
      <w:lvlText w:val="(%1)"/>
      <w:lvlJc w:val="left"/>
      <w:pPr>
        <w:ind w:left="720" w:hanging="360"/>
      </w:pPr>
      <w:rPr>
        <w:rFonts w:hint="default"/>
      </w:rPr>
    </w:lvl>
    <w:lvl w:ilvl="1" w:tplc="FFFFFFFF">
      <w:start w:val="1"/>
      <w:numFmt w:val="decimal"/>
      <w:lvlText w:val="%2."/>
      <w:lvlJc w:val="left"/>
      <w:pPr>
        <w:ind w:left="108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E745E29"/>
    <w:multiLevelType w:val="hybridMultilevel"/>
    <w:tmpl w:val="5096F952"/>
    <w:lvl w:ilvl="0" w:tplc="3DA08326">
      <w:start w:val="1"/>
      <w:numFmt w:val="lowerLetter"/>
      <w:lvlText w:val="(%1)"/>
      <w:lvlJc w:val="left"/>
      <w:pPr>
        <w:ind w:left="360" w:hanging="360"/>
      </w:pPr>
      <w:rPr>
        <w:rFonts w:hint="default"/>
      </w:rPr>
    </w:lvl>
    <w:lvl w:ilvl="1" w:tplc="3DA08326">
      <w:start w:val="1"/>
      <w:numFmt w:val="low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F8F4BCB"/>
    <w:multiLevelType w:val="hybridMultilevel"/>
    <w:tmpl w:val="85988904"/>
    <w:lvl w:ilvl="0" w:tplc="3DA08326">
      <w:start w:val="1"/>
      <w:numFmt w:val="lowerLetter"/>
      <w:lvlText w:val="(%1)"/>
      <w:lvlJc w:val="left"/>
      <w:pPr>
        <w:ind w:left="1440" w:hanging="360"/>
      </w:pPr>
      <w:rPr>
        <w:rFonts w:hint="default"/>
      </w:rPr>
    </w:lvl>
    <w:lvl w:ilvl="1" w:tplc="0409000F">
      <w:start w:val="1"/>
      <w:numFmt w:val="decimal"/>
      <w:lvlText w:val="%2."/>
      <w:lvlJc w:val="left"/>
      <w:pPr>
        <w:ind w:left="180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3DF3FEB"/>
    <w:multiLevelType w:val="multilevel"/>
    <w:tmpl w:val="D55EE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F5473B"/>
    <w:multiLevelType w:val="hybridMultilevel"/>
    <w:tmpl w:val="0EE0017E"/>
    <w:lvl w:ilvl="0" w:tplc="9DF68DA2">
      <w:start w:val="1"/>
      <w:numFmt w:val="decimal"/>
      <w:lvlText w:val="%1."/>
      <w:lvlJc w:val="left"/>
      <w:pPr>
        <w:ind w:left="720" w:hanging="360"/>
      </w:pPr>
      <w:rPr>
        <w:rFonts w:hint="default"/>
        <w:lang w:val="es-E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394BF0"/>
    <w:multiLevelType w:val="hybridMultilevel"/>
    <w:tmpl w:val="E4902C42"/>
    <w:lvl w:ilvl="0" w:tplc="A17C9A7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841525C"/>
    <w:multiLevelType w:val="hybridMultilevel"/>
    <w:tmpl w:val="CCD2103E"/>
    <w:lvl w:ilvl="0" w:tplc="A17C9A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9A0D2E"/>
    <w:multiLevelType w:val="multilevel"/>
    <w:tmpl w:val="C4AA5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72074F"/>
    <w:multiLevelType w:val="multilevel"/>
    <w:tmpl w:val="E0B8B158"/>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29013D"/>
    <w:multiLevelType w:val="hybridMultilevel"/>
    <w:tmpl w:val="503C71B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45464544"/>
    <w:multiLevelType w:val="hybridMultilevel"/>
    <w:tmpl w:val="87FE7A28"/>
    <w:lvl w:ilvl="0" w:tplc="500A0017">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4DB13F99"/>
    <w:multiLevelType w:val="hybridMultilevel"/>
    <w:tmpl w:val="4FC6E142"/>
    <w:lvl w:ilvl="0" w:tplc="500A0017">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8" w15:restartNumberingAfterBreak="0">
    <w:nsid w:val="4F082E5C"/>
    <w:multiLevelType w:val="multilevel"/>
    <w:tmpl w:val="8E7EF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18161F"/>
    <w:multiLevelType w:val="hybridMultilevel"/>
    <w:tmpl w:val="A1E448B6"/>
    <w:lvl w:ilvl="0" w:tplc="650CEE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EFB13D4"/>
    <w:multiLevelType w:val="multilevel"/>
    <w:tmpl w:val="DF0EB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A12295"/>
    <w:multiLevelType w:val="hybridMultilevel"/>
    <w:tmpl w:val="EC5A011E"/>
    <w:lvl w:ilvl="0" w:tplc="01F20DC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8F2325A"/>
    <w:multiLevelType w:val="multilevel"/>
    <w:tmpl w:val="B0924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FA1083"/>
    <w:multiLevelType w:val="hybridMultilevel"/>
    <w:tmpl w:val="564AC008"/>
    <w:lvl w:ilvl="0" w:tplc="A17C9A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2722848">
    <w:abstractNumId w:val="17"/>
  </w:num>
  <w:num w:numId="2" w16cid:durableId="1181317790">
    <w:abstractNumId w:val="16"/>
  </w:num>
  <w:num w:numId="3" w16cid:durableId="79568611">
    <w:abstractNumId w:val="19"/>
  </w:num>
  <w:num w:numId="4" w16cid:durableId="1275942687">
    <w:abstractNumId w:val="21"/>
  </w:num>
  <w:num w:numId="5" w16cid:durableId="1685092760">
    <w:abstractNumId w:val="10"/>
  </w:num>
  <w:num w:numId="6" w16cid:durableId="817846109">
    <w:abstractNumId w:val="14"/>
  </w:num>
  <w:num w:numId="7" w16cid:durableId="1502281956">
    <w:abstractNumId w:val="13"/>
  </w:num>
  <w:num w:numId="8" w16cid:durableId="989486049">
    <w:abstractNumId w:val="3"/>
  </w:num>
  <w:num w:numId="9" w16cid:durableId="1274167554">
    <w:abstractNumId w:val="5"/>
  </w:num>
  <w:num w:numId="10" w16cid:durableId="1261375255">
    <w:abstractNumId w:val="1"/>
  </w:num>
  <w:num w:numId="11" w16cid:durableId="1409885384">
    <w:abstractNumId w:val="15"/>
  </w:num>
  <w:num w:numId="12" w16cid:durableId="689070197">
    <w:abstractNumId w:val="8"/>
  </w:num>
  <w:num w:numId="13" w16cid:durableId="1665359696">
    <w:abstractNumId w:val="0"/>
  </w:num>
  <w:num w:numId="14" w16cid:durableId="529270253">
    <w:abstractNumId w:val="6"/>
  </w:num>
  <w:num w:numId="15" w16cid:durableId="1045183519">
    <w:abstractNumId w:val="11"/>
  </w:num>
  <w:num w:numId="16" w16cid:durableId="650250264">
    <w:abstractNumId w:val="7"/>
  </w:num>
  <w:num w:numId="17" w16cid:durableId="925186154">
    <w:abstractNumId w:val="23"/>
  </w:num>
  <w:num w:numId="18" w16cid:durableId="1579293565">
    <w:abstractNumId w:val="12"/>
  </w:num>
  <w:num w:numId="19" w16cid:durableId="938106197">
    <w:abstractNumId w:val="9"/>
  </w:num>
  <w:num w:numId="20" w16cid:durableId="982974691">
    <w:abstractNumId w:val="20"/>
  </w:num>
  <w:num w:numId="21" w16cid:durableId="1441994246">
    <w:abstractNumId w:val="4"/>
  </w:num>
  <w:num w:numId="22" w16cid:durableId="2132434759">
    <w:abstractNumId w:val="22"/>
  </w:num>
  <w:num w:numId="23" w16cid:durableId="1203860850">
    <w:abstractNumId w:val="18"/>
  </w:num>
  <w:num w:numId="24" w16cid:durableId="8593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FE5"/>
    <w:rsid w:val="000072B6"/>
    <w:rsid w:val="00016855"/>
    <w:rsid w:val="000207D7"/>
    <w:rsid w:val="00025A8F"/>
    <w:rsid w:val="00025F82"/>
    <w:rsid w:val="00027438"/>
    <w:rsid w:val="00031B96"/>
    <w:rsid w:val="0003342F"/>
    <w:rsid w:val="00033B7B"/>
    <w:rsid w:val="00046DD4"/>
    <w:rsid w:val="0004754C"/>
    <w:rsid w:val="00050E3E"/>
    <w:rsid w:val="00054B30"/>
    <w:rsid w:val="000567DB"/>
    <w:rsid w:val="00080FF8"/>
    <w:rsid w:val="000866C4"/>
    <w:rsid w:val="000909BE"/>
    <w:rsid w:val="0009113C"/>
    <w:rsid w:val="0009204A"/>
    <w:rsid w:val="0009719B"/>
    <w:rsid w:val="000A7D77"/>
    <w:rsid w:val="000B27CC"/>
    <w:rsid w:val="000C0461"/>
    <w:rsid w:val="000C077E"/>
    <w:rsid w:val="000C2A3A"/>
    <w:rsid w:val="000C3E3D"/>
    <w:rsid w:val="000D73D3"/>
    <w:rsid w:val="000E0098"/>
    <w:rsid w:val="000E0FE3"/>
    <w:rsid w:val="000E639E"/>
    <w:rsid w:val="000F7472"/>
    <w:rsid w:val="00101E8B"/>
    <w:rsid w:val="00102D18"/>
    <w:rsid w:val="001057F4"/>
    <w:rsid w:val="00111AE1"/>
    <w:rsid w:val="00113836"/>
    <w:rsid w:val="00113EA9"/>
    <w:rsid w:val="00115C03"/>
    <w:rsid w:val="001234BE"/>
    <w:rsid w:val="0013020D"/>
    <w:rsid w:val="001324B4"/>
    <w:rsid w:val="0014649B"/>
    <w:rsid w:val="001534A1"/>
    <w:rsid w:val="00154C3A"/>
    <w:rsid w:val="00162CC6"/>
    <w:rsid w:val="00167376"/>
    <w:rsid w:val="00173ED7"/>
    <w:rsid w:val="0017460A"/>
    <w:rsid w:val="001800DB"/>
    <w:rsid w:val="00181A87"/>
    <w:rsid w:val="001846C7"/>
    <w:rsid w:val="00184A3E"/>
    <w:rsid w:val="0019118D"/>
    <w:rsid w:val="00196B88"/>
    <w:rsid w:val="00197311"/>
    <w:rsid w:val="001A1D9A"/>
    <w:rsid w:val="001A2681"/>
    <w:rsid w:val="001A4109"/>
    <w:rsid w:val="001A704E"/>
    <w:rsid w:val="001B0774"/>
    <w:rsid w:val="001B78F9"/>
    <w:rsid w:val="001C1F65"/>
    <w:rsid w:val="001C7CDA"/>
    <w:rsid w:val="001E3FA0"/>
    <w:rsid w:val="001E4545"/>
    <w:rsid w:val="001E6666"/>
    <w:rsid w:val="001F6820"/>
    <w:rsid w:val="00214A42"/>
    <w:rsid w:val="0021523F"/>
    <w:rsid w:val="00216E12"/>
    <w:rsid w:val="00221703"/>
    <w:rsid w:val="0022272C"/>
    <w:rsid w:val="00227F57"/>
    <w:rsid w:val="00231EDC"/>
    <w:rsid w:val="0023690A"/>
    <w:rsid w:val="0024122F"/>
    <w:rsid w:val="002423A7"/>
    <w:rsid w:val="0024638F"/>
    <w:rsid w:val="00255CFE"/>
    <w:rsid w:val="002676A5"/>
    <w:rsid w:val="00270113"/>
    <w:rsid w:val="00274DEC"/>
    <w:rsid w:val="0027713A"/>
    <w:rsid w:val="0028466E"/>
    <w:rsid w:val="002925A1"/>
    <w:rsid w:val="002A213B"/>
    <w:rsid w:val="002A574F"/>
    <w:rsid w:val="002B6366"/>
    <w:rsid w:val="002C17A9"/>
    <w:rsid w:val="002C5D97"/>
    <w:rsid w:val="002C7972"/>
    <w:rsid w:val="002D2820"/>
    <w:rsid w:val="002D7F6F"/>
    <w:rsid w:val="002F036C"/>
    <w:rsid w:val="002F137B"/>
    <w:rsid w:val="002F15DA"/>
    <w:rsid w:val="002F41E9"/>
    <w:rsid w:val="002F4A34"/>
    <w:rsid w:val="002F7249"/>
    <w:rsid w:val="003109DD"/>
    <w:rsid w:val="0031266C"/>
    <w:rsid w:val="00314741"/>
    <w:rsid w:val="00323C0E"/>
    <w:rsid w:val="003300D4"/>
    <w:rsid w:val="003336F9"/>
    <w:rsid w:val="00343C8A"/>
    <w:rsid w:val="003449C9"/>
    <w:rsid w:val="00350575"/>
    <w:rsid w:val="003539F8"/>
    <w:rsid w:val="00355649"/>
    <w:rsid w:val="00356970"/>
    <w:rsid w:val="003618A6"/>
    <w:rsid w:val="003641FD"/>
    <w:rsid w:val="00375339"/>
    <w:rsid w:val="003776F3"/>
    <w:rsid w:val="00385184"/>
    <w:rsid w:val="0039258F"/>
    <w:rsid w:val="003950C7"/>
    <w:rsid w:val="003955E0"/>
    <w:rsid w:val="003A38C2"/>
    <w:rsid w:val="003A55C4"/>
    <w:rsid w:val="003A66B4"/>
    <w:rsid w:val="003A6B92"/>
    <w:rsid w:val="003A7C89"/>
    <w:rsid w:val="003B2879"/>
    <w:rsid w:val="003B3677"/>
    <w:rsid w:val="003B5B04"/>
    <w:rsid w:val="003C2699"/>
    <w:rsid w:val="003C7E6E"/>
    <w:rsid w:val="003D03F2"/>
    <w:rsid w:val="003D151B"/>
    <w:rsid w:val="003D29A6"/>
    <w:rsid w:val="003D522F"/>
    <w:rsid w:val="003D7B4E"/>
    <w:rsid w:val="003E5F40"/>
    <w:rsid w:val="003E68BB"/>
    <w:rsid w:val="003E6ABA"/>
    <w:rsid w:val="003F63D2"/>
    <w:rsid w:val="003F7FAC"/>
    <w:rsid w:val="00402B46"/>
    <w:rsid w:val="00407083"/>
    <w:rsid w:val="00416485"/>
    <w:rsid w:val="00423BD2"/>
    <w:rsid w:val="00424C62"/>
    <w:rsid w:val="00433C05"/>
    <w:rsid w:val="0043477D"/>
    <w:rsid w:val="0043583B"/>
    <w:rsid w:val="004421FB"/>
    <w:rsid w:val="00445EBB"/>
    <w:rsid w:val="0044691D"/>
    <w:rsid w:val="004479EC"/>
    <w:rsid w:val="00461443"/>
    <w:rsid w:val="00470038"/>
    <w:rsid w:val="00473099"/>
    <w:rsid w:val="00473C9D"/>
    <w:rsid w:val="00480C56"/>
    <w:rsid w:val="0048471E"/>
    <w:rsid w:val="00485E4E"/>
    <w:rsid w:val="0049554C"/>
    <w:rsid w:val="004955F2"/>
    <w:rsid w:val="00495E2A"/>
    <w:rsid w:val="004A12A2"/>
    <w:rsid w:val="004B040A"/>
    <w:rsid w:val="004C1F91"/>
    <w:rsid w:val="004C4BE6"/>
    <w:rsid w:val="004D54E0"/>
    <w:rsid w:val="004E3911"/>
    <w:rsid w:val="004F1618"/>
    <w:rsid w:val="005000FC"/>
    <w:rsid w:val="00503FD8"/>
    <w:rsid w:val="005040AD"/>
    <w:rsid w:val="00506DAB"/>
    <w:rsid w:val="005079A8"/>
    <w:rsid w:val="0051599F"/>
    <w:rsid w:val="00522FDC"/>
    <w:rsid w:val="00523E39"/>
    <w:rsid w:val="00527036"/>
    <w:rsid w:val="00531111"/>
    <w:rsid w:val="00552451"/>
    <w:rsid w:val="00557BC4"/>
    <w:rsid w:val="00557D61"/>
    <w:rsid w:val="00560ACD"/>
    <w:rsid w:val="005610BF"/>
    <w:rsid w:val="00566306"/>
    <w:rsid w:val="00577080"/>
    <w:rsid w:val="00586EDF"/>
    <w:rsid w:val="00594A25"/>
    <w:rsid w:val="00594DC5"/>
    <w:rsid w:val="0059790B"/>
    <w:rsid w:val="005A5E73"/>
    <w:rsid w:val="005B1A5B"/>
    <w:rsid w:val="005B42D6"/>
    <w:rsid w:val="005C01CD"/>
    <w:rsid w:val="005C3FC7"/>
    <w:rsid w:val="005C4BB4"/>
    <w:rsid w:val="005C5C2C"/>
    <w:rsid w:val="005D5EB5"/>
    <w:rsid w:val="005E1C93"/>
    <w:rsid w:val="005F5B05"/>
    <w:rsid w:val="006022ED"/>
    <w:rsid w:val="00616668"/>
    <w:rsid w:val="00624003"/>
    <w:rsid w:val="00632A0F"/>
    <w:rsid w:val="00634A0D"/>
    <w:rsid w:val="006408CB"/>
    <w:rsid w:val="00641C79"/>
    <w:rsid w:val="006439FA"/>
    <w:rsid w:val="0065639E"/>
    <w:rsid w:val="00656B39"/>
    <w:rsid w:val="00662A6A"/>
    <w:rsid w:val="00662F98"/>
    <w:rsid w:val="006A4563"/>
    <w:rsid w:val="006B4D9B"/>
    <w:rsid w:val="006B53FE"/>
    <w:rsid w:val="006C0D73"/>
    <w:rsid w:val="006C3518"/>
    <w:rsid w:val="006C656C"/>
    <w:rsid w:val="006D3E84"/>
    <w:rsid w:val="006D6F0A"/>
    <w:rsid w:val="006E119E"/>
    <w:rsid w:val="006F1C86"/>
    <w:rsid w:val="006F477B"/>
    <w:rsid w:val="006F5EAA"/>
    <w:rsid w:val="0070483F"/>
    <w:rsid w:val="00706384"/>
    <w:rsid w:val="00710B13"/>
    <w:rsid w:val="007227BD"/>
    <w:rsid w:val="00725800"/>
    <w:rsid w:val="00731B63"/>
    <w:rsid w:val="00734E51"/>
    <w:rsid w:val="00741C33"/>
    <w:rsid w:val="007426D5"/>
    <w:rsid w:val="00750384"/>
    <w:rsid w:val="007513BA"/>
    <w:rsid w:val="007522D8"/>
    <w:rsid w:val="00763910"/>
    <w:rsid w:val="0076512E"/>
    <w:rsid w:val="00765F6D"/>
    <w:rsid w:val="00780C7D"/>
    <w:rsid w:val="00780DB9"/>
    <w:rsid w:val="00792517"/>
    <w:rsid w:val="00796209"/>
    <w:rsid w:val="00796FC0"/>
    <w:rsid w:val="007B0700"/>
    <w:rsid w:val="007C0AC1"/>
    <w:rsid w:val="007C30EE"/>
    <w:rsid w:val="007C35CA"/>
    <w:rsid w:val="007D1C57"/>
    <w:rsid w:val="007D7365"/>
    <w:rsid w:val="007E4984"/>
    <w:rsid w:val="007E51B6"/>
    <w:rsid w:val="007E65A0"/>
    <w:rsid w:val="007E7990"/>
    <w:rsid w:val="007F04B4"/>
    <w:rsid w:val="007F244C"/>
    <w:rsid w:val="007F42DE"/>
    <w:rsid w:val="007F6492"/>
    <w:rsid w:val="00800F73"/>
    <w:rsid w:val="0080305C"/>
    <w:rsid w:val="00816B6A"/>
    <w:rsid w:val="00822213"/>
    <w:rsid w:val="008369D6"/>
    <w:rsid w:val="00840B55"/>
    <w:rsid w:val="00841A3D"/>
    <w:rsid w:val="00845371"/>
    <w:rsid w:val="00847326"/>
    <w:rsid w:val="0085235C"/>
    <w:rsid w:val="0085558C"/>
    <w:rsid w:val="0086270D"/>
    <w:rsid w:val="0086321D"/>
    <w:rsid w:val="00867DCC"/>
    <w:rsid w:val="008714D9"/>
    <w:rsid w:val="008903B4"/>
    <w:rsid w:val="00891521"/>
    <w:rsid w:val="0089286D"/>
    <w:rsid w:val="0089489F"/>
    <w:rsid w:val="00896052"/>
    <w:rsid w:val="008A6BA2"/>
    <w:rsid w:val="008A7FE5"/>
    <w:rsid w:val="008D12CB"/>
    <w:rsid w:val="008E1652"/>
    <w:rsid w:val="008E39A1"/>
    <w:rsid w:val="008E5A7F"/>
    <w:rsid w:val="008F342D"/>
    <w:rsid w:val="008F5612"/>
    <w:rsid w:val="009127A9"/>
    <w:rsid w:val="009158A9"/>
    <w:rsid w:val="0092062F"/>
    <w:rsid w:val="00920AF1"/>
    <w:rsid w:val="00921DCE"/>
    <w:rsid w:val="00925335"/>
    <w:rsid w:val="00926717"/>
    <w:rsid w:val="00937F92"/>
    <w:rsid w:val="00955ABF"/>
    <w:rsid w:val="00964E44"/>
    <w:rsid w:val="00966A55"/>
    <w:rsid w:val="009722F8"/>
    <w:rsid w:val="00980F2D"/>
    <w:rsid w:val="0098779B"/>
    <w:rsid w:val="00990751"/>
    <w:rsid w:val="00997107"/>
    <w:rsid w:val="009A7561"/>
    <w:rsid w:val="009B48B7"/>
    <w:rsid w:val="009B61A9"/>
    <w:rsid w:val="009B777E"/>
    <w:rsid w:val="009D221C"/>
    <w:rsid w:val="009E2D9C"/>
    <w:rsid w:val="009E39E6"/>
    <w:rsid w:val="009E42EA"/>
    <w:rsid w:val="009E4CD9"/>
    <w:rsid w:val="009F27D6"/>
    <w:rsid w:val="00A03F3B"/>
    <w:rsid w:val="00A04139"/>
    <w:rsid w:val="00A213D9"/>
    <w:rsid w:val="00A2356E"/>
    <w:rsid w:val="00A24CE3"/>
    <w:rsid w:val="00A263A9"/>
    <w:rsid w:val="00A27E3C"/>
    <w:rsid w:val="00A36027"/>
    <w:rsid w:val="00A40BBB"/>
    <w:rsid w:val="00A40D83"/>
    <w:rsid w:val="00A44AAB"/>
    <w:rsid w:val="00A44FFC"/>
    <w:rsid w:val="00A45107"/>
    <w:rsid w:val="00A4532F"/>
    <w:rsid w:val="00A51430"/>
    <w:rsid w:val="00A53387"/>
    <w:rsid w:val="00A56295"/>
    <w:rsid w:val="00A6251F"/>
    <w:rsid w:val="00A80337"/>
    <w:rsid w:val="00A83216"/>
    <w:rsid w:val="00A85CA4"/>
    <w:rsid w:val="00A912A2"/>
    <w:rsid w:val="00AA271B"/>
    <w:rsid w:val="00AA2B1E"/>
    <w:rsid w:val="00AA3897"/>
    <w:rsid w:val="00AA4276"/>
    <w:rsid w:val="00AA5A81"/>
    <w:rsid w:val="00AA6C3E"/>
    <w:rsid w:val="00AB0234"/>
    <w:rsid w:val="00AB06BF"/>
    <w:rsid w:val="00AB5763"/>
    <w:rsid w:val="00AC277F"/>
    <w:rsid w:val="00AC374D"/>
    <w:rsid w:val="00AC4C9A"/>
    <w:rsid w:val="00AC595A"/>
    <w:rsid w:val="00AD5475"/>
    <w:rsid w:val="00AE47FF"/>
    <w:rsid w:val="00AE78B0"/>
    <w:rsid w:val="00AF4FD4"/>
    <w:rsid w:val="00B033A9"/>
    <w:rsid w:val="00B07E62"/>
    <w:rsid w:val="00B22427"/>
    <w:rsid w:val="00B22B45"/>
    <w:rsid w:val="00B27B06"/>
    <w:rsid w:val="00B32B2E"/>
    <w:rsid w:val="00B50AA8"/>
    <w:rsid w:val="00B522DD"/>
    <w:rsid w:val="00B60E70"/>
    <w:rsid w:val="00B6124F"/>
    <w:rsid w:val="00B77718"/>
    <w:rsid w:val="00B82500"/>
    <w:rsid w:val="00B90393"/>
    <w:rsid w:val="00BA7892"/>
    <w:rsid w:val="00BB44F0"/>
    <w:rsid w:val="00BD150D"/>
    <w:rsid w:val="00BD21EE"/>
    <w:rsid w:val="00BD3116"/>
    <w:rsid w:val="00BD71DF"/>
    <w:rsid w:val="00BD75A8"/>
    <w:rsid w:val="00BE0E73"/>
    <w:rsid w:val="00BE675D"/>
    <w:rsid w:val="00BF09B3"/>
    <w:rsid w:val="00BF1A02"/>
    <w:rsid w:val="00C03E0E"/>
    <w:rsid w:val="00C0676F"/>
    <w:rsid w:val="00C14911"/>
    <w:rsid w:val="00C23DE1"/>
    <w:rsid w:val="00C262E1"/>
    <w:rsid w:val="00C315A1"/>
    <w:rsid w:val="00C3525D"/>
    <w:rsid w:val="00C36CEB"/>
    <w:rsid w:val="00C43F8D"/>
    <w:rsid w:val="00C56CFD"/>
    <w:rsid w:val="00C6159E"/>
    <w:rsid w:val="00C6220A"/>
    <w:rsid w:val="00C64969"/>
    <w:rsid w:val="00C66E63"/>
    <w:rsid w:val="00C67557"/>
    <w:rsid w:val="00C72C9A"/>
    <w:rsid w:val="00C73850"/>
    <w:rsid w:val="00C742A2"/>
    <w:rsid w:val="00C77A03"/>
    <w:rsid w:val="00C83C3B"/>
    <w:rsid w:val="00C84BC8"/>
    <w:rsid w:val="00C85594"/>
    <w:rsid w:val="00C90C6F"/>
    <w:rsid w:val="00C9504E"/>
    <w:rsid w:val="00CA1D07"/>
    <w:rsid w:val="00CA68F0"/>
    <w:rsid w:val="00CB0CEE"/>
    <w:rsid w:val="00CB30A9"/>
    <w:rsid w:val="00CB340B"/>
    <w:rsid w:val="00CB7D6B"/>
    <w:rsid w:val="00CC550B"/>
    <w:rsid w:val="00CD2E5F"/>
    <w:rsid w:val="00CF21CF"/>
    <w:rsid w:val="00D037F2"/>
    <w:rsid w:val="00D04E2E"/>
    <w:rsid w:val="00D0642C"/>
    <w:rsid w:val="00D13772"/>
    <w:rsid w:val="00D137D9"/>
    <w:rsid w:val="00D14367"/>
    <w:rsid w:val="00D15AE2"/>
    <w:rsid w:val="00D208FF"/>
    <w:rsid w:val="00D24EF1"/>
    <w:rsid w:val="00D316E6"/>
    <w:rsid w:val="00D3264E"/>
    <w:rsid w:val="00D35159"/>
    <w:rsid w:val="00D373E6"/>
    <w:rsid w:val="00D43B7D"/>
    <w:rsid w:val="00D47C6D"/>
    <w:rsid w:val="00D52080"/>
    <w:rsid w:val="00D62F39"/>
    <w:rsid w:val="00D64FB5"/>
    <w:rsid w:val="00D67550"/>
    <w:rsid w:val="00D7568D"/>
    <w:rsid w:val="00D80195"/>
    <w:rsid w:val="00D81766"/>
    <w:rsid w:val="00D82141"/>
    <w:rsid w:val="00D82D56"/>
    <w:rsid w:val="00D82F36"/>
    <w:rsid w:val="00D9105F"/>
    <w:rsid w:val="00D95A01"/>
    <w:rsid w:val="00D9654C"/>
    <w:rsid w:val="00DA0E58"/>
    <w:rsid w:val="00DB4406"/>
    <w:rsid w:val="00DC3D64"/>
    <w:rsid w:val="00DC74CA"/>
    <w:rsid w:val="00DC7C2E"/>
    <w:rsid w:val="00DD6FD6"/>
    <w:rsid w:val="00DE0A0F"/>
    <w:rsid w:val="00DE5DF6"/>
    <w:rsid w:val="00DE7037"/>
    <w:rsid w:val="00DF1E3A"/>
    <w:rsid w:val="00DF6F54"/>
    <w:rsid w:val="00E016FD"/>
    <w:rsid w:val="00E3178F"/>
    <w:rsid w:val="00E31892"/>
    <w:rsid w:val="00E332D5"/>
    <w:rsid w:val="00E3361F"/>
    <w:rsid w:val="00E42720"/>
    <w:rsid w:val="00E653C1"/>
    <w:rsid w:val="00E72278"/>
    <w:rsid w:val="00E74E66"/>
    <w:rsid w:val="00E75016"/>
    <w:rsid w:val="00E815D3"/>
    <w:rsid w:val="00E81EFE"/>
    <w:rsid w:val="00E82D9A"/>
    <w:rsid w:val="00E84766"/>
    <w:rsid w:val="00E87494"/>
    <w:rsid w:val="00EA20FA"/>
    <w:rsid w:val="00EA33CC"/>
    <w:rsid w:val="00EB51CC"/>
    <w:rsid w:val="00EC4C48"/>
    <w:rsid w:val="00EC68A4"/>
    <w:rsid w:val="00ED2EC1"/>
    <w:rsid w:val="00ED7613"/>
    <w:rsid w:val="00ED7813"/>
    <w:rsid w:val="00EE0C0C"/>
    <w:rsid w:val="00EE46A7"/>
    <w:rsid w:val="00EE4A15"/>
    <w:rsid w:val="00EE4FFB"/>
    <w:rsid w:val="00EE56CB"/>
    <w:rsid w:val="00EF5748"/>
    <w:rsid w:val="00EF6E98"/>
    <w:rsid w:val="00F009EE"/>
    <w:rsid w:val="00F00ECA"/>
    <w:rsid w:val="00F17AB9"/>
    <w:rsid w:val="00F25FE6"/>
    <w:rsid w:val="00F3056B"/>
    <w:rsid w:val="00F36827"/>
    <w:rsid w:val="00F42FDA"/>
    <w:rsid w:val="00F52A6B"/>
    <w:rsid w:val="00F53C47"/>
    <w:rsid w:val="00F57766"/>
    <w:rsid w:val="00F66F71"/>
    <w:rsid w:val="00F836F8"/>
    <w:rsid w:val="00F84EA7"/>
    <w:rsid w:val="00F91465"/>
    <w:rsid w:val="00F953CD"/>
    <w:rsid w:val="00FA14F1"/>
    <w:rsid w:val="00FA30BA"/>
    <w:rsid w:val="00FA30BC"/>
    <w:rsid w:val="00FA402B"/>
    <w:rsid w:val="00FA431A"/>
    <w:rsid w:val="00FB3321"/>
    <w:rsid w:val="00FB5F70"/>
    <w:rsid w:val="00FD3ACA"/>
    <w:rsid w:val="00FD3F49"/>
    <w:rsid w:val="00FD7B69"/>
    <w:rsid w:val="00FE149C"/>
    <w:rsid w:val="00FE3FBA"/>
    <w:rsid w:val="00FF546E"/>
    <w:rsid w:val="00FF74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65D2F"/>
  <w15:chartTrackingRefBased/>
  <w15:docId w15:val="{ED30689C-9E6F-4F8F-B9A8-997CF1480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FE5"/>
    <w:pPr>
      <w:spacing w:after="0" w:line="240" w:lineRule="auto"/>
    </w:pPr>
    <w:rPr>
      <w:rFonts w:ascii="Times New Roman" w:eastAsia="Calibri" w:hAnsi="Times New Roman" w:cs="Times New Roman"/>
      <w:kern w:val="0"/>
      <w:lang w:val="es-PR"/>
      <w14:ligatures w14:val="none"/>
    </w:rPr>
  </w:style>
  <w:style w:type="paragraph" w:styleId="Ttulo1">
    <w:name w:val="heading 1"/>
    <w:basedOn w:val="Normal"/>
    <w:next w:val="Normal"/>
    <w:link w:val="Ttulo1Car"/>
    <w:uiPriority w:val="9"/>
    <w:qFormat/>
    <w:rsid w:val="008A7FE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8A7FE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8A7FE5"/>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8A7FE5"/>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8A7FE5"/>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8A7FE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A7FE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A7FE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A7FE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A7FE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8A7FE5"/>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8A7FE5"/>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8A7FE5"/>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8A7FE5"/>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8A7FE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A7FE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A7FE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A7FE5"/>
    <w:rPr>
      <w:rFonts w:eastAsiaTheme="majorEastAsia" w:cstheme="majorBidi"/>
      <w:color w:val="272727" w:themeColor="text1" w:themeTint="D8"/>
    </w:rPr>
  </w:style>
  <w:style w:type="paragraph" w:styleId="Ttulo">
    <w:name w:val="Title"/>
    <w:basedOn w:val="Normal"/>
    <w:next w:val="Normal"/>
    <w:link w:val="TtuloCar"/>
    <w:uiPriority w:val="10"/>
    <w:qFormat/>
    <w:rsid w:val="008A7FE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A7FE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A7FE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A7FE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A7FE5"/>
    <w:pPr>
      <w:spacing w:before="160"/>
      <w:jc w:val="center"/>
    </w:pPr>
    <w:rPr>
      <w:i/>
      <w:iCs/>
      <w:color w:val="404040" w:themeColor="text1" w:themeTint="BF"/>
    </w:rPr>
  </w:style>
  <w:style w:type="character" w:customStyle="1" w:styleId="CitaCar">
    <w:name w:val="Cita Car"/>
    <w:basedOn w:val="Fuentedeprrafopredeter"/>
    <w:link w:val="Cita"/>
    <w:uiPriority w:val="29"/>
    <w:rsid w:val="008A7FE5"/>
    <w:rPr>
      <w:i/>
      <w:iCs/>
      <w:color w:val="404040" w:themeColor="text1" w:themeTint="BF"/>
    </w:rPr>
  </w:style>
  <w:style w:type="paragraph" w:styleId="Prrafodelista">
    <w:name w:val="List Paragraph"/>
    <w:basedOn w:val="Normal"/>
    <w:uiPriority w:val="34"/>
    <w:qFormat/>
    <w:rsid w:val="008A7FE5"/>
    <w:pPr>
      <w:ind w:left="720"/>
      <w:contextualSpacing/>
    </w:pPr>
  </w:style>
  <w:style w:type="character" w:styleId="nfasisintenso">
    <w:name w:val="Intense Emphasis"/>
    <w:basedOn w:val="Fuentedeprrafopredeter"/>
    <w:uiPriority w:val="21"/>
    <w:qFormat/>
    <w:rsid w:val="008A7FE5"/>
    <w:rPr>
      <w:i/>
      <w:iCs/>
      <w:color w:val="2E74B5" w:themeColor="accent1" w:themeShade="BF"/>
    </w:rPr>
  </w:style>
  <w:style w:type="paragraph" w:styleId="Citadestacada">
    <w:name w:val="Intense Quote"/>
    <w:basedOn w:val="Normal"/>
    <w:next w:val="Normal"/>
    <w:link w:val="CitadestacadaCar"/>
    <w:uiPriority w:val="30"/>
    <w:qFormat/>
    <w:rsid w:val="008A7FE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8A7FE5"/>
    <w:rPr>
      <w:i/>
      <w:iCs/>
      <w:color w:val="2E74B5" w:themeColor="accent1" w:themeShade="BF"/>
    </w:rPr>
  </w:style>
  <w:style w:type="character" w:styleId="Referenciaintensa">
    <w:name w:val="Intense Reference"/>
    <w:basedOn w:val="Fuentedeprrafopredeter"/>
    <w:uiPriority w:val="32"/>
    <w:qFormat/>
    <w:rsid w:val="008A7FE5"/>
    <w:rPr>
      <w:b/>
      <w:bCs/>
      <w:smallCaps/>
      <w:color w:val="2E74B5" w:themeColor="accent1" w:themeShade="BF"/>
      <w:spacing w:val="5"/>
    </w:rPr>
  </w:style>
  <w:style w:type="paragraph" w:styleId="Encabezado">
    <w:name w:val="header"/>
    <w:basedOn w:val="Normal"/>
    <w:link w:val="EncabezadoCar"/>
    <w:uiPriority w:val="99"/>
    <w:unhideWhenUsed/>
    <w:rsid w:val="008A7FE5"/>
    <w:pPr>
      <w:tabs>
        <w:tab w:val="center" w:pos="4680"/>
        <w:tab w:val="right" w:pos="9360"/>
      </w:tabs>
    </w:pPr>
  </w:style>
  <w:style w:type="character" w:customStyle="1" w:styleId="EncabezadoCar">
    <w:name w:val="Encabezado Car"/>
    <w:basedOn w:val="Fuentedeprrafopredeter"/>
    <w:link w:val="Encabezado"/>
    <w:uiPriority w:val="99"/>
    <w:rsid w:val="008A7FE5"/>
    <w:rPr>
      <w:rFonts w:ascii="Times New Roman" w:eastAsia="Calibri" w:hAnsi="Times New Roman" w:cs="Times New Roman"/>
      <w:kern w:val="0"/>
      <w:lang w:val="es-PR"/>
      <w14:ligatures w14:val="none"/>
    </w:rPr>
  </w:style>
  <w:style w:type="character" w:styleId="Nmerodepgina">
    <w:name w:val="page number"/>
    <w:basedOn w:val="Fuentedeprrafopredeter"/>
    <w:uiPriority w:val="99"/>
    <w:rsid w:val="008A7FE5"/>
  </w:style>
  <w:style w:type="paragraph" w:styleId="Sinespaciado">
    <w:name w:val="No Spacing"/>
    <w:uiPriority w:val="1"/>
    <w:qFormat/>
    <w:rsid w:val="008A7FE5"/>
    <w:pPr>
      <w:spacing w:after="0" w:line="240" w:lineRule="auto"/>
    </w:pPr>
    <w:rPr>
      <w:rFonts w:ascii="Calibri" w:eastAsia="Calibri" w:hAnsi="Calibri" w:cs="Times New Roman"/>
      <w:kern w:val="0"/>
      <w:sz w:val="22"/>
      <w:szCs w:val="22"/>
      <w14:ligatures w14:val="none"/>
    </w:rPr>
  </w:style>
  <w:style w:type="character" w:customStyle="1" w:styleId="s2">
    <w:name w:val="s2"/>
    <w:basedOn w:val="Fuentedeprrafopredeter"/>
    <w:rsid w:val="008A7FE5"/>
  </w:style>
  <w:style w:type="paragraph" w:customStyle="1" w:styleId="Level4">
    <w:name w:val="Level4"/>
    <w:uiPriority w:val="99"/>
    <w:rsid w:val="008A7FE5"/>
    <w:pPr>
      <w:widowControl w:val="0"/>
      <w:autoSpaceDE w:val="0"/>
      <w:autoSpaceDN w:val="0"/>
      <w:adjustRightInd w:val="0"/>
      <w:spacing w:before="180" w:after="180" w:line="240" w:lineRule="auto"/>
      <w:jc w:val="center"/>
    </w:pPr>
    <w:rPr>
      <w:rFonts w:ascii="Times New Roman" w:eastAsia="Times New Roman" w:hAnsi="Times New Roman" w:cs="Times New Roman"/>
      <w:b/>
      <w:bCs/>
      <w:kern w:val="0"/>
      <w:sz w:val="28"/>
      <w:szCs w:val="28"/>
      <w:lang w:val="es-PR" w:eastAsia="es-PR"/>
      <w14:ligatures w14:val="none"/>
    </w:rPr>
  </w:style>
  <w:style w:type="paragraph" w:styleId="Piedepgina">
    <w:name w:val="footer"/>
    <w:basedOn w:val="Normal"/>
    <w:link w:val="PiedepginaCar"/>
    <w:uiPriority w:val="99"/>
    <w:unhideWhenUsed/>
    <w:rsid w:val="008A7FE5"/>
    <w:pPr>
      <w:tabs>
        <w:tab w:val="center" w:pos="4680"/>
        <w:tab w:val="right" w:pos="9360"/>
      </w:tabs>
    </w:pPr>
  </w:style>
  <w:style w:type="character" w:customStyle="1" w:styleId="PiedepginaCar">
    <w:name w:val="Pie de página Car"/>
    <w:basedOn w:val="Fuentedeprrafopredeter"/>
    <w:link w:val="Piedepgina"/>
    <w:uiPriority w:val="99"/>
    <w:rsid w:val="008A7FE5"/>
    <w:rPr>
      <w:rFonts w:ascii="Times New Roman" w:eastAsia="Calibri" w:hAnsi="Times New Roman" w:cs="Times New Roman"/>
      <w:kern w:val="0"/>
      <w:lang w:val="es-PR"/>
      <w14:ligatures w14:val="none"/>
    </w:rPr>
  </w:style>
  <w:style w:type="paragraph" w:customStyle="1" w:styleId="Default">
    <w:name w:val="Default"/>
    <w:rsid w:val="008A7FE5"/>
    <w:pPr>
      <w:autoSpaceDE w:val="0"/>
      <w:autoSpaceDN w:val="0"/>
      <w:adjustRightInd w:val="0"/>
      <w:spacing w:after="0" w:line="240" w:lineRule="auto"/>
    </w:pPr>
    <w:rPr>
      <w:rFonts w:ascii="Times New Roman" w:hAnsi="Times New Roman" w:cs="Times New Roman"/>
      <w:color w:val="000000"/>
      <w:kern w:val="0"/>
    </w:rPr>
  </w:style>
  <w:style w:type="character" w:styleId="Nmerodelnea">
    <w:name w:val="line number"/>
    <w:basedOn w:val="Fuentedeprrafopredeter"/>
    <w:uiPriority w:val="99"/>
    <w:semiHidden/>
    <w:unhideWhenUsed/>
    <w:rsid w:val="008A7FE5"/>
  </w:style>
  <w:style w:type="paragraph" w:styleId="NormalWeb">
    <w:name w:val="Normal (Web)"/>
    <w:basedOn w:val="Normal"/>
    <w:uiPriority w:val="99"/>
    <w:semiHidden/>
    <w:unhideWhenUsed/>
    <w:rsid w:val="00A40B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70DE7-6A30-43DE-9E0D-14D83593C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1754</Words>
  <Characters>9999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Candelario</dc:creator>
  <cp:keywords/>
  <dc:description/>
  <cp:lastModifiedBy>Rocío Alayón Morell</cp:lastModifiedBy>
  <cp:revision>4</cp:revision>
  <cp:lastPrinted>2026-04-29T18:29:00Z</cp:lastPrinted>
  <dcterms:created xsi:type="dcterms:W3CDTF">2026-05-07T17:50:00Z</dcterms:created>
  <dcterms:modified xsi:type="dcterms:W3CDTF">2026-05-11T14:57:00Z</dcterms:modified>
</cp:coreProperties>
</file>