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C" w14:textId="77777777" w:rsidR="007F61B2" w:rsidRPr="00B00197" w:rsidRDefault="007F61B2">
      <w:pPr>
        <w:rPr>
          <w:rFonts w:ascii="Book Antiqua" w:hAnsi="Book Antiqua"/>
          <w:b/>
          <w:color w:val="000000" w:themeColor="text1"/>
          <w:sz w:val="36"/>
          <w:szCs w:val="36"/>
          <w:lang w:val="es-PR"/>
        </w:rPr>
      </w:pPr>
    </w:p>
    <w:p w14:paraId="02233FFD" w14:textId="77777777" w:rsidR="007F61B2" w:rsidRPr="004379DB" w:rsidRDefault="0083082B">
      <w:pPr>
        <w:jc w:val="center"/>
        <w:rPr>
          <w:rFonts w:ascii="Book Antiqua" w:hAnsi="Book Antiqua"/>
          <w:color w:val="000000" w:themeColor="text1"/>
          <w:sz w:val="28"/>
          <w:szCs w:val="28"/>
          <w:lang w:val="es-PR"/>
        </w:rPr>
      </w:pPr>
      <w:r w:rsidRPr="004379DB">
        <w:rPr>
          <w:rFonts w:ascii="Book Antiqua" w:hAnsi="Book Antiqua"/>
          <w:color w:val="000000" w:themeColor="text1"/>
          <w:sz w:val="28"/>
          <w:szCs w:val="28"/>
          <w:lang w:val="es-PR"/>
        </w:rPr>
        <w:t>GOBIERNO DE PUERTO RICO</w:t>
      </w:r>
    </w:p>
    <w:p w14:paraId="02233FFE" w14:textId="77777777" w:rsidR="007F61B2" w:rsidRPr="00B00197" w:rsidRDefault="007F61B2">
      <w:pPr>
        <w:jc w:val="center"/>
        <w:rPr>
          <w:rFonts w:ascii="Book Antiqua" w:hAnsi="Book Antiqua"/>
          <w:color w:val="000000" w:themeColor="text1"/>
          <w:lang w:val="es-PR"/>
        </w:rPr>
      </w:pPr>
    </w:p>
    <w:p w14:paraId="02233FFF" w14:textId="7385C359" w:rsidR="007F61B2" w:rsidRPr="00B00197" w:rsidRDefault="0083082B">
      <w:pPr>
        <w:pStyle w:val="Title2"/>
        <w:tabs>
          <w:tab w:val="clear" w:pos="7776"/>
        </w:tabs>
        <w:rPr>
          <w:rFonts w:ascii="Book Antiqua" w:hAnsi="Book Antiqua"/>
          <w:color w:val="000000" w:themeColor="text1"/>
          <w:lang w:val="es-PR"/>
        </w:rPr>
      </w:pPr>
      <w:r w:rsidRPr="00B00197">
        <w:rPr>
          <w:rFonts w:ascii="Book Antiqua" w:hAnsi="Book Antiqua"/>
          <w:color w:val="000000" w:themeColor="text1"/>
          <w:lang w:val="es-PR"/>
        </w:rPr>
        <w:t xml:space="preserve">20ma. Asamblea </w:t>
      </w:r>
      <w:r w:rsidRPr="00B00197">
        <w:rPr>
          <w:rFonts w:ascii="Book Antiqua" w:hAnsi="Book Antiqua"/>
          <w:color w:val="000000" w:themeColor="text1"/>
          <w:lang w:val="es-PR"/>
        </w:rPr>
        <w:tab/>
        <w:t>3ra. Sesión</w:t>
      </w:r>
    </w:p>
    <w:p w14:paraId="02234000" w14:textId="77777777" w:rsidR="007F61B2" w:rsidRPr="00B00197" w:rsidRDefault="0083082B">
      <w:pPr>
        <w:pStyle w:val="Title2"/>
        <w:tabs>
          <w:tab w:val="clear" w:pos="7776"/>
        </w:tabs>
        <w:rPr>
          <w:rFonts w:ascii="Book Antiqua" w:hAnsi="Book Antiqua"/>
          <w:color w:val="000000" w:themeColor="text1"/>
          <w:lang w:val="es-PR"/>
        </w:rPr>
      </w:pPr>
      <w:r w:rsidRPr="00B00197">
        <w:rPr>
          <w:rFonts w:ascii="Book Antiqua" w:hAnsi="Book Antiqua"/>
          <w:color w:val="000000" w:themeColor="text1"/>
          <w:lang w:val="es-PR"/>
        </w:rPr>
        <w:tab/>
        <w:t>Legislativa</w:t>
      </w:r>
      <w:r w:rsidRPr="00B00197">
        <w:rPr>
          <w:rFonts w:ascii="Book Antiqua" w:hAnsi="Book Antiqua"/>
          <w:color w:val="000000" w:themeColor="text1"/>
          <w:lang w:val="es-PR"/>
        </w:rPr>
        <w:tab/>
      </w:r>
      <w:r w:rsidRPr="00B00197">
        <w:rPr>
          <w:rFonts w:ascii="Book Antiqua" w:hAnsi="Book Antiqua"/>
          <w:color w:val="000000" w:themeColor="text1"/>
          <w:lang w:val="es-PR"/>
        </w:rPr>
        <w:tab/>
        <w:t xml:space="preserve">      Ordinaria</w:t>
      </w:r>
      <w:r w:rsidRPr="00B00197">
        <w:rPr>
          <w:rFonts w:ascii="Book Antiqua" w:hAnsi="Book Antiqua"/>
          <w:color w:val="000000" w:themeColor="text1"/>
          <w:lang w:val="es-PR"/>
        </w:rPr>
        <w:tab/>
      </w:r>
      <w:r w:rsidRPr="00B00197">
        <w:rPr>
          <w:rFonts w:ascii="Book Antiqua" w:hAnsi="Book Antiqua"/>
          <w:color w:val="000000" w:themeColor="text1"/>
          <w:lang w:val="es-PR"/>
        </w:rPr>
        <w:tab/>
      </w:r>
      <w:r w:rsidRPr="00B00197">
        <w:rPr>
          <w:rFonts w:ascii="Book Antiqua" w:hAnsi="Book Antiqua"/>
          <w:color w:val="000000" w:themeColor="text1"/>
          <w:lang w:val="es-PR"/>
        </w:rPr>
        <w:tab/>
      </w:r>
      <w:r w:rsidRPr="00B00197">
        <w:rPr>
          <w:rFonts w:ascii="Book Antiqua" w:hAnsi="Book Antiqua"/>
          <w:color w:val="000000" w:themeColor="text1"/>
          <w:lang w:val="es-PR"/>
        </w:rPr>
        <w:tab/>
      </w:r>
      <w:r w:rsidRPr="00B00197">
        <w:rPr>
          <w:rFonts w:ascii="Book Antiqua" w:hAnsi="Book Antiqua"/>
          <w:color w:val="000000" w:themeColor="text1"/>
          <w:lang w:val="es-PR"/>
        </w:rPr>
        <w:tab/>
      </w:r>
    </w:p>
    <w:p w14:paraId="02234001" w14:textId="1CD1759B" w:rsidR="007F61B2" w:rsidRPr="004379DB" w:rsidRDefault="005E34DF" w:rsidP="004379DB">
      <w:pPr>
        <w:jc w:val="center"/>
        <w:rPr>
          <w:rFonts w:ascii="Book Antiqua" w:hAnsi="Book Antiqua"/>
          <w:b/>
          <w:color w:val="000000" w:themeColor="text1"/>
          <w:sz w:val="36"/>
          <w:szCs w:val="36"/>
          <w:lang w:val="es-ES"/>
        </w:rPr>
      </w:pPr>
      <w:r w:rsidRPr="004379DB">
        <w:rPr>
          <w:rFonts w:ascii="Book Antiqua" w:hAnsi="Book Antiqua"/>
          <w:b/>
          <w:color w:val="000000" w:themeColor="text1"/>
          <w:sz w:val="36"/>
          <w:szCs w:val="36"/>
          <w:lang w:val="es-ES"/>
        </w:rPr>
        <w:t>CÁMARA DE REPRESENTANTES</w:t>
      </w:r>
    </w:p>
    <w:p w14:paraId="02234002" w14:textId="77777777" w:rsidR="007F61B2" w:rsidRPr="004379DB" w:rsidRDefault="007F61B2" w:rsidP="004379DB">
      <w:pPr>
        <w:jc w:val="center"/>
        <w:rPr>
          <w:rFonts w:ascii="Book Antiqua" w:hAnsi="Book Antiqua"/>
          <w:b/>
          <w:color w:val="000000" w:themeColor="text1"/>
          <w:szCs w:val="24"/>
          <w:lang w:val="es-ES"/>
        </w:rPr>
      </w:pPr>
    </w:p>
    <w:p w14:paraId="02234004" w14:textId="4BF31F19" w:rsidR="007F61B2" w:rsidRPr="004379DB" w:rsidRDefault="0083082B" w:rsidP="004379DB">
      <w:pPr>
        <w:jc w:val="center"/>
        <w:rPr>
          <w:rFonts w:ascii="Book Antiqua" w:hAnsi="Book Antiqua"/>
          <w:b/>
          <w:color w:val="000000" w:themeColor="text1"/>
          <w:sz w:val="52"/>
          <w:szCs w:val="52"/>
          <w:lang w:val="es-PR"/>
        </w:rPr>
      </w:pPr>
      <w:r w:rsidRPr="004379DB">
        <w:rPr>
          <w:rFonts w:ascii="Book Antiqua" w:hAnsi="Book Antiqua"/>
          <w:b/>
          <w:color w:val="000000" w:themeColor="text1"/>
          <w:sz w:val="52"/>
          <w:szCs w:val="52"/>
          <w:lang w:val="es-PR"/>
        </w:rPr>
        <w:t>P. de</w:t>
      </w:r>
      <w:r w:rsidR="005E34DF" w:rsidRPr="004379DB">
        <w:rPr>
          <w:rFonts w:ascii="Book Antiqua" w:hAnsi="Book Antiqua"/>
          <w:b/>
          <w:color w:val="000000" w:themeColor="text1"/>
          <w:sz w:val="52"/>
          <w:szCs w:val="52"/>
          <w:lang w:val="es-PR"/>
        </w:rPr>
        <w:t xml:space="preserve"> </w:t>
      </w:r>
      <w:r w:rsidRPr="004379DB">
        <w:rPr>
          <w:rFonts w:ascii="Book Antiqua" w:hAnsi="Book Antiqua"/>
          <w:b/>
          <w:color w:val="000000" w:themeColor="text1"/>
          <w:sz w:val="52"/>
          <w:szCs w:val="52"/>
          <w:lang w:val="es-PR"/>
        </w:rPr>
        <w:t>l</w:t>
      </w:r>
      <w:r w:rsidR="005E34DF" w:rsidRPr="004379DB">
        <w:rPr>
          <w:rFonts w:ascii="Book Antiqua" w:hAnsi="Book Antiqua"/>
          <w:b/>
          <w:color w:val="000000" w:themeColor="text1"/>
          <w:sz w:val="52"/>
          <w:szCs w:val="52"/>
          <w:lang w:val="es-PR"/>
        </w:rPr>
        <w:t>a</w:t>
      </w:r>
      <w:r w:rsidRPr="004379DB">
        <w:rPr>
          <w:rFonts w:ascii="Book Antiqua" w:hAnsi="Book Antiqua"/>
          <w:b/>
          <w:color w:val="000000" w:themeColor="text1"/>
          <w:sz w:val="52"/>
          <w:szCs w:val="52"/>
          <w:lang w:val="es-PR"/>
        </w:rPr>
        <w:t xml:space="preserve"> </w:t>
      </w:r>
      <w:r w:rsidR="005E34DF" w:rsidRPr="004379DB">
        <w:rPr>
          <w:rFonts w:ascii="Book Antiqua" w:hAnsi="Book Antiqua"/>
          <w:b/>
          <w:color w:val="000000" w:themeColor="text1"/>
          <w:sz w:val="52"/>
          <w:szCs w:val="52"/>
          <w:lang w:val="es-PR"/>
        </w:rPr>
        <w:t>C</w:t>
      </w:r>
      <w:r w:rsidRPr="004379DB">
        <w:rPr>
          <w:rFonts w:ascii="Book Antiqua" w:hAnsi="Book Antiqua"/>
          <w:b/>
          <w:color w:val="000000" w:themeColor="text1"/>
          <w:sz w:val="52"/>
          <w:szCs w:val="52"/>
          <w:lang w:val="es-PR"/>
        </w:rPr>
        <w:t>.</w:t>
      </w:r>
      <w:r w:rsidR="00B21862" w:rsidRPr="004379DB">
        <w:rPr>
          <w:rFonts w:ascii="Book Antiqua" w:hAnsi="Book Antiqua"/>
          <w:b/>
          <w:color w:val="000000" w:themeColor="text1"/>
          <w:sz w:val="52"/>
          <w:szCs w:val="52"/>
          <w:lang w:val="es-PR"/>
        </w:rPr>
        <w:t xml:space="preserve"> 1261</w:t>
      </w:r>
    </w:p>
    <w:p w14:paraId="50B9B488" w14:textId="77777777" w:rsidR="004379DB" w:rsidRDefault="004379DB" w:rsidP="004379DB">
      <w:pPr>
        <w:jc w:val="center"/>
        <w:rPr>
          <w:rFonts w:ascii="Book Antiqua" w:eastAsia="Book Antiqua" w:hAnsi="Book Antiqua" w:cs="Book Antiqua"/>
          <w:color w:val="000000" w:themeColor="text1"/>
          <w:szCs w:val="24"/>
          <w:lang w:val="es-PR"/>
        </w:rPr>
      </w:pPr>
    </w:p>
    <w:p w14:paraId="59074E5F" w14:textId="067571C5" w:rsidR="00151EAB" w:rsidRDefault="00B21862" w:rsidP="004379DB">
      <w:pPr>
        <w:jc w:val="center"/>
        <w:rPr>
          <w:rFonts w:ascii="Book Antiqua" w:eastAsia="Book Antiqua" w:hAnsi="Book Antiqua" w:cs="Book Antiqua"/>
          <w:color w:val="000000" w:themeColor="text1"/>
          <w:szCs w:val="24"/>
          <w:lang w:val="es-PR"/>
        </w:rPr>
      </w:pPr>
      <w:r w:rsidRPr="004379DB">
        <w:rPr>
          <w:rFonts w:ascii="Book Antiqua" w:eastAsia="Book Antiqua" w:hAnsi="Book Antiqua" w:cs="Book Antiqua"/>
          <w:color w:val="000000" w:themeColor="text1"/>
          <w:szCs w:val="24"/>
          <w:lang w:val="es-PR"/>
        </w:rPr>
        <w:t xml:space="preserve">7 </w:t>
      </w:r>
      <w:r w:rsidR="004379DB">
        <w:rPr>
          <w:rFonts w:ascii="Book Antiqua" w:eastAsia="Book Antiqua" w:hAnsi="Book Antiqua" w:cs="Book Antiqua"/>
          <w:color w:val="000000" w:themeColor="text1"/>
          <w:szCs w:val="24"/>
          <w:lang w:val="es-PR"/>
        </w:rPr>
        <w:t>DE MAYO DE</w:t>
      </w:r>
      <w:r w:rsidR="00151EAB" w:rsidRPr="004379DB">
        <w:rPr>
          <w:rFonts w:ascii="Book Antiqua" w:eastAsia="Book Antiqua" w:hAnsi="Book Antiqua" w:cs="Book Antiqua"/>
          <w:color w:val="000000" w:themeColor="text1"/>
          <w:szCs w:val="24"/>
          <w:lang w:val="es-PR"/>
        </w:rPr>
        <w:t xml:space="preserve"> 2026</w:t>
      </w:r>
    </w:p>
    <w:p w14:paraId="4FD99990" w14:textId="77777777" w:rsidR="00A63849" w:rsidRPr="004379DB" w:rsidRDefault="00A63849" w:rsidP="004379DB">
      <w:pPr>
        <w:jc w:val="center"/>
        <w:rPr>
          <w:rFonts w:ascii="Book Antiqua" w:eastAsia="Book Antiqua" w:hAnsi="Book Antiqua" w:cs="Book Antiqua"/>
          <w:color w:val="000000" w:themeColor="text1"/>
          <w:szCs w:val="24"/>
          <w:lang w:val="es-PR"/>
        </w:rPr>
      </w:pPr>
    </w:p>
    <w:p w14:paraId="773D8655" w14:textId="77777777" w:rsidR="008F33BA" w:rsidRPr="008F33BA" w:rsidRDefault="008F33BA" w:rsidP="008F33BA">
      <w:pPr>
        <w:suppressLineNumbers/>
        <w:ind w:left="720" w:hanging="720"/>
        <w:jc w:val="both"/>
        <w:rPr>
          <w:rFonts w:ascii="Book Antiqua" w:hAnsi="Book Antiqua"/>
          <w:i/>
          <w:iCs/>
          <w:szCs w:val="24"/>
          <w:lang w:val="es-PR"/>
        </w:rPr>
      </w:pPr>
      <w:r w:rsidRPr="008F33BA">
        <w:rPr>
          <w:rFonts w:ascii="Book Antiqua" w:hAnsi="Book Antiqua"/>
          <w:szCs w:val="24"/>
          <w:lang w:val="es-PR"/>
        </w:rPr>
        <w:t xml:space="preserve">Presentado </w:t>
      </w:r>
      <w:r w:rsidRPr="008F33BA">
        <w:rPr>
          <w:rFonts w:ascii="Book Antiqua" w:eastAsia="Aptos" w:hAnsi="Book Antiqua" w:cs="Arial"/>
          <w:color w:val="000000"/>
          <w:kern w:val="2"/>
          <w:szCs w:val="24"/>
          <w:lang w:val="es-PR"/>
          <w14:ligatures w14:val="standardContextual"/>
        </w:rPr>
        <w:t xml:space="preserve">por los señores y señoras </w:t>
      </w:r>
      <w:r w:rsidRPr="008F33BA">
        <w:rPr>
          <w:rFonts w:ascii="Book Antiqua" w:eastAsia="Aptos" w:hAnsi="Book Antiqua" w:cs="Arial"/>
          <w:i/>
          <w:iCs/>
          <w:color w:val="000000"/>
          <w:kern w:val="2"/>
          <w:szCs w:val="24"/>
          <w:lang w:val="es-PR"/>
          <w14:ligatures w14:val="standardContextual"/>
        </w:rPr>
        <w:t>Méndez Núñez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Peña Ramírez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Lebrón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Torres Zamora, Román López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Aponte Hernández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Carlo Acosta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Charbonier Chinea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Colón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Del Valle Correa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Estévez Vélez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Franqui Atiles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González Aguayo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 xml:space="preserve">González </w:t>
      </w:r>
      <w:proofErr w:type="spellStart"/>
      <w:r w:rsidRPr="008F33BA">
        <w:rPr>
          <w:rFonts w:ascii="Book Antiqua" w:eastAsia="Aptos" w:hAnsi="Book Antiqua" w:cs="Arial"/>
          <w:i/>
          <w:iCs/>
          <w:color w:val="000000"/>
          <w:kern w:val="2"/>
          <w:szCs w:val="24"/>
          <w:lang w:val="es-PR"/>
          <w14:ligatures w14:val="standardContextual"/>
        </w:rPr>
        <w:t>González</w:t>
      </w:r>
      <w:proofErr w:type="spellEnd"/>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Hernández Concepción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Jiménez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López Román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Martínez Vázquez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Medina Calderón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Muriel Sánchez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Morey Noble</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Navarro Suárez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Nieves Rosario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Ocasio Ramos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Pacheco Burgos,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Parés Otero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Cordero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Ortiz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Ramírez</w:t>
      </w:r>
      <w:r w:rsidRPr="008F33BA">
        <w:rPr>
          <w:rFonts w:ascii="Book Antiqua" w:eastAsia="Aptos" w:hAnsi="Book Antiqua" w:cs="Arial"/>
          <w:color w:val="000000"/>
          <w:kern w:val="2"/>
          <w:szCs w:val="24"/>
          <w:lang w:val="es-PR"/>
          <w14:ligatures w14:val="standardContextual"/>
        </w:rPr>
        <w:t xml:space="preserve">, Ramos Rivera, </w:t>
      </w:r>
      <w:r w:rsidRPr="008F33BA">
        <w:rPr>
          <w:rFonts w:ascii="Book Antiqua" w:eastAsia="Aptos" w:hAnsi="Book Antiqua" w:cs="Arial"/>
          <w:i/>
          <w:iCs/>
          <w:color w:val="000000"/>
          <w:kern w:val="2"/>
          <w:szCs w:val="24"/>
          <w:lang w:val="es-PR"/>
          <w14:ligatures w14:val="standardContextual"/>
        </w:rPr>
        <w:t>Robles Rivera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Aguiló</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Roque Gracia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Sanabria Colón</w:t>
      </w:r>
      <w:r w:rsidRPr="008F33BA">
        <w:rPr>
          <w:rFonts w:ascii="Book Antiqua" w:eastAsia="Aptos" w:hAnsi="Book Antiqua" w:cs="Arial"/>
          <w:color w:val="000000"/>
          <w:kern w:val="2"/>
          <w:szCs w:val="24"/>
          <w:lang w:val="es-PR"/>
          <w14:ligatures w14:val="standardContextual"/>
        </w:rPr>
        <w:t xml:space="preserve"> y </w:t>
      </w:r>
      <w:r w:rsidRPr="008F33BA">
        <w:rPr>
          <w:rFonts w:ascii="Book Antiqua" w:eastAsia="Aptos" w:hAnsi="Book Antiqua" w:cs="Arial"/>
          <w:i/>
          <w:iCs/>
          <w:color w:val="000000"/>
          <w:kern w:val="2"/>
          <w:szCs w:val="24"/>
          <w:lang w:val="es-PR"/>
          <w14:ligatures w14:val="standardContextual"/>
        </w:rPr>
        <w:t>Santiago Guzmán</w:t>
      </w:r>
    </w:p>
    <w:p w14:paraId="02234008" w14:textId="75B893AD" w:rsidR="007F61B2" w:rsidRPr="004379DB" w:rsidRDefault="007F61B2" w:rsidP="004379DB">
      <w:pPr>
        <w:pStyle w:val="Sinespaciado"/>
        <w:rPr>
          <w:rFonts w:ascii="Book Antiqua" w:hAnsi="Book Antiqua"/>
          <w:color w:val="000000" w:themeColor="text1"/>
          <w:szCs w:val="24"/>
          <w:lang w:val="es-PR"/>
        </w:rPr>
      </w:pPr>
    </w:p>
    <w:p w14:paraId="02234009" w14:textId="0332A57E" w:rsidR="007F61B2" w:rsidRPr="004379DB" w:rsidRDefault="0083082B" w:rsidP="004379DB">
      <w:pPr>
        <w:pStyle w:val="Sinespaciado"/>
        <w:jc w:val="center"/>
        <w:rPr>
          <w:rFonts w:ascii="Book Antiqua" w:hAnsi="Book Antiqua"/>
          <w:i/>
          <w:color w:val="000000" w:themeColor="text1"/>
          <w:szCs w:val="24"/>
          <w:lang w:val="es-PR"/>
        </w:rPr>
      </w:pPr>
      <w:r w:rsidRPr="004379DB">
        <w:rPr>
          <w:rFonts w:ascii="Book Antiqua" w:hAnsi="Book Antiqua"/>
          <w:color w:val="000000" w:themeColor="text1"/>
          <w:szCs w:val="24"/>
          <w:lang w:val="es-PR"/>
        </w:rPr>
        <w:t>Referido a</w:t>
      </w:r>
      <w:r w:rsidR="004379DB">
        <w:rPr>
          <w:rFonts w:ascii="Book Antiqua" w:hAnsi="Book Antiqua"/>
          <w:color w:val="000000" w:themeColor="text1"/>
          <w:szCs w:val="24"/>
          <w:lang w:val="es-PR"/>
        </w:rPr>
        <w:t xml:space="preserve"> la Comisión de Hacienda</w:t>
      </w:r>
    </w:p>
    <w:p w14:paraId="0223400A" w14:textId="77777777" w:rsidR="007F61B2" w:rsidRPr="004379DB" w:rsidRDefault="007F61B2" w:rsidP="004379DB">
      <w:pPr>
        <w:jc w:val="both"/>
        <w:rPr>
          <w:rFonts w:ascii="Book Antiqua" w:hAnsi="Book Antiqua"/>
          <w:color w:val="000000" w:themeColor="text1"/>
          <w:szCs w:val="24"/>
          <w:lang w:val="es-PR"/>
        </w:rPr>
      </w:pPr>
    </w:p>
    <w:p w14:paraId="0223400B" w14:textId="77777777" w:rsidR="007F61B2" w:rsidRPr="004379DB" w:rsidRDefault="0083082B" w:rsidP="004379DB">
      <w:pPr>
        <w:jc w:val="center"/>
        <w:rPr>
          <w:rFonts w:ascii="Book Antiqua" w:hAnsi="Book Antiqua"/>
          <w:b/>
          <w:color w:val="000000" w:themeColor="text1"/>
          <w:sz w:val="28"/>
          <w:szCs w:val="28"/>
          <w:lang w:val="es-PR"/>
        </w:rPr>
      </w:pPr>
      <w:r w:rsidRPr="004379DB">
        <w:rPr>
          <w:rFonts w:ascii="Book Antiqua" w:hAnsi="Book Antiqua"/>
          <w:b/>
          <w:color w:val="000000" w:themeColor="text1"/>
          <w:sz w:val="28"/>
          <w:szCs w:val="28"/>
          <w:lang w:val="es-PR"/>
        </w:rPr>
        <w:t>LEY</w:t>
      </w:r>
    </w:p>
    <w:p w14:paraId="0223400C" w14:textId="77777777" w:rsidR="007F61B2" w:rsidRPr="00B00197" w:rsidRDefault="007F61B2">
      <w:pPr>
        <w:jc w:val="center"/>
        <w:rPr>
          <w:rFonts w:ascii="Book Antiqua" w:hAnsi="Book Antiqua"/>
          <w:b/>
          <w:color w:val="000000" w:themeColor="text1"/>
          <w:szCs w:val="24"/>
          <w:lang w:val="es-PR"/>
        </w:rPr>
      </w:pPr>
    </w:p>
    <w:p w14:paraId="5B99B850" w14:textId="299D77FD" w:rsidR="00321AAF" w:rsidRPr="00B00197" w:rsidRDefault="0083082B" w:rsidP="2265F6D5">
      <w:pPr>
        <w:ind w:left="720" w:hanging="720"/>
        <w:jc w:val="both"/>
        <w:rPr>
          <w:rFonts w:ascii="Book Antiqua" w:hAnsi="Book Antiqua"/>
          <w:b/>
          <w:bCs/>
          <w:snapToGrid w:val="0"/>
          <w:color w:val="000000" w:themeColor="text1"/>
          <w:lang w:val="es-PR"/>
        </w:rPr>
      </w:pPr>
      <w:r w:rsidRPr="00B00197">
        <w:rPr>
          <w:rFonts w:ascii="Book Antiqua" w:hAnsi="Book Antiqua"/>
          <w:snapToGrid w:val="0"/>
          <w:color w:val="000000" w:themeColor="text1"/>
          <w:lang w:val="es-PR"/>
        </w:rPr>
        <w:t xml:space="preserve">Para </w:t>
      </w:r>
      <w:r w:rsidRPr="00B00197">
        <w:rPr>
          <w:rFonts w:ascii="Book Antiqua" w:eastAsia="Book Antiqua" w:hAnsi="Book Antiqua" w:cs="Book Antiqua"/>
          <w:color w:val="000000" w:themeColor="text1"/>
          <w:lang w:val="es-PR"/>
        </w:rPr>
        <w:t>enmendar los Artículos 6 y 7, así como añadir los Artículos 6A y 6B a la Ley Núm. 147 de 18 de junio de 1980, según enmendada, conocida como “Ley Orgánica de la Oficina de Gerencia y Presupuesto”, a los fines de</w:t>
      </w:r>
      <w:r w:rsidRPr="00B00197">
        <w:rPr>
          <w:rFonts w:ascii="Book Antiqua" w:hAnsi="Book Antiqua"/>
          <w:color w:val="000000" w:themeColor="text1"/>
          <w:lang w:val="es-PR"/>
        </w:rPr>
        <w:t xml:space="preserve"> crear el Fondo de Reserva para la Estabilización Presupuestaria</w:t>
      </w:r>
      <w:r w:rsidRPr="00B00197">
        <w:rPr>
          <w:rFonts w:ascii="Book Antiqua" w:eastAsia="Book Antiqua" w:hAnsi="Book Antiqua" w:cs="Book Antiqua"/>
          <w:color w:val="000000" w:themeColor="text1"/>
          <w:lang w:val="es-PR"/>
        </w:rPr>
        <w:t>, establecer el uso de dicho fondo; y para otros fines relacionados.</w:t>
      </w:r>
    </w:p>
    <w:p w14:paraId="579056E7" w14:textId="77777777" w:rsidR="00321AAF" w:rsidRPr="00B00197" w:rsidRDefault="00321AAF">
      <w:pPr>
        <w:ind w:left="720" w:hanging="720"/>
        <w:jc w:val="center"/>
        <w:rPr>
          <w:rFonts w:ascii="Book Antiqua" w:hAnsi="Book Antiqua"/>
          <w:b/>
          <w:bCs/>
          <w:snapToGrid w:val="0"/>
          <w:color w:val="000000" w:themeColor="text1"/>
          <w:szCs w:val="24"/>
          <w:lang w:val="es-PR"/>
        </w:rPr>
      </w:pPr>
    </w:p>
    <w:p w14:paraId="0223400F" w14:textId="3340C9F4" w:rsidR="007F61B2" w:rsidRPr="004379DB" w:rsidRDefault="0083082B">
      <w:pPr>
        <w:ind w:left="720" w:hanging="720"/>
        <w:jc w:val="center"/>
        <w:rPr>
          <w:rFonts w:ascii="Book Antiqua" w:hAnsi="Book Antiqua"/>
          <w:snapToGrid w:val="0"/>
          <w:color w:val="000000" w:themeColor="text1"/>
          <w:szCs w:val="24"/>
          <w:lang w:val="es-PR"/>
        </w:rPr>
      </w:pPr>
      <w:r w:rsidRPr="004379DB">
        <w:rPr>
          <w:rFonts w:ascii="Book Antiqua" w:hAnsi="Book Antiqua"/>
          <w:snapToGrid w:val="0"/>
          <w:color w:val="000000" w:themeColor="text1"/>
          <w:szCs w:val="24"/>
          <w:lang w:val="es-PR"/>
        </w:rPr>
        <w:t>EXPOSICION DE MOTIVOS</w:t>
      </w:r>
    </w:p>
    <w:p w14:paraId="62EAC2AE" w14:textId="77777777" w:rsidR="0031114B" w:rsidRPr="00B00197" w:rsidRDefault="0031114B">
      <w:pPr>
        <w:ind w:left="720" w:hanging="720"/>
        <w:jc w:val="center"/>
        <w:rPr>
          <w:rFonts w:ascii="Book Antiqua" w:hAnsi="Book Antiqua"/>
          <w:b/>
          <w:bCs/>
          <w:snapToGrid w:val="0"/>
          <w:color w:val="000000" w:themeColor="text1"/>
          <w:szCs w:val="24"/>
          <w:lang w:val="es-PR"/>
        </w:rPr>
      </w:pPr>
    </w:p>
    <w:p w14:paraId="37D4C658" w14:textId="2CBEB42D" w:rsidR="00321AAF" w:rsidRPr="00B00197" w:rsidRDefault="00321AAF" w:rsidP="00321AAF">
      <w:pPr>
        <w:jc w:val="both"/>
        <w:rPr>
          <w:rFonts w:ascii="Book Antiqua" w:eastAsia="Book Antiqua" w:hAnsi="Book Antiqua" w:cs="Book Antiqua"/>
          <w:color w:val="000000" w:themeColor="text1"/>
          <w:lang w:val="es-PR"/>
        </w:rPr>
      </w:pPr>
      <w:bookmarkStart w:id="0" w:name="_Hlk220413994"/>
      <w:r w:rsidRPr="00B00197">
        <w:rPr>
          <w:rFonts w:ascii="Book Antiqua" w:eastAsia="Book Antiqua" w:hAnsi="Book Antiqua" w:cs="Book Antiqua"/>
          <w:color w:val="000000" w:themeColor="text1"/>
          <w:lang w:val="es-PR"/>
        </w:rPr>
        <w:t>La responsabilidad fiscal del Gobierno de Puerto Rico es uno de los compromisos programáticos de esta Administración. Nos comprometimos con el Pueblo a trabajar con la Junta de Supervisión Fiscal -</w:t>
      </w:r>
      <w:r w:rsidRPr="00B00197">
        <w:rPr>
          <w:rFonts w:ascii="Book Antiqua" w:hAnsi="Book Antiqua"/>
          <w:color w:val="000000" w:themeColor="text1"/>
          <w:lang w:val="es-PR"/>
        </w:rPr>
        <w:t xml:space="preserve"> </w:t>
      </w:r>
      <w:r w:rsidRPr="00B00197">
        <w:rPr>
          <w:rFonts w:ascii="Book Antiqua" w:eastAsia="Book Antiqua" w:hAnsi="Book Antiqua" w:cs="Book Antiqua"/>
          <w:color w:val="000000" w:themeColor="text1"/>
          <w:lang w:val="es-PR"/>
        </w:rPr>
        <w:t xml:space="preserve">con el fin de restablecer la confianza en la solvencia crediticia del Gobierno de Puerto Rico - para que las asignaciones del presupuesto Estatal garanticen los fondos adecuados y sostenibles para la implantación de medidas planificadas para beneficio de nuestra gente. Si bien esto es particularmente importante </w:t>
      </w:r>
      <w:r w:rsidR="00835089" w:rsidRPr="00B00197">
        <w:rPr>
          <w:rFonts w:ascii="Book Antiqua" w:eastAsia="Book Antiqua" w:hAnsi="Book Antiqua" w:cs="Book Antiqua"/>
          <w:color w:val="000000" w:themeColor="text1"/>
          <w:lang w:val="es-PR"/>
        </w:rPr>
        <w:t xml:space="preserve">para </w:t>
      </w:r>
      <w:r w:rsidRPr="00B00197">
        <w:rPr>
          <w:rFonts w:ascii="Book Antiqua" w:eastAsia="Book Antiqua" w:hAnsi="Book Antiqua" w:cs="Book Antiqua"/>
          <w:color w:val="000000" w:themeColor="text1"/>
          <w:lang w:val="es-PR"/>
        </w:rPr>
        <w:t>programas para la erradicación de la pobreza, como lo son cuid</w:t>
      </w:r>
      <w:r w:rsidR="00B5036C" w:rsidRPr="00B00197">
        <w:rPr>
          <w:rFonts w:ascii="Book Antiqua" w:eastAsia="Book Antiqua" w:hAnsi="Book Antiqua" w:cs="Book Antiqua"/>
          <w:color w:val="000000" w:themeColor="text1"/>
          <w:lang w:val="es-PR"/>
        </w:rPr>
        <w:t>o</w:t>
      </w:r>
      <w:r w:rsidRPr="00B00197">
        <w:rPr>
          <w:rFonts w:ascii="Book Antiqua" w:eastAsia="Book Antiqua" w:hAnsi="Book Antiqua" w:cs="Book Antiqua"/>
          <w:color w:val="000000" w:themeColor="text1"/>
          <w:lang w:val="es-PR"/>
        </w:rPr>
        <w:t xml:space="preserve"> </w:t>
      </w:r>
      <w:r w:rsidR="00B5036C" w:rsidRPr="00B00197">
        <w:rPr>
          <w:rFonts w:ascii="Book Antiqua" w:eastAsia="Book Antiqua" w:hAnsi="Book Antiqua" w:cs="Book Antiqua"/>
          <w:color w:val="000000" w:themeColor="text1"/>
          <w:lang w:val="es-PR"/>
        </w:rPr>
        <w:t>de</w:t>
      </w:r>
      <w:r w:rsidRPr="00B00197">
        <w:rPr>
          <w:rFonts w:ascii="Book Antiqua" w:eastAsia="Book Antiqua" w:hAnsi="Book Antiqua" w:cs="Book Antiqua"/>
          <w:color w:val="000000" w:themeColor="text1"/>
          <w:lang w:val="es-PR"/>
        </w:rPr>
        <w:t xml:space="preserve"> niños y adultos mayores</w:t>
      </w:r>
      <w:r w:rsidR="00835089" w:rsidRPr="00B00197">
        <w:rPr>
          <w:rFonts w:ascii="Book Antiqua" w:eastAsia="Book Antiqua" w:hAnsi="Book Antiqua" w:cs="Book Antiqua"/>
          <w:color w:val="000000" w:themeColor="text1"/>
          <w:lang w:val="es-PR"/>
        </w:rPr>
        <w:t xml:space="preserve">; para la seguridad, apoyando </w:t>
      </w:r>
      <w:r w:rsidR="001166C7" w:rsidRPr="00B00197">
        <w:rPr>
          <w:rFonts w:ascii="Book Antiqua" w:eastAsia="Book Antiqua" w:hAnsi="Book Antiqua" w:cs="Book Antiqua"/>
          <w:color w:val="000000" w:themeColor="text1"/>
          <w:lang w:val="es-PR"/>
        </w:rPr>
        <w:t>nuestros policías</w:t>
      </w:r>
      <w:r w:rsidR="00835089" w:rsidRPr="00B00197">
        <w:rPr>
          <w:rFonts w:ascii="Book Antiqua" w:eastAsia="Book Antiqua" w:hAnsi="Book Antiqua" w:cs="Book Antiqua"/>
          <w:color w:val="000000" w:themeColor="text1"/>
          <w:lang w:val="es-PR"/>
        </w:rPr>
        <w:t xml:space="preserve">, y para </w:t>
      </w:r>
      <w:r w:rsidR="00D67EAB" w:rsidRPr="00B00197">
        <w:rPr>
          <w:rFonts w:ascii="Book Antiqua" w:eastAsia="Book Antiqua" w:hAnsi="Book Antiqua" w:cs="Book Antiqua"/>
          <w:color w:val="000000" w:themeColor="text1"/>
          <w:lang w:val="es-PR"/>
        </w:rPr>
        <w:t xml:space="preserve">infraestructura, con </w:t>
      </w:r>
      <w:r w:rsidR="00835089" w:rsidRPr="00B00197">
        <w:rPr>
          <w:rFonts w:ascii="Book Antiqua" w:eastAsia="Book Antiqua" w:hAnsi="Book Antiqua" w:cs="Book Antiqua"/>
          <w:color w:val="000000" w:themeColor="text1"/>
          <w:lang w:val="es-PR"/>
        </w:rPr>
        <w:lastRenderedPageBreak/>
        <w:t>mejores carreteras</w:t>
      </w:r>
      <w:r w:rsidR="00D67EAB" w:rsidRPr="00B00197">
        <w:rPr>
          <w:rFonts w:ascii="Book Antiqua" w:eastAsia="Book Antiqua" w:hAnsi="Book Antiqua" w:cs="Book Antiqua"/>
          <w:color w:val="000000" w:themeColor="text1"/>
          <w:lang w:val="es-PR"/>
        </w:rPr>
        <w:t>,</w:t>
      </w:r>
      <w:r w:rsidRPr="00B00197">
        <w:rPr>
          <w:rFonts w:ascii="Book Antiqua" w:eastAsia="Book Antiqua" w:hAnsi="Book Antiqua" w:cs="Book Antiqua"/>
          <w:color w:val="000000" w:themeColor="text1"/>
          <w:lang w:val="es-PR"/>
        </w:rPr>
        <w:t xml:space="preserve"> no es menos cierto que para poder tener recursos suficientes para esos servicios esenciales, necesitamos continuar manteniendo la salud fiscal del gobierno entero. </w:t>
      </w:r>
    </w:p>
    <w:p w14:paraId="1939FE73" w14:textId="77777777" w:rsidR="00307347" w:rsidRPr="00B00197" w:rsidRDefault="00307347" w:rsidP="00321AAF">
      <w:pPr>
        <w:jc w:val="both"/>
        <w:rPr>
          <w:rFonts w:ascii="Book Antiqua" w:eastAsia="Book Antiqua" w:hAnsi="Book Antiqua" w:cs="Book Antiqua"/>
          <w:color w:val="000000" w:themeColor="text1"/>
          <w:lang w:val="es-PR"/>
        </w:rPr>
      </w:pPr>
    </w:p>
    <w:p w14:paraId="795E6B54" w14:textId="7EDBA74B" w:rsidR="00307347" w:rsidRPr="00B00197" w:rsidRDefault="00205F2F" w:rsidP="00321AAF">
      <w:pPr>
        <w:jc w:val="both"/>
        <w:rPr>
          <w:rFonts w:ascii="Book Antiqua" w:eastAsia="Book Antiqua" w:hAnsi="Book Antiqua" w:cs="Book Antiqua"/>
          <w:color w:val="000000" w:themeColor="text1"/>
          <w:lang w:val="es-PR"/>
        </w:rPr>
      </w:pPr>
      <w:r w:rsidRPr="00B00197">
        <w:rPr>
          <w:rFonts w:ascii="Book Antiqua" w:eastAsia="Book Antiqua" w:hAnsi="Book Antiqua" w:cs="Book Antiqua"/>
          <w:color w:val="000000" w:themeColor="text1"/>
          <w:lang w:val="es-PR"/>
        </w:rPr>
        <w:t>Con e</w:t>
      </w:r>
      <w:r w:rsidR="00D67EAB" w:rsidRPr="00B00197">
        <w:rPr>
          <w:rFonts w:ascii="Book Antiqua" w:eastAsia="Book Antiqua" w:hAnsi="Book Antiqua" w:cs="Book Antiqua"/>
          <w:color w:val="000000" w:themeColor="text1"/>
          <w:lang w:val="es-PR"/>
        </w:rPr>
        <w:t>ste</w:t>
      </w:r>
      <w:r w:rsidR="00307347" w:rsidRPr="00B00197">
        <w:rPr>
          <w:rFonts w:ascii="Book Antiqua" w:eastAsia="Book Antiqua" w:hAnsi="Book Antiqua" w:cs="Book Antiqua"/>
          <w:color w:val="000000" w:themeColor="text1"/>
          <w:lang w:val="es-PR"/>
        </w:rPr>
        <w:t xml:space="preserve"> proyecto de ley, reconocemos la creación del Fondo de Reserva para la Estabilización Presupuestaria. Este Fondo permitir</w:t>
      </w:r>
      <w:r w:rsidR="00686986" w:rsidRPr="00B00197">
        <w:rPr>
          <w:rFonts w:ascii="Book Antiqua" w:eastAsia="Book Antiqua" w:hAnsi="Book Antiqua" w:cs="Book Antiqua"/>
          <w:color w:val="000000" w:themeColor="text1"/>
          <w:lang w:val="es-PR"/>
        </w:rPr>
        <w:t>á</w:t>
      </w:r>
      <w:r w:rsidR="00307347" w:rsidRPr="00B00197">
        <w:rPr>
          <w:rFonts w:ascii="Book Antiqua" w:eastAsia="Book Antiqua" w:hAnsi="Book Antiqua" w:cs="Book Antiqua"/>
          <w:color w:val="000000" w:themeColor="text1"/>
          <w:lang w:val="es-PR"/>
        </w:rPr>
        <w:t xml:space="preserve"> que el gobierno de Puerto Rico tenga mayor estabilidad en las finanzas públicas, y </w:t>
      </w:r>
      <w:r w:rsidR="00072DF4" w:rsidRPr="00B00197">
        <w:rPr>
          <w:rFonts w:ascii="Book Antiqua" w:eastAsia="Book Antiqua" w:hAnsi="Book Antiqua" w:cs="Book Antiqua"/>
          <w:color w:val="000000" w:themeColor="text1"/>
          <w:lang w:val="es-PR"/>
        </w:rPr>
        <w:t xml:space="preserve">sentará las bases para </w:t>
      </w:r>
      <w:r w:rsidR="00307347" w:rsidRPr="00B00197">
        <w:rPr>
          <w:rFonts w:ascii="Book Antiqua" w:eastAsia="Book Antiqua" w:hAnsi="Book Antiqua" w:cs="Book Antiqua"/>
          <w:color w:val="000000" w:themeColor="text1"/>
          <w:lang w:val="es-PR"/>
        </w:rPr>
        <w:t xml:space="preserve">restablecer la confianza en el Gobierno de Puerto Rico </w:t>
      </w:r>
      <w:r w:rsidR="00072DF4" w:rsidRPr="00B00197">
        <w:rPr>
          <w:rFonts w:ascii="Book Antiqua" w:eastAsia="Book Antiqua" w:hAnsi="Book Antiqua" w:cs="Book Antiqua"/>
          <w:color w:val="000000" w:themeColor="text1"/>
          <w:lang w:val="es-PR"/>
        </w:rPr>
        <w:t xml:space="preserve">y su capacidad </w:t>
      </w:r>
      <w:r w:rsidR="00307347" w:rsidRPr="00B00197">
        <w:rPr>
          <w:rFonts w:ascii="Book Antiqua" w:eastAsia="Book Antiqua" w:hAnsi="Book Antiqua" w:cs="Book Antiqua"/>
          <w:color w:val="000000" w:themeColor="text1"/>
          <w:lang w:val="es-PR"/>
        </w:rPr>
        <w:t>para reanudar el acceso a los mercados de capital cuando sea necesario.</w:t>
      </w:r>
      <w:r w:rsidR="00307347" w:rsidRPr="00B00197">
        <w:rPr>
          <w:rFonts w:ascii="Book Antiqua" w:eastAsia="Book Antiqua" w:hAnsi="Book Antiqua"/>
          <w:b/>
          <w:color w:val="000000" w:themeColor="text1"/>
          <w:lang w:val="es-PR"/>
        </w:rPr>
        <w:t xml:space="preserve"> </w:t>
      </w:r>
      <w:r w:rsidR="00307347" w:rsidRPr="00B00197">
        <w:rPr>
          <w:rFonts w:ascii="Book Antiqua" w:eastAsia="Book Antiqua" w:hAnsi="Book Antiqua" w:cs="Book Antiqua"/>
          <w:color w:val="000000" w:themeColor="text1"/>
          <w:lang w:val="es-PR"/>
        </w:rPr>
        <w:t>La Administración de la Gobernadora Jenniffer González Colón no olvida los compromisos que contrajo con el Pueblo para fortalecer los mecanismos de cumplimiento y fortalecer la eficiencia de nuestro Gobierno, los cuales han estado siendo implementados por su equipo fiscal. Con este estatuto ampliamos nuestra capacidad de cumplimiento con el Plan de Ajuste de la Deuda, el Plan Fiscal y dotamos a la Oficina de Gerencia y Presupuesto de directrices claras sobre cómo se podrá usar este fondo; mientras continuamos manteniendo un manejo responsable de los fondos públicos, desarrollando e implementando presupuestos balanceados, cumpliendo con las responsabilidades fiscales</w:t>
      </w:r>
      <w:r w:rsidR="002C49EB" w:rsidRPr="00B00197">
        <w:rPr>
          <w:rFonts w:ascii="Book Antiqua" w:eastAsia="Book Antiqua" w:hAnsi="Book Antiqua" w:cs="Book Antiqua"/>
          <w:color w:val="000000" w:themeColor="text1"/>
          <w:lang w:val="es-PR"/>
        </w:rPr>
        <w:t xml:space="preserve">, </w:t>
      </w:r>
      <w:r w:rsidR="00307347" w:rsidRPr="00B00197">
        <w:rPr>
          <w:rFonts w:ascii="Book Antiqua" w:eastAsia="Book Antiqua" w:hAnsi="Book Antiqua" w:cs="Book Antiqua"/>
          <w:color w:val="000000" w:themeColor="text1"/>
          <w:lang w:val="es-PR"/>
        </w:rPr>
        <w:t xml:space="preserve">compromisos legales y  contractuales, sin perder de vista, lo verdaderamente importante,  tener los recursos suficientes para atender las necesidades de nuestro Pueblo. </w:t>
      </w:r>
    </w:p>
    <w:bookmarkEnd w:id="0"/>
    <w:p w14:paraId="22F36A3E" w14:textId="77777777" w:rsidR="0031114B" w:rsidRPr="00B00197" w:rsidRDefault="0031114B" w:rsidP="0031114B">
      <w:pPr>
        <w:jc w:val="both"/>
        <w:textAlignment w:val="baseline"/>
        <w:rPr>
          <w:rFonts w:ascii="Book Antiqua" w:hAnsi="Book Antiqua" w:cs="Segoe UI"/>
          <w:color w:val="000000" w:themeColor="text1"/>
          <w:lang w:val="es-PR"/>
        </w:rPr>
      </w:pPr>
    </w:p>
    <w:p w14:paraId="6AA32E6F" w14:textId="02F4BA1E" w:rsidR="00E028DD" w:rsidRPr="00B00197" w:rsidRDefault="0083082B" w:rsidP="00C91865">
      <w:pPr>
        <w:spacing w:line="480" w:lineRule="auto"/>
        <w:jc w:val="both"/>
        <w:rPr>
          <w:rFonts w:ascii="Book Antiqua" w:hAnsi="Book Antiqua"/>
          <w:i/>
          <w:color w:val="000000" w:themeColor="text1"/>
          <w:lang w:val="es-PR"/>
        </w:rPr>
      </w:pPr>
      <w:r w:rsidRPr="00B00197">
        <w:rPr>
          <w:rFonts w:ascii="Book Antiqua" w:hAnsi="Book Antiqua"/>
          <w:i/>
          <w:color w:val="000000" w:themeColor="text1"/>
          <w:lang w:val="es-PR"/>
        </w:rPr>
        <w:t>DECRÉTASE POR LA ASAMBLEA LEGISLATIVA DE PUERTO RICO:</w:t>
      </w:r>
    </w:p>
    <w:p w14:paraId="0223401D" w14:textId="77777777" w:rsidR="00C91865" w:rsidRPr="00B00197" w:rsidRDefault="00C91865">
      <w:pPr>
        <w:spacing w:line="480" w:lineRule="auto"/>
        <w:jc w:val="both"/>
        <w:rPr>
          <w:rFonts w:ascii="Book Antiqua" w:hAnsi="Book Antiqua"/>
          <w:color w:val="000000" w:themeColor="text1"/>
          <w:szCs w:val="24"/>
          <w:lang w:val="es-PR"/>
        </w:rPr>
        <w:sectPr w:rsidR="00C91865" w:rsidRPr="00B00197">
          <w:headerReference w:type="even" r:id="rId12"/>
          <w:headerReference w:type="default" r:id="rId13"/>
          <w:headerReference w:type="first" r:id="rId14"/>
          <w:pgSz w:w="12240" w:h="15840"/>
          <w:pgMar w:top="1440" w:right="1440" w:bottom="1440" w:left="1440" w:header="720" w:footer="720" w:gutter="0"/>
          <w:cols w:space="720"/>
          <w:titlePg/>
        </w:sectPr>
      </w:pPr>
    </w:p>
    <w:p w14:paraId="3B94519A" w14:textId="3B469DDB" w:rsidR="00321AAF" w:rsidRPr="00B00197" w:rsidRDefault="00321AAF" w:rsidP="00321AAF">
      <w:pPr>
        <w:pStyle w:val="Textoindependiente"/>
        <w:ind w:firstLine="720"/>
        <w:rPr>
          <w:rFonts w:ascii="Book Antiqua" w:hAnsi="Book Antiqua"/>
          <w:color w:val="000000" w:themeColor="text1"/>
          <w:lang w:val="es-PR"/>
        </w:rPr>
      </w:pPr>
      <w:bookmarkStart w:id="1" w:name="{20D8}"/>
      <w:bookmarkStart w:id="2" w:name="_Hlk189832381"/>
      <w:r w:rsidRPr="00B00197">
        <w:rPr>
          <w:rFonts w:ascii="Book Antiqua" w:hAnsi="Book Antiqua"/>
          <w:color w:val="000000" w:themeColor="text1"/>
          <w:lang w:val="es-PR"/>
        </w:rPr>
        <w:t xml:space="preserve">Sección </w:t>
      </w:r>
      <w:r w:rsidRPr="00B00197">
        <w:rPr>
          <w:rFonts w:ascii="Book Antiqua" w:eastAsia="Book Antiqua" w:hAnsi="Book Antiqua" w:cs="Book Antiqua"/>
          <w:color w:val="000000" w:themeColor="text1"/>
          <w:lang w:val="es-PR"/>
        </w:rPr>
        <w:t>1.</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6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se lea como sigue: </w:t>
      </w:r>
    </w:p>
    <w:p w14:paraId="01F515BB" w14:textId="7D037BB0" w:rsidR="002A1A2C" w:rsidRPr="00B00197" w:rsidRDefault="00321AAF" w:rsidP="0017544C">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 xml:space="preserve">“Artículo 6. — Creación del </w:t>
      </w:r>
      <w:r w:rsidRPr="00B00197">
        <w:rPr>
          <w:rFonts w:ascii="Book Antiqua" w:hAnsi="Book Antiqua"/>
          <w:i/>
          <w:iCs/>
          <w:color w:val="000000" w:themeColor="text1"/>
          <w:lang w:val="es-PR"/>
        </w:rPr>
        <w:t>F</w:t>
      </w:r>
      <w:r w:rsidRPr="00B00197">
        <w:rPr>
          <w:rFonts w:ascii="Book Antiqua" w:hAnsi="Book Antiqua"/>
          <w:i/>
          <w:iCs/>
          <w:color w:val="000000" w:themeColor="text1"/>
          <w:szCs w:val="24"/>
          <w:lang w:val="es-PR"/>
        </w:rPr>
        <w:t>ondo de Reserva para la Estabilización Presupuestaria</w:t>
      </w:r>
      <w:r w:rsidRPr="00B00197">
        <w:rPr>
          <w:rFonts w:ascii="Book Antiqua" w:hAnsi="Book Antiqua"/>
          <w:color w:val="000000" w:themeColor="text1"/>
          <w:lang w:val="es-PR"/>
        </w:rPr>
        <w:t>.</w:t>
      </w:r>
    </w:p>
    <w:p w14:paraId="7871C239" w14:textId="77777777" w:rsidR="00961A83" w:rsidRPr="00B00197" w:rsidRDefault="00961A83" w:rsidP="00961A83">
      <w:pPr>
        <w:pStyle w:val="Textoindependiente"/>
        <w:rPr>
          <w:rFonts w:ascii="Book Antiqua" w:hAnsi="Book Antiqua"/>
          <w:iCs/>
          <w:color w:val="000000" w:themeColor="text1"/>
          <w:lang w:val="es-PR"/>
        </w:rPr>
      </w:pPr>
      <w:r w:rsidRPr="00B00197">
        <w:rPr>
          <w:rFonts w:ascii="Book Antiqua" w:hAnsi="Book Antiqua"/>
          <w:iCs/>
          <w:color w:val="000000" w:themeColor="text1"/>
          <w:lang w:val="es-PR"/>
        </w:rPr>
        <w:tab/>
      </w:r>
      <w:r w:rsidRPr="00B00197">
        <w:rPr>
          <w:rFonts w:ascii="Book Antiqua" w:hAnsi="Book Antiqua"/>
          <w:iCs/>
          <w:color w:val="000000" w:themeColor="text1"/>
          <w:lang w:val="es-PR"/>
        </w:rPr>
        <w:tab/>
        <w:t>(a)</w:t>
      </w:r>
      <w:r w:rsidR="003F5C00" w:rsidRPr="00B00197">
        <w:rPr>
          <w:rFonts w:ascii="Book Antiqua" w:hAnsi="Book Antiqua"/>
          <w:iCs/>
          <w:color w:val="000000" w:themeColor="text1"/>
          <w:lang w:val="es-PR"/>
        </w:rPr>
        <w:t>…</w:t>
      </w:r>
    </w:p>
    <w:p w14:paraId="2746569E" w14:textId="490AB6AA" w:rsidR="00F95F66" w:rsidRPr="00002768" w:rsidRDefault="00961A83" w:rsidP="00961A83">
      <w:pPr>
        <w:pStyle w:val="Textoindependiente"/>
        <w:ind w:left="720"/>
        <w:rPr>
          <w:rFonts w:ascii="Book Antiqua" w:hAnsi="Book Antiqua"/>
          <w:b/>
          <w:bCs/>
          <w:iCs/>
          <w:color w:val="000000" w:themeColor="text1"/>
          <w:lang w:val="es-PR"/>
        </w:rPr>
      </w:pPr>
      <w:r w:rsidRPr="00B00197">
        <w:rPr>
          <w:rFonts w:ascii="Book Antiqua" w:hAnsi="Book Antiqua"/>
          <w:iCs/>
          <w:color w:val="000000" w:themeColor="text1"/>
          <w:lang w:val="es-PR"/>
        </w:rPr>
        <w:t xml:space="preserve">(b) </w:t>
      </w:r>
      <w:r w:rsidR="00B63FFD" w:rsidRPr="00002768">
        <w:rPr>
          <w:rFonts w:ascii="Book Antiqua" w:hAnsi="Book Antiqua"/>
          <w:b/>
          <w:bCs/>
          <w:iCs/>
          <w:color w:val="000000" w:themeColor="text1"/>
          <w:lang w:val="es-PR"/>
        </w:rPr>
        <w:t>[</w:t>
      </w:r>
      <w:r w:rsidR="00F95F66" w:rsidRPr="00002768">
        <w:rPr>
          <w:rFonts w:ascii="Book Antiqua" w:hAnsi="Book Antiqua"/>
          <w:b/>
          <w:bCs/>
          <w:iCs/>
          <w:color w:val="000000" w:themeColor="text1"/>
          <w:lang w:val="es-PR"/>
        </w:rPr>
        <w:t xml:space="preserve">Comenzando con el Año Fiscal 95-96, el “Fondo Presupuestario” será capitalizado anualmente por una cantidad no menor a un tercio (0.33) del uno por ciento (1%) del total de la Resolución Conjunta del Presupuesto. A partir del Año Fiscal 1999-2000, dicha aportación será de una cantidad no menor del uno por ciento (1%) del total de las rentas netas del año fiscal anterior. Además, se ordena que a partir del Año Fiscal 1999-2000, todos los ingresos que no constituyen rentas netas al Fondo General que no estén destinadas por ley a un </w:t>
      </w:r>
      <w:r w:rsidR="00F95F66" w:rsidRPr="00002768">
        <w:rPr>
          <w:rFonts w:ascii="Book Antiqua" w:hAnsi="Book Antiqua"/>
          <w:b/>
          <w:bCs/>
          <w:iCs/>
          <w:color w:val="000000" w:themeColor="text1"/>
          <w:lang w:val="es-PR"/>
        </w:rPr>
        <w:lastRenderedPageBreak/>
        <w:t xml:space="preserve">fin específico ingresen al Fondo Presupuestario. El Gobernador de Puerto Rico y el </w:t>
      </w:r>
      <w:proofErr w:type="gramStart"/>
      <w:r w:rsidR="00F95F66" w:rsidRPr="00002768">
        <w:rPr>
          <w:rFonts w:ascii="Book Antiqua" w:hAnsi="Book Antiqua"/>
          <w:b/>
          <w:bCs/>
          <w:iCs/>
          <w:color w:val="000000" w:themeColor="text1"/>
          <w:lang w:val="es-PR"/>
        </w:rPr>
        <w:t>Director</w:t>
      </w:r>
      <w:proofErr w:type="gramEnd"/>
      <w:r w:rsidR="00F95F66" w:rsidRPr="00002768">
        <w:rPr>
          <w:rFonts w:ascii="Book Antiqua" w:hAnsi="Book Antiqua"/>
          <w:b/>
          <w:bCs/>
          <w:iCs/>
          <w:color w:val="000000" w:themeColor="text1"/>
          <w:lang w:val="es-PR"/>
        </w:rPr>
        <w:t xml:space="preserve"> de la Oficina por delegación del primero, podrá ordenar el ingreso de cualesquiera fuentes de ingreso en el Fondo de una cantidad mayor a la aquí fijada cuando así lo creyere conveniente. De igual forma, se podrá incluir, como parte del presupuesto de cada año fiscal, una asignación para nutrir el Fondo. A modo de excepción, durante el Año Fiscal 2014-2015 y el Año Fiscal 2016 2017, no ingresarán al Fondo Presupuestario los recursos dispuestos para su capitalización provenientes de la aplicación del porcentaje del total de las rentas netas del año fiscal anterior y de ingresos que no constituyen rentas netas. Ello sin que se entienda esto como una limitación a la facultad de la Asamblea Legislativa para proveer o autorizar otros mecanismos para nutrir el Fondo Presupuestario. El balance máximo de dicho fondo no excederá del seis por ciento (6%) de los fondos totales por todos los conceptos asignados en la Resolución Conjunta del Presupuesto para el año en que se ordene el ingreso de dichos recursos al Fondo Presupuestario</w:t>
      </w:r>
      <w:r w:rsidR="00B63FFD" w:rsidRPr="00002768">
        <w:rPr>
          <w:rFonts w:ascii="Book Antiqua" w:hAnsi="Book Antiqua"/>
          <w:b/>
          <w:bCs/>
          <w:iCs/>
          <w:color w:val="000000" w:themeColor="text1"/>
          <w:lang w:val="es-PR"/>
        </w:rPr>
        <w:t>.]</w:t>
      </w:r>
    </w:p>
    <w:p w14:paraId="3E6ACF17" w14:textId="77777777" w:rsidR="00961A83" w:rsidRPr="00B00197" w:rsidRDefault="75900FA2" w:rsidP="00961A83">
      <w:pPr>
        <w:pStyle w:val="Textoindependiente"/>
        <w:ind w:left="720"/>
        <w:rPr>
          <w:rFonts w:ascii="Book Antiqua" w:hAnsi="Book Antiqua"/>
          <w:iCs/>
          <w:color w:val="000000" w:themeColor="text1"/>
          <w:lang w:val="es-PR"/>
        </w:rPr>
      </w:pPr>
      <w:r w:rsidRPr="00B00197">
        <w:rPr>
          <w:rFonts w:ascii="Book Antiqua" w:hAnsi="Book Antiqua"/>
          <w:i/>
          <w:color w:val="000000" w:themeColor="text1"/>
          <w:lang w:val="es-PR"/>
        </w:rPr>
        <w:t>Comenzando con el año fiscal 2025-2026 se</w:t>
      </w:r>
      <w:r w:rsidRPr="00B00197">
        <w:rPr>
          <w:rFonts w:ascii="Book Antiqua" w:hAnsi="Book Antiqua"/>
          <w:b/>
          <w:bCs/>
          <w:i/>
          <w:iCs/>
          <w:color w:val="000000" w:themeColor="text1"/>
          <w:lang w:val="es-PR"/>
        </w:rPr>
        <w:t xml:space="preserve"> </w:t>
      </w:r>
      <w:r w:rsidRPr="00B00197">
        <w:rPr>
          <w:rFonts w:ascii="Book Antiqua" w:hAnsi="Book Antiqua"/>
          <w:i/>
          <w:iCs/>
          <w:color w:val="000000" w:themeColor="text1"/>
          <w:lang w:val="es-PR"/>
        </w:rPr>
        <w:t xml:space="preserve">autoriza y crea un fondo de depósito del Gobierno de Puerto Rico, bajo la custodia del </w:t>
      </w:r>
      <w:proofErr w:type="gramStart"/>
      <w:r w:rsidRPr="00B00197">
        <w:rPr>
          <w:rFonts w:ascii="Book Antiqua" w:hAnsi="Book Antiqua"/>
          <w:i/>
          <w:iCs/>
          <w:color w:val="000000" w:themeColor="text1"/>
          <w:lang w:val="es-PR"/>
        </w:rPr>
        <w:t>Secretario</w:t>
      </w:r>
      <w:proofErr w:type="gramEnd"/>
      <w:r w:rsidRPr="00B00197">
        <w:rPr>
          <w:rFonts w:ascii="Book Antiqua" w:hAnsi="Book Antiqua"/>
          <w:i/>
          <w:iCs/>
          <w:color w:val="000000" w:themeColor="text1"/>
          <w:lang w:val="es-PR"/>
        </w:rPr>
        <w:t xml:space="preserve"> de Hacienda, que se denominará “Fondo de Reserva para la Estabilización Presupuestaria”</w:t>
      </w:r>
      <w:r w:rsidR="006C2BCB" w:rsidRPr="00B00197">
        <w:rPr>
          <w:rFonts w:ascii="Book Antiqua" w:hAnsi="Book Antiqua"/>
          <w:i/>
          <w:iCs/>
          <w:color w:val="000000" w:themeColor="text1"/>
          <w:lang w:val="es-PR"/>
        </w:rPr>
        <w:t xml:space="preserve"> (FREP)</w:t>
      </w:r>
      <w:r w:rsidRPr="00B00197">
        <w:rPr>
          <w:rFonts w:ascii="Book Antiqua" w:hAnsi="Book Antiqua"/>
          <w:i/>
          <w:iCs/>
          <w:color w:val="000000" w:themeColor="text1"/>
          <w:lang w:val="es-PR"/>
        </w:rPr>
        <w:t xml:space="preserve"> con el fin de fortalecer la resiliencia fiscal y responder adecuadamente a los ciclos de ingresos. El </w:t>
      </w:r>
      <w:r w:rsidR="006C2BCB" w:rsidRPr="00B00197">
        <w:rPr>
          <w:rFonts w:ascii="Book Antiqua" w:hAnsi="Book Antiqua"/>
          <w:i/>
          <w:iCs/>
          <w:color w:val="000000" w:themeColor="text1"/>
          <w:lang w:val="es-PR"/>
        </w:rPr>
        <w:t>FREP</w:t>
      </w:r>
      <w:r w:rsidR="008C3D0E" w:rsidRPr="00B00197" w:rsidDel="008C3D0E">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se establece como un fondo independiente dentro del Fondo General y se clasifica como un Fondo Gubernamental. El dinero depositado en este fondo, y los retiros solo podrán realizarse para los fines previstos en esta Ley. El balance máximo de dicho fondo no podrá </w:t>
      </w:r>
      <w:r w:rsidRPr="00B00197">
        <w:rPr>
          <w:rFonts w:ascii="Book Antiqua" w:hAnsi="Book Antiqua"/>
          <w:i/>
          <w:iCs/>
          <w:color w:val="000000" w:themeColor="text1"/>
          <w:lang w:val="es-PR"/>
        </w:rPr>
        <w:lastRenderedPageBreak/>
        <w:t xml:space="preserve">exceder una cantidad igual al </w:t>
      </w:r>
      <w:proofErr w:type="gramStart"/>
      <w:r w:rsidRPr="00B00197">
        <w:rPr>
          <w:rFonts w:ascii="Book Antiqua" w:hAnsi="Book Antiqua"/>
          <w:i/>
          <w:iCs/>
          <w:color w:val="000000" w:themeColor="text1"/>
          <w:lang w:val="es-PR"/>
        </w:rPr>
        <w:t>trece punto</w:t>
      </w:r>
      <w:proofErr w:type="gramEnd"/>
      <w:r w:rsidRPr="00B00197">
        <w:rPr>
          <w:rFonts w:ascii="Book Antiqua" w:hAnsi="Book Antiqua"/>
          <w:i/>
          <w:iCs/>
          <w:color w:val="000000" w:themeColor="text1"/>
          <w:lang w:val="es-PR"/>
        </w:rPr>
        <w:t xml:space="preserve"> cinco por ciento (13.5%) de los fondos totales del fondo general por todos los conceptos asignados en la Resolución Conjunta del Presupuesto para el año en que se ordene el ingreso de dichos recursos al </w:t>
      </w:r>
      <w:r w:rsidR="006C2BCB" w:rsidRPr="00B00197">
        <w:rPr>
          <w:rFonts w:ascii="Book Antiqua" w:hAnsi="Book Antiqua"/>
          <w:i/>
          <w:iCs/>
          <w:color w:val="000000" w:themeColor="text1"/>
          <w:lang w:val="es-PR"/>
        </w:rPr>
        <w:t>FREP</w:t>
      </w:r>
      <w:r w:rsidR="008C3D0E" w:rsidRPr="00B00197">
        <w:rPr>
          <w:rFonts w:ascii="Book Antiqua" w:hAnsi="Book Antiqua"/>
          <w:i/>
          <w:iCs/>
          <w:color w:val="000000" w:themeColor="text1"/>
          <w:lang w:val="es-PR"/>
        </w:rPr>
        <w:t xml:space="preserve"> Presupuestaria</w:t>
      </w:r>
      <w:r w:rsidRPr="00B00197">
        <w:rPr>
          <w:rFonts w:ascii="Book Antiqua" w:hAnsi="Book Antiqua"/>
          <w:i/>
          <w:iCs/>
          <w:color w:val="000000" w:themeColor="text1"/>
          <w:lang w:val="es-PR"/>
        </w:rPr>
        <w:t xml:space="preserve">. </w:t>
      </w:r>
    </w:p>
    <w:p w14:paraId="45FCEC68" w14:textId="37AE8D2D" w:rsidR="007126B8" w:rsidRPr="00B00197" w:rsidRDefault="671677D7" w:rsidP="00961A83">
      <w:pPr>
        <w:pStyle w:val="Textoindependiente"/>
        <w:ind w:left="720"/>
        <w:rPr>
          <w:rFonts w:ascii="Book Antiqua" w:hAnsi="Book Antiqua"/>
          <w:iCs/>
          <w:color w:val="000000" w:themeColor="text1"/>
          <w:lang w:val="es-PR"/>
        </w:rPr>
      </w:pPr>
      <w:r w:rsidRPr="00B00197">
        <w:rPr>
          <w:rFonts w:ascii="Book Antiqua" w:hAnsi="Book Antiqua"/>
          <w:i/>
          <w:iCs/>
          <w:color w:val="000000" w:themeColor="text1"/>
          <w:szCs w:val="24"/>
          <w:lang w:val="es-PR"/>
        </w:rPr>
        <w:t xml:space="preserve">El </w:t>
      </w:r>
      <w:r w:rsidR="006C2BCB" w:rsidRPr="00B00197">
        <w:rPr>
          <w:rFonts w:ascii="Book Antiqua" w:hAnsi="Book Antiqua"/>
          <w:i/>
          <w:iCs/>
          <w:color w:val="000000" w:themeColor="text1"/>
          <w:lang w:val="es-PR"/>
        </w:rPr>
        <w:t>FREP</w:t>
      </w:r>
      <w:r w:rsidR="008C3D0E" w:rsidRPr="00B00197">
        <w:rPr>
          <w:rFonts w:ascii="Book Antiqua" w:hAnsi="Book Antiqua"/>
          <w:i/>
          <w:iCs/>
          <w:color w:val="000000" w:themeColor="text1"/>
          <w:lang w:val="es-PR"/>
        </w:rPr>
        <w:t xml:space="preserve"> Presupuestaria</w:t>
      </w:r>
      <w:r w:rsidR="008C3D0E" w:rsidRPr="00B00197" w:rsidDel="008C3D0E">
        <w:rPr>
          <w:rFonts w:ascii="Book Antiqua" w:hAnsi="Book Antiqua"/>
          <w:i/>
          <w:iCs/>
          <w:color w:val="000000" w:themeColor="text1"/>
          <w:szCs w:val="24"/>
          <w:lang w:val="es-PR"/>
        </w:rPr>
        <w:t xml:space="preserve"> </w:t>
      </w:r>
      <w:r w:rsidRPr="00B00197">
        <w:rPr>
          <w:rFonts w:ascii="Book Antiqua" w:hAnsi="Book Antiqua"/>
          <w:i/>
          <w:iCs/>
          <w:color w:val="000000" w:themeColor="text1"/>
          <w:szCs w:val="24"/>
          <w:lang w:val="es-PR"/>
        </w:rPr>
        <w:t xml:space="preserve">será capitalizado con $729,000,000 en el año fiscal 2025-2026. </w:t>
      </w:r>
      <w:r w:rsidRPr="00B00197">
        <w:rPr>
          <w:rFonts w:ascii="Book Antiqua" w:hAnsi="Book Antiqua"/>
          <w:i/>
          <w:iCs/>
          <w:color w:val="000000" w:themeColor="text1"/>
          <w:lang w:val="es-PR"/>
        </w:rPr>
        <w:t xml:space="preserve">A partir del Año Fiscal 26-27, dicha aportación será de una cantidad igual al uno punto cuatro por ciento (1.4%) de los fondos totales por todos los conceptos asignados en la Resolución Conjunta del Presupuesto para el año en que se ordene el ingreso de dichos recursos, depositados anualmente hasta el año en que se alcance el balance de </w:t>
      </w:r>
      <w:proofErr w:type="gramStart"/>
      <w:r w:rsidRPr="00B00197">
        <w:rPr>
          <w:rFonts w:ascii="Book Antiqua" w:hAnsi="Book Antiqua"/>
          <w:i/>
          <w:iCs/>
          <w:color w:val="000000" w:themeColor="text1"/>
          <w:lang w:val="es-PR"/>
        </w:rPr>
        <w:t>trece punto</w:t>
      </w:r>
      <w:proofErr w:type="gramEnd"/>
      <w:r w:rsidRPr="00B00197">
        <w:rPr>
          <w:rFonts w:ascii="Book Antiqua" w:hAnsi="Book Antiqua"/>
          <w:i/>
          <w:iCs/>
          <w:color w:val="000000" w:themeColor="text1"/>
          <w:lang w:val="es-PR"/>
        </w:rPr>
        <w:t xml:space="preserve"> cinco por ciento (13.5%) del total de los fondos del fondo general para todas las partidas asignadas en la Resolución Conjunta del Presupuesto. Disponiéndose, sin embargo, que, si se cumplen las condiciones establecidas en </w:t>
      </w:r>
      <w:r w:rsidR="00EC5831" w:rsidRPr="00B00197">
        <w:rPr>
          <w:rFonts w:ascii="Book Antiqua" w:hAnsi="Book Antiqua"/>
          <w:i/>
          <w:iCs/>
          <w:color w:val="000000" w:themeColor="text1"/>
          <w:lang w:val="es-PR"/>
        </w:rPr>
        <w:t>el inciso (e) de este artículo</w:t>
      </w:r>
      <w:r w:rsidRPr="00B00197">
        <w:rPr>
          <w:rFonts w:ascii="Book Antiqua" w:hAnsi="Book Antiqua"/>
          <w:i/>
          <w:iCs/>
          <w:color w:val="000000" w:themeColor="text1"/>
          <w:lang w:val="es-PR"/>
        </w:rPr>
        <w:t xml:space="preserve"> y se autoriza el uso del </w:t>
      </w:r>
      <w:r w:rsidR="006C2BCB" w:rsidRPr="00B00197">
        <w:rPr>
          <w:rFonts w:ascii="Book Antiqua" w:hAnsi="Book Antiqua"/>
          <w:i/>
          <w:iCs/>
          <w:color w:val="000000" w:themeColor="text1"/>
          <w:lang w:val="es-PR"/>
        </w:rPr>
        <w:t>FREP</w:t>
      </w:r>
      <w:r w:rsidRPr="00B00197">
        <w:rPr>
          <w:rFonts w:ascii="Book Antiqua" w:hAnsi="Book Antiqua"/>
          <w:i/>
          <w:iCs/>
          <w:color w:val="000000" w:themeColor="text1"/>
          <w:lang w:val="es-PR"/>
        </w:rPr>
        <w:t xml:space="preserve">, dicho depósito anual de uno punto cuatro por ciento (1.4%) en ese año fiscal no será requerido, pero deberá efectuarse tan pronto como sea factible posteriormente y no más tarde de dos (2) años a partir de la fecha en que dicho depósito era exigible. Disponiéndose que los intereses generados, netos de cualquier servicio bancario relacionado a su custodia e inversión sobre los fondos depositados en el fondo de reserva presupuestaria, serán acreditados contra el uno punto cuatro (1.4%) a ser depositado anualmente. Una vez alcanzado el tope de </w:t>
      </w:r>
      <w:proofErr w:type="gramStart"/>
      <w:r w:rsidRPr="00B00197">
        <w:rPr>
          <w:rFonts w:ascii="Book Antiqua" w:hAnsi="Book Antiqua"/>
          <w:i/>
          <w:iCs/>
          <w:color w:val="000000" w:themeColor="text1"/>
          <w:lang w:val="es-PR"/>
        </w:rPr>
        <w:t>trece punto</w:t>
      </w:r>
      <w:proofErr w:type="gramEnd"/>
      <w:r w:rsidRPr="00B00197">
        <w:rPr>
          <w:rFonts w:ascii="Book Antiqua" w:hAnsi="Book Antiqua"/>
          <w:i/>
          <w:iCs/>
          <w:color w:val="000000" w:themeColor="text1"/>
          <w:lang w:val="es-PR"/>
        </w:rPr>
        <w:t xml:space="preserve"> cinco por ciento (13.5%) </w:t>
      </w:r>
      <w:proofErr w:type="gramStart"/>
      <w:r w:rsidRPr="00B00197">
        <w:rPr>
          <w:rFonts w:ascii="Book Antiqua" w:hAnsi="Book Antiqua"/>
          <w:i/>
          <w:iCs/>
          <w:color w:val="000000" w:themeColor="text1"/>
          <w:lang w:val="es-PR"/>
        </w:rPr>
        <w:t>los intereses generados en dicho fondo será</w:t>
      </w:r>
      <w:proofErr w:type="gramEnd"/>
      <w:r w:rsidRPr="00B00197">
        <w:rPr>
          <w:rFonts w:ascii="Book Antiqua" w:hAnsi="Book Antiqua"/>
          <w:i/>
          <w:iCs/>
          <w:color w:val="000000" w:themeColor="text1"/>
          <w:lang w:val="es-PR"/>
        </w:rPr>
        <w:t xml:space="preserve"> depositado en su totalidad al Fondo General.  El Fondo Presupuestario dejará de existir al 1 de julio de 2026 y todos sus depósitos, dineros, balances y cuentas serán transferidos al Fondo de Reserva para la Estabilización </w:t>
      </w:r>
      <w:r w:rsidRPr="00B00197">
        <w:rPr>
          <w:rFonts w:ascii="Book Antiqua" w:hAnsi="Book Antiqua"/>
          <w:i/>
          <w:iCs/>
          <w:color w:val="000000" w:themeColor="text1"/>
          <w:lang w:val="es-PR"/>
        </w:rPr>
        <w:lastRenderedPageBreak/>
        <w:t xml:space="preserve">Presupuestaria. </w:t>
      </w:r>
      <w:r w:rsidR="00976DDA" w:rsidRPr="00B00197">
        <w:rPr>
          <w:rFonts w:ascii="Book Antiqua" w:hAnsi="Book Antiqua"/>
          <w:i/>
          <w:iCs/>
          <w:color w:val="000000" w:themeColor="text1"/>
          <w:lang w:val="es-PR"/>
        </w:rPr>
        <w:t xml:space="preserve">A partir del inicio del Año Fiscal 2026-2027 y sujeto a las capacidades de los ingresos del Gobierno de Puerto Rico, gradual pero incrementalmente, en una base anual, se separarán los fondos necesarios para que en o antes del 30 de junio de 2032 el “Fondo de Reserva para la Estabilización Presupuestaria” sea el trece punto cinco por ciento (13.5%) </w:t>
      </w:r>
      <w:r w:rsidR="00976DDA" w:rsidRPr="00B00197">
        <w:rPr>
          <w:rFonts w:ascii="Book Antiqua" w:eastAsia="Book Antiqua" w:hAnsi="Book Antiqua" w:cs="Book Antiqua"/>
          <w:i/>
          <w:iCs/>
          <w:color w:val="000000" w:themeColor="text1"/>
          <w:szCs w:val="24"/>
          <w:lang w:val="es-PR"/>
        </w:rPr>
        <w:t>de los fondos totales del fondo general por todos los conceptos asignados en la Resolución Conjunta del Presupuesto para el año fiscal correspondiente.</w:t>
      </w:r>
    </w:p>
    <w:p w14:paraId="4936CDDF" w14:textId="049BC17C" w:rsidR="00961A83" w:rsidRPr="00B00197" w:rsidRDefault="00961A83" w:rsidP="00961A83">
      <w:pPr>
        <w:pStyle w:val="Textoindependiente"/>
        <w:rPr>
          <w:rFonts w:ascii="Book Antiqua" w:hAnsi="Book Antiqua"/>
          <w:color w:val="000000" w:themeColor="text1"/>
          <w:szCs w:val="24"/>
          <w:lang w:val="es-PR"/>
        </w:rPr>
      </w:pPr>
      <w:r w:rsidRPr="00B00197">
        <w:rPr>
          <w:rFonts w:ascii="Book Antiqua" w:hAnsi="Book Antiqua"/>
          <w:color w:val="000000" w:themeColor="text1"/>
          <w:szCs w:val="24"/>
          <w:lang w:val="es-PR"/>
        </w:rPr>
        <w:tab/>
      </w:r>
      <w:r w:rsidRPr="00B00197">
        <w:rPr>
          <w:rFonts w:ascii="Book Antiqua" w:hAnsi="Book Antiqua"/>
          <w:color w:val="000000" w:themeColor="text1"/>
          <w:szCs w:val="24"/>
          <w:lang w:val="es-PR"/>
        </w:rPr>
        <w:tab/>
        <w:t>(c)….</w:t>
      </w:r>
    </w:p>
    <w:p w14:paraId="201DF0F8" w14:textId="1C8C718F" w:rsidR="00961A83" w:rsidRPr="00B00197" w:rsidRDefault="00961A83" w:rsidP="00961A83">
      <w:pPr>
        <w:pStyle w:val="Textoindependiente"/>
        <w:rPr>
          <w:rFonts w:ascii="Book Antiqua" w:hAnsi="Book Antiqua"/>
          <w:color w:val="000000" w:themeColor="text1"/>
          <w:lang w:val="es-PR"/>
        </w:rPr>
      </w:pPr>
      <w:r w:rsidRPr="00B00197">
        <w:rPr>
          <w:rFonts w:ascii="Book Antiqua" w:hAnsi="Book Antiqua"/>
          <w:color w:val="000000" w:themeColor="text1"/>
          <w:szCs w:val="24"/>
          <w:lang w:val="es-PR"/>
        </w:rPr>
        <w:tab/>
      </w:r>
      <w:r w:rsidRPr="00B00197">
        <w:rPr>
          <w:rFonts w:ascii="Book Antiqua" w:hAnsi="Book Antiqua"/>
          <w:color w:val="000000" w:themeColor="text1"/>
          <w:szCs w:val="24"/>
          <w:lang w:val="es-PR"/>
        </w:rPr>
        <w:tab/>
        <w:t>(d)…</w:t>
      </w:r>
    </w:p>
    <w:p w14:paraId="57812091" w14:textId="26ACCC78" w:rsidR="00ED0284" w:rsidRPr="00B00197" w:rsidRDefault="007126B8" w:rsidP="00961A83">
      <w:pPr>
        <w:pStyle w:val="Textoindependiente"/>
        <w:ind w:left="720"/>
        <w:rPr>
          <w:rFonts w:ascii="Book Antiqua" w:hAnsi="Book Antiqua"/>
          <w:i/>
          <w:iCs/>
          <w:color w:val="000000" w:themeColor="text1"/>
          <w:lang w:val="es-PR"/>
        </w:rPr>
      </w:pPr>
      <w:r w:rsidRPr="00B00197">
        <w:rPr>
          <w:rFonts w:ascii="Book Antiqua" w:hAnsi="Book Antiqua"/>
          <w:color w:val="000000" w:themeColor="text1"/>
          <w:lang w:val="es-PR"/>
        </w:rPr>
        <w:t xml:space="preserve">(e) </w:t>
      </w:r>
      <w:r w:rsidR="005D644C" w:rsidRPr="00B00197">
        <w:rPr>
          <w:rFonts w:ascii="Book Antiqua" w:hAnsi="Book Antiqua"/>
          <w:color w:val="000000" w:themeColor="text1"/>
          <w:lang w:val="es-PR"/>
        </w:rPr>
        <w:t>El</w:t>
      </w:r>
      <w:r w:rsidR="00961A83" w:rsidRPr="00B00197">
        <w:rPr>
          <w:rFonts w:ascii="Book Antiqua" w:hAnsi="Book Antiqua"/>
          <w:i/>
          <w:iCs/>
          <w:color w:val="000000" w:themeColor="text1"/>
          <w:lang w:val="es-PR"/>
        </w:rPr>
        <w:t>/</w:t>
      </w:r>
      <w:r w:rsidR="005D644C" w:rsidRPr="00B00197">
        <w:rPr>
          <w:rFonts w:ascii="Book Antiqua" w:hAnsi="Book Antiqua"/>
          <w:i/>
          <w:iCs/>
          <w:color w:val="000000" w:themeColor="text1"/>
          <w:lang w:val="es-PR"/>
        </w:rPr>
        <w:t>la</w:t>
      </w:r>
      <w:r w:rsidRPr="00B00197">
        <w:rPr>
          <w:rFonts w:ascii="Book Antiqua" w:hAnsi="Book Antiqua"/>
          <w:i/>
          <w:iCs/>
          <w:color w:val="000000" w:themeColor="text1"/>
          <w:lang w:val="es-PR"/>
        </w:rPr>
        <w:t xml:space="preserve"> </w:t>
      </w:r>
      <w:r w:rsidRPr="00B00197">
        <w:rPr>
          <w:rFonts w:ascii="Book Antiqua" w:hAnsi="Book Antiqua"/>
          <w:color w:val="000000" w:themeColor="text1"/>
          <w:lang w:val="es-PR"/>
        </w:rPr>
        <w:t>Gobernador</w:t>
      </w:r>
      <w:r w:rsidR="005D644C" w:rsidRPr="00B00197">
        <w:rPr>
          <w:rFonts w:ascii="Book Antiqua" w:hAnsi="Book Antiqua"/>
          <w:i/>
          <w:iCs/>
          <w:color w:val="000000" w:themeColor="text1"/>
          <w:lang w:val="es-PR"/>
        </w:rPr>
        <w:t>(a)</w:t>
      </w:r>
      <w:r w:rsidRPr="00B00197">
        <w:rPr>
          <w:rFonts w:ascii="Book Antiqua" w:hAnsi="Book Antiqua"/>
          <w:i/>
          <w:iCs/>
          <w:color w:val="000000" w:themeColor="text1"/>
          <w:lang w:val="es-PR"/>
        </w:rPr>
        <w:t xml:space="preserve"> </w:t>
      </w:r>
      <w:r w:rsidRPr="00B00197">
        <w:rPr>
          <w:rFonts w:ascii="Book Antiqua" w:hAnsi="Book Antiqua"/>
          <w:color w:val="000000" w:themeColor="text1"/>
          <w:lang w:val="es-PR"/>
        </w:rPr>
        <w:t>queda por la presente autorizad</w:t>
      </w:r>
      <w:r w:rsidR="005D644C" w:rsidRPr="00B00197">
        <w:rPr>
          <w:rFonts w:ascii="Book Antiqua" w:hAnsi="Book Antiqua"/>
          <w:color w:val="000000" w:themeColor="text1"/>
          <w:lang w:val="es-PR"/>
        </w:rPr>
        <w:t>o</w:t>
      </w:r>
      <w:r w:rsidR="005D644C" w:rsidRPr="00B00197">
        <w:rPr>
          <w:rFonts w:ascii="Book Antiqua" w:hAnsi="Book Antiqua"/>
          <w:i/>
          <w:iCs/>
          <w:color w:val="000000" w:themeColor="text1"/>
          <w:lang w:val="es-PR"/>
        </w:rPr>
        <w:t>(a)</w:t>
      </w:r>
      <w:r w:rsidRPr="00B00197">
        <w:rPr>
          <w:rFonts w:ascii="Book Antiqua" w:hAnsi="Book Antiqua"/>
          <w:color w:val="000000" w:themeColor="text1"/>
          <w:lang w:val="es-PR"/>
        </w:rPr>
        <w:t xml:space="preserve"> a ordenar el uso de los recursos del </w:t>
      </w:r>
      <w:r w:rsidR="003E03FA" w:rsidRPr="00B00197">
        <w:rPr>
          <w:rFonts w:ascii="Book Antiqua" w:hAnsi="Book Antiqua"/>
          <w:i/>
          <w:color w:val="000000" w:themeColor="text1"/>
          <w:lang w:val="es-PR"/>
        </w:rPr>
        <w:t xml:space="preserve">Fondo de Reserva </w:t>
      </w:r>
      <w:r w:rsidR="003E03FA" w:rsidRPr="00B00197">
        <w:rPr>
          <w:rFonts w:ascii="Book Antiqua" w:hAnsi="Book Antiqua"/>
          <w:i/>
          <w:iCs/>
          <w:color w:val="000000" w:themeColor="text1"/>
          <w:lang w:val="es-PR"/>
        </w:rPr>
        <w:t xml:space="preserve">para la Estabilización </w:t>
      </w:r>
      <w:r w:rsidR="003E03FA" w:rsidRPr="00B00197">
        <w:rPr>
          <w:rFonts w:ascii="Book Antiqua" w:hAnsi="Book Antiqua"/>
          <w:i/>
          <w:color w:val="000000" w:themeColor="text1"/>
          <w:lang w:val="es-PR"/>
        </w:rPr>
        <w:t>Presupuestaria</w:t>
      </w:r>
      <w:r w:rsidR="003E03FA" w:rsidRPr="00B00197" w:rsidDel="003E03FA">
        <w:rPr>
          <w:rFonts w:ascii="Book Antiqua" w:hAnsi="Book Antiqua"/>
          <w:color w:val="000000" w:themeColor="text1"/>
          <w:lang w:val="es-PR"/>
        </w:rPr>
        <w:t xml:space="preserve"> </w:t>
      </w:r>
      <w:r w:rsidRPr="00B00197">
        <w:rPr>
          <w:rFonts w:ascii="Book Antiqua" w:hAnsi="Book Antiqua"/>
          <w:color w:val="000000" w:themeColor="text1"/>
          <w:lang w:val="es-PR"/>
        </w:rPr>
        <w:t>que sean necesarios para atender tales situaciones. Se</w:t>
      </w:r>
      <w:r w:rsidRPr="00B00197">
        <w:rPr>
          <w:rFonts w:ascii="Book Antiqua" w:hAnsi="Book Antiqua"/>
          <w:i/>
          <w:iCs/>
          <w:color w:val="000000" w:themeColor="text1"/>
          <w:lang w:val="es-PR"/>
        </w:rPr>
        <w:t xml:space="preserve"> autoriza el uso de las cantidades disponibles en </w:t>
      </w:r>
      <w:r w:rsidR="00185D63" w:rsidRPr="00B00197">
        <w:rPr>
          <w:rFonts w:ascii="Book Antiqua" w:hAnsi="Book Antiqua"/>
          <w:i/>
          <w:iCs/>
          <w:color w:val="000000" w:themeColor="text1"/>
          <w:lang w:val="es-PR"/>
        </w:rPr>
        <w:t xml:space="preserve">el Fondo de Reserva para la Estabilización Presupuestaria </w:t>
      </w:r>
      <w:r w:rsidRPr="00B00197">
        <w:rPr>
          <w:rFonts w:ascii="Book Antiqua" w:hAnsi="Book Antiqua"/>
          <w:i/>
          <w:iCs/>
          <w:color w:val="000000" w:themeColor="text1"/>
          <w:lang w:val="es-PR"/>
        </w:rPr>
        <w:t xml:space="preserve">sólo si se cumple una de las siguientes condiciones: </w:t>
      </w:r>
    </w:p>
    <w:p w14:paraId="759539E8" w14:textId="3F13DA31" w:rsidR="004D769F" w:rsidRPr="00B00197" w:rsidRDefault="00ED0284" w:rsidP="00961A83">
      <w:pPr>
        <w:pStyle w:val="Textoindependiente"/>
        <w:ind w:left="720"/>
        <w:rPr>
          <w:rFonts w:ascii="Book Antiqua" w:hAnsi="Book Antiqua"/>
          <w:i/>
          <w:iCs/>
          <w:color w:val="000000" w:themeColor="text1"/>
          <w:lang w:val="es-PR"/>
        </w:rPr>
      </w:pPr>
      <w:r w:rsidRPr="00B00197">
        <w:rPr>
          <w:rFonts w:ascii="Book Antiqua" w:hAnsi="Book Antiqua"/>
          <w:i/>
          <w:iCs/>
          <w:color w:val="000000" w:themeColor="text1"/>
          <w:lang w:val="es-PR"/>
        </w:rPr>
        <w:t xml:space="preserve">(i) Un déficit de reservas no atribuible a incrementos presupuestarios o cambios en legislación contributiva, o a cambios en la política pública fiscal del Gobierno de Puerto Rico. Si los ingresos reales del fondo general del Gobierno de Puerto Rico son inferiores al nivel sobre el cual se aprobó un presupuesto balanceado del Fondo General para ese año en al menos un dos por ciento (2%), y el déficit no puede atribuirse a legislación sobre cambios en la base </w:t>
      </w:r>
      <w:r w:rsidR="008B33B2" w:rsidRPr="00B00197">
        <w:rPr>
          <w:rFonts w:ascii="Book Antiqua" w:hAnsi="Book Antiqua"/>
          <w:i/>
          <w:iCs/>
          <w:color w:val="000000" w:themeColor="text1"/>
          <w:lang w:val="es-PR"/>
        </w:rPr>
        <w:t>contributiva, por</w:t>
      </w:r>
      <w:r w:rsidRPr="00B00197">
        <w:rPr>
          <w:rFonts w:ascii="Book Antiqua" w:hAnsi="Book Antiqua"/>
          <w:i/>
          <w:iCs/>
          <w:color w:val="000000" w:themeColor="text1"/>
          <w:lang w:val="es-PR"/>
        </w:rPr>
        <w:t xml:space="preserve"> ajustes a las tasas </w:t>
      </w:r>
      <w:proofErr w:type="gramStart"/>
      <w:r w:rsidRPr="00B00197">
        <w:rPr>
          <w:rFonts w:ascii="Book Antiqua" w:hAnsi="Book Antiqua"/>
          <w:i/>
          <w:iCs/>
          <w:color w:val="000000" w:themeColor="text1"/>
          <w:lang w:val="es-PR"/>
        </w:rPr>
        <w:t>contributivas,  u</w:t>
      </w:r>
      <w:proofErr w:type="gramEnd"/>
      <w:r w:rsidRPr="00B00197">
        <w:rPr>
          <w:rFonts w:ascii="Book Antiqua" w:hAnsi="Book Antiqua"/>
          <w:i/>
          <w:iCs/>
          <w:color w:val="000000" w:themeColor="text1"/>
          <w:lang w:val="es-PR"/>
        </w:rPr>
        <w:t xml:space="preserve"> otras tarifas aplicables sobre las cuales se elaboró el estimado del Fondo General.</w:t>
      </w:r>
    </w:p>
    <w:p w14:paraId="7F5894F9" w14:textId="32363D62" w:rsidR="00927DE3" w:rsidRPr="00B00197" w:rsidRDefault="004D769F" w:rsidP="003E1EB4">
      <w:pPr>
        <w:pStyle w:val="Textoindependiente"/>
        <w:ind w:left="720"/>
        <w:rPr>
          <w:rFonts w:ascii="Book Antiqua" w:hAnsi="Book Antiqua"/>
          <w:color w:val="000000" w:themeColor="text1"/>
          <w:lang w:val="es-PR"/>
        </w:rPr>
      </w:pPr>
      <w:r w:rsidRPr="00B00197">
        <w:rPr>
          <w:rFonts w:ascii="Book Antiqua" w:hAnsi="Book Antiqua"/>
          <w:i/>
          <w:iCs/>
          <w:color w:val="000000" w:themeColor="text1"/>
          <w:lang w:val="es-PR"/>
        </w:rPr>
        <w:t>(ii) Eventos extraordinarios o catastróficos</w:t>
      </w:r>
      <w:r w:rsidR="00EF442B" w:rsidRPr="00B00197">
        <w:rPr>
          <w:rFonts w:ascii="Book Antiqua" w:hAnsi="Book Antiqua"/>
          <w:i/>
          <w:iCs/>
          <w:color w:val="000000" w:themeColor="text1"/>
          <w:lang w:val="es-PR"/>
        </w:rPr>
        <w:t xml:space="preserve">, </w:t>
      </w:r>
      <w:r w:rsidR="00EF442B" w:rsidRPr="00B00197">
        <w:rPr>
          <w:rFonts w:ascii="Book Antiqua" w:hAnsi="Book Antiqua"/>
          <w:i/>
          <w:color w:val="000000" w:themeColor="text1"/>
          <w:lang w:val="es-PR"/>
        </w:rPr>
        <w:t>excluyendo aquellos eventos que correspondan a los propósitos del Fondo de Reserva de Emergencia</w:t>
      </w:r>
      <w:r w:rsidRPr="00B00197">
        <w:rPr>
          <w:rFonts w:ascii="Book Antiqua" w:hAnsi="Book Antiqua"/>
          <w:i/>
          <w:color w:val="000000" w:themeColor="text1"/>
          <w:lang w:val="es-PR"/>
        </w:rPr>
        <w:t xml:space="preserve"> </w:t>
      </w:r>
      <w:r w:rsidRPr="00B00197">
        <w:rPr>
          <w:rFonts w:ascii="Book Antiqua" w:hAnsi="Book Antiqua"/>
          <w:i/>
          <w:iCs/>
          <w:color w:val="000000" w:themeColor="text1"/>
          <w:lang w:val="es-PR"/>
        </w:rPr>
        <w:t>y</w:t>
      </w:r>
      <w:r w:rsidRPr="00B00197">
        <w:rPr>
          <w:rFonts w:ascii="Book Antiqua" w:hAnsi="Book Antiqua"/>
          <w:color w:val="000000" w:themeColor="text1"/>
          <w:lang w:val="es-PR"/>
        </w:rPr>
        <w:t xml:space="preserve"> </w:t>
      </w:r>
    </w:p>
    <w:p w14:paraId="4BBEFC5E" w14:textId="55B42F1C" w:rsidR="004D769F" w:rsidRPr="00B00197" w:rsidRDefault="003E1EB4" w:rsidP="003E1EB4">
      <w:pPr>
        <w:pStyle w:val="Textoindependiente"/>
        <w:ind w:left="720"/>
        <w:rPr>
          <w:rFonts w:ascii="Book Antiqua" w:hAnsi="Book Antiqua"/>
          <w:i/>
          <w:iCs/>
          <w:color w:val="000000" w:themeColor="text1"/>
          <w:lang w:val="es-PR"/>
        </w:rPr>
      </w:pPr>
      <w:r w:rsidRPr="00B00197">
        <w:rPr>
          <w:rFonts w:ascii="Book Antiqua" w:hAnsi="Book Antiqua"/>
          <w:i/>
          <w:iCs/>
          <w:color w:val="000000" w:themeColor="text1"/>
          <w:lang w:val="es-PR"/>
        </w:rPr>
        <w:lastRenderedPageBreak/>
        <w:t>El/la</w:t>
      </w:r>
      <w:r w:rsidR="00927DE3" w:rsidRPr="00B00197">
        <w:rPr>
          <w:rFonts w:ascii="Book Antiqua" w:hAnsi="Book Antiqua"/>
          <w:i/>
          <w:iCs/>
          <w:color w:val="000000" w:themeColor="text1"/>
          <w:lang w:val="es-PR"/>
        </w:rPr>
        <w:t xml:space="preserve"> Gobernador</w:t>
      </w:r>
      <w:r w:rsidRPr="00B00197">
        <w:rPr>
          <w:rFonts w:ascii="Book Antiqua" w:hAnsi="Book Antiqua"/>
          <w:i/>
          <w:iCs/>
          <w:color w:val="000000" w:themeColor="text1"/>
          <w:lang w:val="es-PR"/>
        </w:rPr>
        <w:t>(a)</w:t>
      </w:r>
      <w:r w:rsidR="00927DE3" w:rsidRPr="00B00197">
        <w:rPr>
          <w:rFonts w:ascii="Book Antiqua" w:hAnsi="Book Antiqua"/>
          <w:i/>
          <w:iCs/>
          <w:color w:val="000000" w:themeColor="text1"/>
          <w:lang w:val="es-PR"/>
        </w:rPr>
        <w:t xml:space="preserve"> deberá certificar que ha considerado otras opciones para reducir gastos o aumentar ingresos de modo que el Fondo General no refleje un déficit cuando se informe conforme a los principios de contabilidad generalmente aceptados bajo normas contables de ‘modified accrual’ y </w:t>
      </w:r>
      <w:r w:rsidRPr="00B00197">
        <w:rPr>
          <w:rFonts w:ascii="Book Antiqua" w:hAnsi="Book Antiqua"/>
          <w:i/>
          <w:iCs/>
          <w:color w:val="000000" w:themeColor="text1"/>
          <w:lang w:val="es-PR"/>
        </w:rPr>
        <w:t>el/la</w:t>
      </w:r>
      <w:r w:rsidR="00927DE3" w:rsidRPr="00B00197">
        <w:rPr>
          <w:rFonts w:ascii="Book Antiqua" w:hAnsi="Book Antiqua"/>
          <w:i/>
          <w:iCs/>
          <w:color w:val="000000" w:themeColor="text1"/>
          <w:lang w:val="es-PR"/>
        </w:rPr>
        <w:t xml:space="preserve"> Gobernador</w:t>
      </w:r>
      <w:r w:rsidRPr="00B00197">
        <w:rPr>
          <w:rFonts w:ascii="Book Antiqua" w:hAnsi="Book Antiqua"/>
          <w:i/>
          <w:iCs/>
          <w:color w:val="000000" w:themeColor="text1"/>
          <w:lang w:val="es-PR"/>
        </w:rPr>
        <w:t>(</w:t>
      </w:r>
      <w:r w:rsidR="00927DE3" w:rsidRPr="00B00197">
        <w:rPr>
          <w:rFonts w:ascii="Book Antiqua" w:hAnsi="Book Antiqua"/>
          <w:i/>
          <w:iCs/>
          <w:color w:val="000000" w:themeColor="text1"/>
          <w:lang w:val="es-PR"/>
        </w:rPr>
        <w:t>a</w:t>
      </w:r>
      <w:r w:rsidRPr="00B00197">
        <w:rPr>
          <w:rFonts w:ascii="Book Antiqua" w:hAnsi="Book Antiqua"/>
          <w:i/>
          <w:iCs/>
          <w:color w:val="000000" w:themeColor="text1"/>
          <w:lang w:val="es-PR"/>
        </w:rPr>
        <w:t>)</w:t>
      </w:r>
      <w:r w:rsidR="00927DE3" w:rsidRPr="00B00197">
        <w:rPr>
          <w:rFonts w:ascii="Book Antiqua" w:hAnsi="Book Antiqua"/>
          <w:i/>
          <w:iCs/>
          <w:color w:val="000000" w:themeColor="text1"/>
          <w:lang w:val="es-PR"/>
        </w:rPr>
        <w:t xml:space="preserve"> ha determinado que dichas opciones serían perjudiciales para la salud, el bienestar, la seguridad y la estabilidad fiscal del Gobierno de Puerto Rico.”</w:t>
      </w:r>
    </w:p>
    <w:p w14:paraId="506A669C" w14:textId="65DDA7A6" w:rsidR="00CC218D" w:rsidRPr="00B00197" w:rsidRDefault="00761479" w:rsidP="003E1EB4">
      <w:pPr>
        <w:pStyle w:val="Textoindependiente"/>
        <w:ind w:left="720"/>
        <w:rPr>
          <w:rFonts w:ascii="Book Antiqua" w:hAnsi="Book Antiqua"/>
          <w:i/>
          <w:iCs/>
          <w:color w:val="000000" w:themeColor="text1"/>
          <w:lang w:val="es-PR"/>
        </w:rPr>
      </w:pPr>
      <w:r w:rsidRPr="00B00197">
        <w:rPr>
          <w:rFonts w:ascii="Book Antiqua" w:hAnsi="Book Antiqua"/>
          <w:i/>
          <w:iCs/>
          <w:color w:val="000000" w:themeColor="text1"/>
          <w:lang w:val="es-PR"/>
        </w:rPr>
        <w:t xml:space="preserve">Cuando cualquiera de estas condiciones se cumpla, el </w:t>
      </w:r>
      <w:proofErr w:type="gramStart"/>
      <w:r w:rsidRPr="00B00197">
        <w:rPr>
          <w:rFonts w:ascii="Book Antiqua" w:hAnsi="Book Antiqua"/>
          <w:i/>
          <w:iCs/>
          <w:color w:val="000000" w:themeColor="text1"/>
          <w:lang w:val="es-PR"/>
        </w:rPr>
        <w:t>Director</w:t>
      </w:r>
      <w:proofErr w:type="gramEnd"/>
      <w:r w:rsidRPr="00B00197">
        <w:rPr>
          <w:rFonts w:ascii="Book Antiqua" w:hAnsi="Book Antiqua"/>
          <w:i/>
          <w:iCs/>
          <w:color w:val="000000" w:themeColor="text1"/>
          <w:lang w:val="es-PR"/>
        </w:rPr>
        <w:t xml:space="preserve"> de la Oficina de Gerencia y Presupuesto podrá autorizar y ordenar al </w:t>
      </w:r>
      <w:proofErr w:type="gramStart"/>
      <w:r w:rsidRPr="00B00197">
        <w:rPr>
          <w:rFonts w:ascii="Book Antiqua" w:hAnsi="Book Antiqua"/>
          <w:i/>
          <w:iCs/>
          <w:color w:val="000000" w:themeColor="text1"/>
          <w:lang w:val="es-PR"/>
        </w:rPr>
        <w:t>Secretario</w:t>
      </w:r>
      <w:proofErr w:type="gramEnd"/>
      <w:r w:rsidRPr="00B00197">
        <w:rPr>
          <w:rFonts w:ascii="Book Antiqua" w:hAnsi="Book Antiqua"/>
          <w:i/>
          <w:iCs/>
          <w:color w:val="000000" w:themeColor="text1"/>
          <w:lang w:val="es-PR"/>
        </w:rPr>
        <w:t xml:space="preserve"> de Hacienda que transfiera del </w:t>
      </w:r>
      <w:r w:rsidR="006C2BCB" w:rsidRPr="00B00197">
        <w:rPr>
          <w:rFonts w:ascii="Book Antiqua" w:hAnsi="Book Antiqua"/>
          <w:i/>
          <w:iCs/>
          <w:color w:val="000000" w:themeColor="text1"/>
          <w:lang w:val="es-PR"/>
        </w:rPr>
        <w:t>FREP</w:t>
      </w:r>
      <w:r w:rsidRPr="00B00197">
        <w:rPr>
          <w:rFonts w:ascii="Book Antiqua" w:hAnsi="Book Antiqua"/>
          <w:i/>
          <w:iCs/>
          <w:color w:val="000000" w:themeColor="text1"/>
          <w:lang w:val="es-PR"/>
        </w:rPr>
        <w:t xml:space="preserve"> las cantidades que el </w:t>
      </w:r>
      <w:proofErr w:type="gramStart"/>
      <w:r w:rsidRPr="00B00197">
        <w:rPr>
          <w:rFonts w:ascii="Book Antiqua" w:hAnsi="Book Antiqua"/>
          <w:i/>
          <w:iCs/>
          <w:color w:val="000000" w:themeColor="text1"/>
          <w:lang w:val="es-PR"/>
        </w:rPr>
        <w:t>Director</w:t>
      </w:r>
      <w:proofErr w:type="gramEnd"/>
      <w:r w:rsidRPr="00B00197">
        <w:rPr>
          <w:rFonts w:ascii="Book Antiqua" w:hAnsi="Book Antiqua"/>
          <w:i/>
          <w:iCs/>
          <w:color w:val="000000" w:themeColor="text1"/>
          <w:lang w:val="es-PR"/>
        </w:rPr>
        <w:t xml:space="preserve"> de la Oficina de Gerencia y Presupuesto considere necesarias para cumplir con los requisitos del presupuesto aprobado. Para las condiciones conforme al inciso (e)(i), el </w:t>
      </w:r>
      <w:proofErr w:type="gramStart"/>
      <w:r w:rsidRPr="00B00197">
        <w:rPr>
          <w:rFonts w:ascii="Book Antiqua" w:hAnsi="Book Antiqua"/>
          <w:i/>
          <w:iCs/>
          <w:color w:val="000000" w:themeColor="text1"/>
          <w:lang w:val="es-PR"/>
        </w:rPr>
        <w:t>Director</w:t>
      </w:r>
      <w:proofErr w:type="gramEnd"/>
      <w:r w:rsidRPr="00B00197">
        <w:rPr>
          <w:rFonts w:ascii="Book Antiqua" w:hAnsi="Book Antiqua"/>
          <w:i/>
          <w:iCs/>
          <w:color w:val="000000" w:themeColor="text1"/>
          <w:lang w:val="es-PR"/>
        </w:rPr>
        <w:t xml:space="preserve"> de la Oficina de Gerencia y Presupuesto no autorizará una transferencia antes del 1 de enero del año fiscal en curso.</w:t>
      </w:r>
    </w:p>
    <w:p w14:paraId="2CBF82F2" w14:textId="39556BF1" w:rsidR="008A649C" w:rsidRPr="00B00197" w:rsidRDefault="00963CB3" w:rsidP="00963CB3">
      <w:pPr>
        <w:pStyle w:val="Textoindependiente"/>
        <w:rPr>
          <w:rFonts w:ascii="Book Antiqua" w:hAnsi="Book Antiqua"/>
          <w:i/>
          <w:iCs/>
          <w:color w:val="000000" w:themeColor="text1"/>
          <w:lang w:val="es-PR"/>
        </w:rPr>
      </w:pPr>
      <w:r w:rsidRPr="00B00197">
        <w:rPr>
          <w:rFonts w:ascii="Book Antiqua" w:hAnsi="Book Antiqua"/>
          <w:i/>
          <w:iCs/>
          <w:color w:val="000000" w:themeColor="text1"/>
          <w:lang w:val="es-PR"/>
        </w:rPr>
        <w:tab/>
        <w:t>(f)</w:t>
      </w:r>
      <w:r w:rsidRPr="00B00197">
        <w:rPr>
          <w:rFonts w:ascii="Book Antiqua" w:hAnsi="Book Antiqua"/>
          <w:color w:val="000000" w:themeColor="text1"/>
          <w:lang w:val="es-PR"/>
        </w:rPr>
        <w:t xml:space="preserve"> </w:t>
      </w:r>
      <w:r w:rsidRPr="00B00197">
        <w:rPr>
          <w:rFonts w:ascii="Book Antiqua" w:hAnsi="Book Antiqua"/>
          <w:i/>
          <w:iCs/>
          <w:color w:val="000000" w:themeColor="text1"/>
          <w:lang w:val="es-PR"/>
        </w:rPr>
        <w:t>Cualquier transferencia autorizada en el inciso anterior deberá ser reembolsada en su totalidad dentro de un plazo de cinco (5) años a partir de la fecha de dicha transferencia. Los reembolsos deberán comenzar a más tardar dos (2) años después de la fecha de dicha transferencia.</w:t>
      </w:r>
    </w:p>
    <w:p w14:paraId="036271D0" w14:textId="03757D59" w:rsidR="00DB31D8" w:rsidRPr="00B00197" w:rsidRDefault="008A649C" w:rsidP="22AC9079">
      <w:pPr>
        <w:pStyle w:val="Textoindependiente"/>
        <w:rPr>
          <w:rFonts w:ascii="Book Antiqua" w:hAnsi="Book Antiqua"/>
          <w:i/>
          <w:iCs/>
          <w:color w:val="000000" w:themeColor="text1"/>
          <w:lang w:val="es-PR"/>
        </w:rPr>
      </w:pPr>
      <w:r w:rsidRPr="00B00197">
        <w:rPr>
          <w:rFonts w:ascii="Book Antiqua" w:hAnsi="Book Antiqua"/>
          <w:i/>
          <w:iCs/>
          <w:color w:val="000000" w:themeColor="text1"/>
          <w:lang w:val="es-PR"/>
        </w:rPr>
        <w:tab/>
        <w:t xml:space="preserve">(g) Los dineros depositados en el </w:t>
      </w:r>
      <w:r w:rsidR="006C2BCB" w:rsidRPr="00B00197">
        <w:rPr>
          <w:rFonts w:ascii="Book Antiqua" w:hAnsi="Book Antiqua"/>
          <w:i/>
          <w:iCs/>
          <w:color w:val="000000" w:themeColor="text1"/>
          <w:lang w:val="es-PR"/>
        </w:rPr>
        <w:t>FREP</w:t>
      </w:r>
      <w:r w:rsidRPr="00B00197">
        <w:rPr>
          <w:rFonts w:ascii="Book Antiqua" w:hAnsi="Book Antiqua"/>
          <w:i/>
          <w:iCs/>
          <w:color w:val="000000" w:themeColor="text1"/>
          <w:lang w:val="es-PR"/>
        </w:rPr>
        <w:t xml:space="preserve"> podrán prestarse temporalmente al Fondo General durante cualquier ejercicio fiscal, en previsión de la recepción de ingresos procedentes de impuestos, tarifas y otras fuentes que deban ingresarse en dicho Fondo durante ese mismo año fiscal. Los fondos prestados temporalmente deberán reembolsarse en efectivo no más tarde del cierre del mismo año fiscal. El </w:t>
      </w:r>
      <w:proofErr w:type="gramStart"/>
      <w:r w:rsidRPr="00B00197">
        <w:rPr>
          <w:rFonts w:ascii="Book Antiqua" w:hAnsi="Book Antiqua"/>
          <w:i/>
          <w:iCs/>
          <w:color w:val="000000" w:themeColor="text1"/>
          <w:lang w:val="es-PR"/>
        </w:rPr>
        <w:t>Director</w:t>
      </w:r>
      <w:proofErr w:type="gramEnd"/>
      <w:r w:rsidRPr="00B00197">
        <w:rPr>
          <w:rFonts w:ascii="Book Antiqua" w:hAnsi="Book Antiqua"/>
          <w:i/>
          <w:iCs/>
          <w:color w:val="000000" w:themeColor="text1"/>
          <w:lang w:val="es-PR"/>
        </w:rPr>
        <w:t xml:space="preserve"> de la Oficina de Gerencia y Presupuesto no autorizará el uso de ninguna parte del saldo para fines de flujo de caja, salvo que medie certificación del Departamento de Hacienda acreditando que los ingresos proyectados serán recibidos no más tarde </w:t>
      </w:r>
      <w:r w:rsidRPr="00B00197">
        <w:rPr>
          <w:rFonts w:ascii="Book Antiqua" w:hAnsi="Book Antiqua"/>
          <w:i/>
          <w:iCs/>
          <w:color w:val="000000" w:themeColor="text1"/>
          <w:lang w:val="es-PR"/>
        </w:rPr>
        <w:lastRenderedPageBreak/>
        <w:t>del cierre del próximo año fiscal y que los fondos prestados serán restituidos tan pronto se materialicen los recaudos correspondientes, pero nunca más tarde del cierre del próximo año fiscal.</w:t>
      </w:r>
    </w:p>
    <w:p w14:paraId="03A5BC41" w14:textId="4686A69F" w:rsidR="000A29E1" w:rsidRPr="00B00197" w:rsidRDefault="00DB31D8" w:rsidP="4021776E">
      <w:pPr>
        <w:pStyle w:val="Textoindependiente"/>
        <w:rPr>
          <w:rFonts w:ascii="Book Antiqua" w:hAnsi="Book Antiqua"/>
          <w:color w:val="000000" w:themeColor="text1"/>
          <w:lang w:val="es-PR"/>
        </w:rPr>
      </w:pPr>
      <w:r w:rsidRPr="00B00197">
        <w:rPr>
          <w:rFonts w:ascii="Book Antiqua" w:hAnsi="Book Antiqua"/>
          <w:i/>
          <w:iCs/>
          <w:color w:val="000000" w:themeColor="text1"/>
          <w:lang w:val="es-PR"/>
        </w:rPr>
        <w:t xml:space="preserve">   </w:t>
      </w:r>
      <w:r w:rsidRPr="00B00197">
        <w:rPr>
          <w:rFonts w:ascii="Book Antiqua" w:hAnsi="Book Antiqua"/>
          <w:i/>
          <w:iCs/>
          <w:color w:val="000000" w:themeColor="text1"/>
          <w:lang w:val="pt-BR"/>
        </w:rPr>
        <w:t xml:space="preserve">(h) Requisito de informe anual. </w:t>
      </w:r>
      <w:r w:rsidRPr="00B00197">
        <w:rPr>
          <w:rFonts w:ascii="Book Antiqua" w:hAnsi="Book Antiqua"/>
          <w:i/>
          <w:iCs/>
          <w:color w:val="000000" w:themeColor="text1"/>
          <w:lang w:val="es-PR"/>
        </w:rPr>
        <w:t>Anualmente, a más tardar treinta (30) días después de la emisión del informe financiero requerido por ley, el Secretario de Hacienda informará a la Oficina de Gerencia y Presupuesto y al Presidente de la Cámara de Representantes y al Presidente del Senado, a través de los Secretarios de cada cuerpo legislativo sobre lo siguiente: (1) el saldo del Fondo de Reserva de Estabilización Presupuestaria al 30 de junio del año fiscal anterior; y (2) los intereses generados, netos de cualquier servicio bancario, por el Fondo de Reserva de Estabilización Presupuestaria al 30 de junio del año fiscal anterior.</w:t>
      </w:r>
      <w:r w:rsidRPr="00B00197">
        <w:rPr>
          <w:rFonts w:ascii="Book Antiqua" w:hAnsi="Book Antiqua"/>
          <w:color w:val="000000" w:themeColor="text1"/>
          <w:lang w:val="es-PR"/>
        </w:rPr>
        <w:t xml:space="preserve">” </w:t>
      </w:r>
    </w:p>
    <w:p w14:paraId="79488D83" w14:textId="1762171B" w:rsidR="073150E9" w:rsidRPr="00B00197" w:rsidRDefault="073150E9" w:rsidP="22AC9079">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Sección 2.- Se añade un nuevo Artículo 6A a la Ley Núm. 147 de 18 de junio de 1980, según enmendada</w:t>
      </w:r>
      <w:r w:rsidR="005174A6" w:rsidRPr="00B00197">
        <w:rPr>
          <w:rFonts w:ascii="Book Antiqua" w:hAnsi="Book Antiqua"/>
          <w:color w:val="000000" w:themeColor="text1"/>
          <w:lang w:val="es-PR"/>
        </w:rPr>
        <w:t>,</w:t>
      </w:r>
      <w:r w:rsidRPr="00B00197">
        <w:rPr>
          <w:rFonts w:ascii="Book Antiqua" w:hAnsi="Book Antiqua"/>
          <w:color w:val="000000" w:themeColor="text1"/>
          <w:lang w:val="es-PR"/>
        </w:rPr>
        <w:t xml:space="preserve"> el cual se leerá como sigue: </w:t>
      </w:r>
    </w:p>
    <w:p w14:paraId="5561D6B8" w14:textId="2CE5683E" w:rsidR="073150E9" w:rsidRPr="00B00197" w:rsidRDefault="073150E9" w:rsidP="22AC9079">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w:t>
      </w:r>
      <w:r w:rsidRPr="00B00197">
        <w:rPr>
          <w:rFonts w:ascii="Book Antiqua" w:hAnsi="Book Antiqua"/>
          <w:i/>
          <w:iCs/>
          <w:color w:val="000000" w:themeColor="text1"/>
          <w:lang w:val="es-PR"/>
        </w:rPr>
        <w:t>Artículo 6.A-</w:t>
      </w:r>
      <w:r w:rsidRPr="00B00197">
        <w:rPr>
          <w:rFonts w:ascii="Book Antiqua" w:eastAsia="Book Antiqua" w:hAnsi="Book Antiqua" w:cs="Book Antiqua"/>
          <w:i/>
          <w:iCs/>
          <w:color w:val="000000" w:themeColor="text1"/>
          <w:szCs w:val="24"/>
          <w:lang w:val="es-PR"/>
        </w:rPr>
        <w:t>Fondo de Proyectos de Capital del Gobierno de Puerto Rico.</w:t>
      </w:r>
    </w:p>
    <w:p w14:paraId="568246DC" w14:textId="5CCF60AE" w:rsidR="23B4B199" w:rsidRPr="00B00197" w:rsidRDefault="23B4B199" w:rsidP="22AC9079">
      <w:pPr>
        <w:pStyle w:val="Textoindependiente"/>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 xml:space="preserve">El/La </w:t>
      </w:r>
      <w:proofErr w:type="gramStart"/>
      <w:r w:rsidRPr="00B00197">
        <w:rPr>
          <w:rFonts w:ascii="Book Antiqua" w:eastAsia="Book Antiqua" w:hAnsi="Book Antiqua" w:cs="Book Antiqua"/>
          <w:i/>
          <w:iCs/>
          <w:color w:val="000000" w:themeColor="text1"/>
          <w:szCs w:val="24"/>
          <w:lang w:val="es-PR"/>
        </w:rPr>
        <w:t>Director</w:t>
      </w:r>
      <w:proofErr w:type="gramEnd"/>
      <w:r w:rsidRPr="00B00197">
        <w:rPr>
          <w:rFonts w:ascii="Book Antiqua" w:eastAsia="Book Antiqua" w:hAnsi="Book Antiqua" w:cs="Book Antiqua"/>
          <w:i/>
          <w:iCs/>
          <w:color w:val="000000" w:themeColor="text1"/>
          <w:szCs w:val="24"/>
          <w:lang w:val="es-PR"/>
        </w:rPr>
        <w:t xml:space="preserve">(a) de la Oficina de Gerencia y Presupuesto, en coordinación con </w:t>
      </w:r>
      <w:r w:rsidR="006D0F6A" w:rsidRPr="00B00197">
        <w:rPr>
          <w:rFonts w:ascii="Book Antiqua" w:eastAsia="Book Antiqua" w:hAnsi="Book Antiqua" w:cs="Book Antiqua"/>
          <w:i/>
          <w:iCs/>
          <w:color w:val="000000" w:themeColor="text1"/>
          <w:szCs w:val="24"/>
          <w:lang w:val="es-PR"/>
        </w:rPr>
        <w:t>el/</w:t>
      </w:r>
      <w:r w:rsidRPr="00B00197">
        <w:rPr>
          <w:rFonts w:ascii="Book Antiqua" w:eastAsia="Book Antiqua" w:hAnsi="Book Antiqua" w:cs="Book Antiqua"/>
          <w:i/>
          <w:iCs/>
          <w:color w:val="000000" w:themeColor="text1"/>
          <w:szCs w:val="24"/>
          <w:lang w:val="es-PR"/>
        </w:rPr>
        <w:t>la Gobernador</w:t>
      </w:r>
      <w:r w:rsidR="006D0F6A" w:rsidRPr="00B00197">
        <w:rPr>
          <w:rFonts w:ascii="Book Antiqua" w:eastAsia="Book Antiqua" w:hAnsi="Book Antiqua" w:cs="Book Antiqua"/>
          <w:i/>
          <w:iCs/>
          <w:color w:val="000000" w:themeColor="text1"/>
          <w:szCs w:val="24"/>
          <w:lang w:val="es-PR"/>
        </w:rPr>
        <w:t>(</w:t>
      </w:r>
      <w:r w:rsidR="00EF442B" w:rsidRPr="00B00197">
        <w:rPr>
          <w:rFonts w:ascii="Book Antiqua" w:eastAsia="Book Antiqua" w:hAnsi="Book Antiqua" w:cs="Book Antiqua"/>
          <w:i/>
          <w:iCs/>
          <w:color w:val="000000" w:themeColor="text1"/>
          <w:szCs w:val="24"/>
          <w:lang w:val="es-PR"/>
        </w:rPr>
        <w:t>a</w:t>
      </w:r>
      <w:r w:rsidR="006D0F6A" w:rsidRPr="00B00197">
        <w:rPr>
          <w:rFonts w:ascii="Book Antiqua" w:eastAsia="Book Antiqua" w:hAnsi="Book Antiqua" w:cs="Book Antiqua"/>
          <w:i/>
          <w:iCs/>
          <w:color w:val="000000" w:themeColor="text1"/>
          <w:szCs w:val="24"/>
          <w:lang w:val="es-PR"/>
        </w:rPr>
        <w:t>)</w:t>
      </w:r>
      <w:r w:rsidRPr="00B00197">
        <w:rPr>
          <w:rFonts w:ascii="Book Antiqua" w:eastAsia="Book Antiqua" w:hAnsi="Book Antiqua" w:cs="Book Antiqua"/>
          <w:i/>
          <w:iCs/>
          <w:color w:val="000000" w:themeColor="text1"/>
          <w:szCs w:val="24"/>
          <w:lang w:val="es-PR"/>
        </w:rPr>
        <w:t xml:space="preserve"> de Puerto Rico y con su visto bueno expreso, administrará el Fondo de Proyectos de Capital del Gobierno de Puerto Rico de conformidad con la “Ley Habilitadora para el Fondo de Proyectos de Capital del Gobierno de Puerto Rico</w:t>
      </w:r>
      <w:r w:rsidR="00336050" w:rsidRPr="00B00197">
        <w:rPr>
          <w:rFonts w:ascii="Book Antiqua" w:eastAsia="Book Antiqua" w:hAnsi="Book Antiqua" w:cs="Book Antiqua"/>
          <w:i/>
          <w:iCs/>
          <w:color w:val="000000" w:themeColor="text1"/>
          <w:szCs w:val="24"/>
          <w:lang w:val="es-PR"/>
        </w:rPr>
        <w:t>”.</w:t>
      </w:r>
    </w:p>
    <w:p w14:paraId="662EC0FB" w14:textId="5D8DC387" w:rsidR="2477A243" w:rsidRPr="00B00197" w:rsidRDefault="2477A243" w:rsidP="22AC9079">
      <w:pPr>
        <w:pStyle w:val="Textoindependiente"/>
        <w:ind w:firstLine="720"/>
        <w:rPr>
          <w:rFonts w:ascii="Book Antiqua" w:eastAsia="Book Antiqua" w:hAnsi="Book Antiqua" w:cs="Book Antiqua"/>
          <w:color w:val="000000" w:themeColor="text1"/>
          <w:szCs w:val="24"/>
          <w:lang w:val="es-PR"/>
        </w:rPr>
      </w:pPr>
      <w:r w:rsidRPr="00B00197">
        <w:rPr>
          <w:rFonts w:ascii="Book Antiqua" w:eastAsia="Book Antiqua" w:hAnsi="Book Antiqua" w:cs="Book Antiqua"/>
          <w:color w:val="000000" w:themeColor="text1"/>
          <w:szCs w:val="24"/>
          <w:lang w:val="es-PR"/>
        </w:rPr>
        <w:t>Sección 3.- Se añade un nuevo Artículo 6B a la Ley Núm. 147 de 18 de junio de 1980, según enmendada</w:t>
      </w:r>
      <w:r w:rsidR="005174A6" w:rsidRPr="00B00197">
        <w:rPr>
          <w:rFonts w:ascii="Book Antiqua" w:eastAsia="Book Antiqua" w:hAnsi="Book Antiqua" w:cs="Book Antiqua"/>
          <w:color w:val="000000" w:themeColor="text1"/>
          <w:szCs w:val="24"/>
          <w:lang w:val="es-PR"/>
        </w:rPr>
        <w:t>,</w:t>
      </w:r>
      <w:r w:rsidRPr="00B00197">
        <w:rPr>
          <w:rFonts w:ascii="Book Antiqua" w:eastAsia="Book Antiqua" w:hAnsi="Book Antiqua" w:cs="Book Antiqua"/>
          <w:color w:val="000000" w:themeColor="text1"/>
          <w:szCs w:val="24"/>
          <w:lang w:val="es-PR"/>
        </w:rPr>
        <w:t xml:space="preserve"> el cual se leerá como sigue:</w:t>
      </w:r>
    </w:p>
    <w:p w14:paraId="571AAFB1" w14:textId="77777777" w:rsidR="004C0580" w:rsidRPr="00B00197" w:rsidRDefault="2477A243">
      <w:pPr>
        <w:pStyle w:val="Textoindependiente"/>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“Artículo 6B</w:t>
      </w:r>
      <w:r w:rsidRPr="00B00197">
        <w:rPr>
          <w:rFonts w:ascii="Book Antiqua" w:eastAsia="Book Antiqua" w:hAnsi="Book Antiqua" w:cs="Book Antiqua"/>
          <w:color w:val="000000" w:themeColor="text1"/>
          <w:szCs w:val="24"/>
          <w:lang w:val="es-PR"/>
        </w:rPr>
        <w:t>.-</w:t>
      </w:r>
      <w:r w:rsidRPr="00B00197">
        <w:rPr>
          <w:rFonts w:ascii="Book Antiqua" w:eastAsia="Book Antiqua" w:hAnsi="Book Antiqua" w:cs="Book Antiqua"/>
          <w:i/>
          <w:iCs/>
          <w:color w:val="000000" w:themeColor="text1"/>
          <w:szCs w:val="24"/>
          <w:lang w:val="es-PR"/>
        </w:rPr>
        <w:t>Planes Financieros Quinquenales</w:t>
      </w:r>
    </w:p>
    <w:p w14:paraId="6997167A" w14:textId="3AED8117" w:rsidR="2477A243" w:rsidRPr="00B00197" w:rsidRDefault="2477A243">
      <w:pPr>
        <w:pStyle w:val="Textoindependiente"/>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 xml:space="preserve">Bajo la dirección de/el la Gobernador(a), la Oficina de Gerencia y Presupuesto deberá preparar el </w:t>
      </w:r>
      <w:r w:rsidR="00676329" w:rsidRPr="00B00197">
        <w:rPr>
          <w:rFonts w:ascii="Book Antiqua" w:eastAsia="Book Antiqua" w:hAnsi="Book Antiqua" w:cs="Book Antiqua"/>
          <w:i/>
          <w:iCs/>
          <w:color w:val="000000" w:themeColor="text1"/>
          <w:szCs w:val="24"/>
          <w:lang w:val="es-PR"/>
        </w:rPr>
        <w:t xml:space="preserve">Plan </w:t>
      </w:r>
      <w:r w:rsidRPr="00B00197">
        <w:rPr>
          <w:rFonts w:ascii="Book Antiqua" w:eastAsia="Book Antiqua" w:hAnsi="Book Antiqua" w:cs="Book Antiqua"/>
          <w:i/>
          <w:iCs/>
          <w:color w:val="000000" w:themeColor="text1"/>
          <w:szCs w:val="24"/>
          <w:lang w:val="es-PR"/>
        </w:rPr>
        <w:t>Financiero Quinquenal, así como actualizaciones anuales del mismo</w:t>
      </w:r>
      <w:r w:rsidR="00277E54" w:rsidRPr="00B00197">
        <w:rPr>
          <w:rFonts w:ascii="Book Antiqua" w:eastAsia="Book Antiqua" w:hAnsi="Book Antiqua" w:cs="Book Antiqua"/>
          <w:i/>
          <w:iCs/>
          <w:color w:val="000000" w:themeColor="text1"/>
          <w:szCs w:val="24"/>
          <w:lang w:val="es-PR"/>
        </w:rPr>
        <w:t>, el cual</w:t>
      </w:r>
      <w:r w:rsidR="008D2ED9" w:rsidRPr="00B00197">
        <w:rPr>
          <w:rFonts w:ascii="Book Antiqua" w:eastAsia="Book Antiqua" w:hAnsi="Book Antiqua" w:cs="Book Antiqua"/>
          <w:i/>
          <w:iCs/>
          <w:color w:val="000000" w:themeColor="text1"/>
          <w:szCs w:val="24"/>
          <w:lang w:val="es-PR"/>
        </w:rPr>
        <w:t xml:space="preserve"> se hará público incluyendo </w:t>
      </w:r>
      <w:r w:rsidR="00001D35" w:rsidRPr="00B00197">
        <w:rPr>
          <w:rFonts w:ascii="Book Antiqua" w:eastAsia="Book Antiqua" w:hAnsi="Book Antiqua" w:cs="Book Antiqua"/>
          <w:i/>
          <w:iCs/>
          <w:color w:val="000000" w:themeColor="text1"/>
          <w:szCs w:val="24"/>
          <w:lang w:val="es-PR"/>
        </w:rPr>
        <w:t xml:space="preserve">la divulgación de </w:t>
      </w:r>
      <w:r w:rsidR="008D2ED9" w:rsidRPr="00B00197">
        <w:rPr>
          <w:rFonts w:ascii="Book Antiqua" w:eastAsia="Book Antiqua" w:hAnsi="Book Antiqua" w:cs="Book Antiqua"/>
          <w:i/>
          <w:iCs/>
          <w:color w:val="000000" w:themeColor="text1"/>
          <w:szCs w:val="24"/>
          <w:lang w:val="es-PR"/>
        </w:rPr>
        <w:t>metodología</w:t>
      </w:r>
      <w:r w:rsidR="00001D35" w:rsidRPr="00B00197">
        <w:rPr>
          <w:rFonts w:ascii="Book Antiqua" w:eastAsia="Book Antiqua" w:hAnsi="Book Antiqua" w:cs="Book Antiqua"/>
          <w:i/>
          <w:iCs/>
          <w:color w:val="000000" w:themeColor="text1"/>
          <w:szCs w:val="24"/>
          <w:lang w:val="es-PR"/>
        </w:rPr>
        <w:t>s</w:t>
      </w:r>
      <w:r w:rsidR="008D2ED9" w:rsidRPr="00B00197">
        <w:rPr>
          <w:rFonts w:ascii="Book Antiqua" w:eastAsia="Book Antiqua" w:hAnsi="Book Antiqua" w:cs="Book Antiqua"/>
          <w:i/>
          <w:iCs/>
          <w:color w:val="000000" w:themeColor="text1"/>
          <w:szCs w:val="24"/>
          <w:lang w:val="es-PR"/>
        </w:rPr>
        <w:t xml:space="preserve"> y supuestos</w:t>
      </w:r>
      <w:r w:rsidRPr="00B00197">
        <w:rPr>
          <w:rFonts w:ascii="Book Antiqua" w:eastAsia="Book Antiqua" w:hAnsi="Book Antiqua" w:cs="Book Antiqua"/>
          <w:i/>
          <w:iCs/>
          <w:color w:val="000000" w:themeColor="text1"/>
          <w:szCs w:val="24"/>
          <w:lang w:val="es-PR"/>
        </w:rPr>
        <w:t>.</w:t>
      </w:r>
    </w:p>
    <w:p w14:paraId="0D6A1416" w14:textId="073D48E8" w:rsidR="4D0A4242" w:rsidRPr="00B00197" w:rsidRDefault="00D160CF" w:rsidP="005F3854">
      <w:pPr>
        <w:pStyle w:val="Textoindependiente"/>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lastRenderedPageBreak/>
        <w:t xml:space="preserve">Este Plan y sus actualizaciones según requeridas por este artículo deberán redactarse de tal modo que por formato y por contenido </w:t>
      </w:r>
      <w:r w:rsidR="00084091" w:rsidRPr="00B00197">
        <w:rPr>
          <w:rFonts w:ascii="Book Antiqua" w:eastAsia="Book Antiqua" w:hAnsi="Book Antiqua" w:cs="Book Antiqua"/>
          <w:i/>
          <w:iCs/>
          <w:color w:val="000000" w:themeColor="text1"/>
          <w:szCs w:val="24"/>
          <w:lang w:val="es-PR"/>
        </w:rPr>
        <w:t xml:space="preserve">detallado </w:t>
      </w:r>
      <w:r w:rsidRPr="00B00197">
        <w:rPr>
          <w:rFonts w:ascii="Book Antiqua" w:eastAsia="Book Antiqua" w:hAnsi="Book Antiqua" w:cs="Book Antiqua"/>
          <w:i/>
          <w:iCs/>
          <w:color w:val="000000" w:themeColor="text1"/>
          <w:szCs w:val="24"/>
          <w:lang w:val="es-PR"/>
        </w:rPr>
        <w:t>se pueda hacer comparación entre los documentos de años sucesivos y hacerse medición de resultados a lo largo de su curso.</w:t>
      </w:r>
      <w:r w:rsidR="009854E1" w:rsidRPr="00B00197">
        <w:rPr>
          <w:rFonts w:ascii="Book Antiqua" w:eastAsia="Book Antiqua" w:hAnsi="Book Antiqua" w:cs="Book Antiqua"/>
          <w:i/>
          <w:iCs/>
          <w:color w:val="000000" w:themeColor="text1"/>
          <w:szCs w:val="24"/>
          <w:lang w:val="es-PR"/>
        </w:rPr>
        <w:t xml:space="preserve"> </w:t>
      </w:r>
      <w:r w:rsidR="000F2929" w:rsidRPr="00B00197">
        <w:rPr>
          <w:rFonts w:ascii="Book Antiqua" w:eastAsia="Book Antiqua" w:hAnsi="Book Antiqua" w:cs="Book Antiqua"/>
          <w:i/>
          <w:iCs/>
          <w:color w:val="000000" w:themeColor="text1"/>
          <w:szCs w:val="24"/>
          <w:lang w:val="es-PR"/>
        </w:rPr>
        <w:t xml:space="preserve">Al llevar a cabo </w:t>
      </w:r>
      <w:r w:rsidR="009854E1" w:rsidRPr="00B00197">
        <w:rPr>
          <w:rFonts w:ascii="Book Antiqua" w:eastAsia="Book Antiqua" w:hAnsi="Book Antiqua" w:cs="Book Antiqua"/>
          <w:i/>
          <w:iCs/>
          <w:color w:val="000000" w:themeColor="text1"/>
          <w:szCs w:val="24"/>
          <w:lang w:val="es-PR"/>
        </w:rPr>
        <w:t xml:space="preserve">las proyecciones </w:t>
      </w:r>
      <w:r w:rsidR="000F2929" w:rsidRPr="00B00197">
        <w:rPr>
          <w:rFonts w:ascii="Book Antiqua" w:eastAsia="Book Antiqua" w:hAnsi="Book Antiqua" w:cs="Book Antiqua"/>
          <w:i/>
          <w:iCs/>
          <w:color w:val="000000" w:themeColor="text1"/>
          <w:szCs w:val="24"/>
          <w:lang w:val="es-PR"/>
        </w:rPr>
        <w:t xml:space="preserve">e incorporarlas </w:t>
      </w:r>
      <w:r w:rsidR="009854E1" w:rsidRPr="00B00197">
        <w:rPr>
          <w:rFonts w:ascii="Book Antiqua" w:eastAsia="Book Antiqua" w:hAnsi="Book Antiqua" w:cs="Book Antiqua"/>
          <w:i/>
          <w:iCs/>
          <w:color w:val="000000" w:themeColor="text1"/>
          <w:szCs w:val="24"/>
          <w:lang w:val="es-PR"/>
        </w:rPr>
        <w:t>en los planes financieros y actualizaciones requeridas por este Artículo</w:t>
      </w:r>
      <w:r w:rsidR="000F2929" w:rsidRPr="00B00197">
        <w:rPr>
          <w:rFonts w:ascii="Book Antiqua" w:eastAsia="Book Antiqua" w:hAnsi="Book Antiqua" w:cs="Book Antiqua"/>
          <w:i/>
          <w:iCs/>
          <w:color w:val="000000" w:themeColor="text1"/>
          <w:szCs w:val="24"/>
          <w:lang w:val="es-PR"/>
        </w:rPr>
        <w:t xml:space="preserve">, incluyendo </w:t>
      </w:r>
      <w:r w:rsidR="00D023A5" w:rsidRPr="00B00197">
        <w:rPr>
          <w:rFonts w:ascii="Book Antiqua" w:eastAsia="Book Antiqua" w:hAnsi="Book Antiqua" w:cs="Book Antiqua"/>
          <w:i/>
          <w:iCs/>
          <w:color w:val="000000" w:themeColor="text1"/>
          <w:szCs w:val="24"/>
          <w:lang w:val="es-PR"/>
        </w:rPr>
        <w:t>los ingresos</w:t>
      </w:r>
      <w:r w:rsidR="000F2929" w:rsidRPr="00B00197">
        <w:rPr>
          <w:rFonts w:ascii="Book Antiqua" w:eastAsia="Book Antiqua" w:hAnsi="Book Antiqua" w:cs="Book Antiqua"/>
          <w:i/>
          <w:iCs/>
          <w:color w:val="000000" w:themeColor="text1"/>
          <w:szCs w:val="24"/>
          <w:lang w:val="es-PR"/>
        </w:rPr>
        <w:t xml:space="preserve">, gastos y de flujo de efectivo, se deberá indicarse y explicarse la metodología de </w:t>
      </w:r>
      <w:r w:rsidR="00A07FFC" w:rsidRPr="00B00197">
        <w:rPr>
          <w:rFonts w:ascii="Book Antiqua" w:eastAsia="Book Antiqua" w:hAnsi="Book Antiqua" w:cs="Book Antiqua"/>
          <w:i/>
          <w:iCs/>
          <w:color w:val="000000" w:themeColor="text1"/>
          <w:szCs w:val="24"/>
          <w:lang w:val="es-PR"/>
        </w:rPr>
        <w:t>estimación</w:t>
      </w:r>
      <w:r w:rsidR="000F2929" w:rsidRPr="00B00197">
        <w:rPr>
          <w:rFonts w:ascii="Book Antiqua" w:eastAsia="Book Antiqua" w:hAnsi="Book Antiqua" w:cs="Book Antiqua"/>
          <w:i/>
          <w:iCs/>
          <w:color w:val="000000" w:themeColor="text1"/>
          <w:szCs w:val="24"/>
          <w:lang w:val="es-PR"/>
        </w:rPr>
        <w:t xml:space="preserve"> </w:t>
      </w:r>
      <w:r w:rsidR="00D023A5" w:rsidRPr="00B00197">
        <w:rPr>
          <w:rFonts w:ascii="Book Antiqua" w:eastAsia="Book Antiqua" w:hAnsi="Book Antiqua" w:cs="Book Antiqua"/>
          <w:i/>
          <w:iCs/>
          <w:color w:val="000000" w:themeColor="text1"/>
          <w:szCs w:val="24"/>
          <w:lang w:val="es-PR"/>
        </w:rPr>
        <w:t>usada,</w:t>
      </w:r>
      <w:r w:rsidR="000F2929" w:rsidRPr="00B00197">
        <w:rPr>
          <w:rFonts w:ascii="Book Antiqua" w:eastAsia="Book Antiqua" w:hAnsi="Book Antiqua" w:cs="Book Antiqua"/>
          <w:i/>
          <w:iCs/>
          <w:color w:val="000000" w:themeColor="text1"/>
          <w:szCs w:val="24"/>
          <w:lang w:val="es-PR"/>
        </w:rPr>
        <w:t xml:space="preserve"> así como los supuestos razonables en que se basan y definirse la terminología.</w:t>
      </w:r>
      <w:r w:rsidR="009854E1" w:rsidRPr="00B00197">
        <w:rPr>
          <w:rFonts w:ascii="Book Antiqua" w:eastAsia="Book Antiqua" w:hAnsi="Book Antiqua" w:cs="Book Antiqua"/>
          <w:i/>
          <w:iCs/>
          <w:color w:val="000000" w:themeColor="text1"/>
          <w:szCs w:val="24"/>
          <w:lang w:val="es-PR"/>
        </w:rPr>
        <w:t xml:space="preserve">  Todas las proyecciones</w:t>
      </w:r>
      <w:r w:rsidR="00A07FFC" w:rsidRPr="00B00197">
        <w:rPr>
          <w:rFonts w:ascii="Book Antiqua" w:eastAsia="Book Antiqua" w:hAnsi="Book Antiqua" w:cs="Book Antiqua"/>
          <w:i/>
          <w:iCs/>
          <w:color w:val="000000" w:themeColor="text1"/>
          <w:szCs w:val="24"/>
          <w:lang w:val="es-PR"/>
        </w:rPr>
        <w:t xml:space="preserve"> deberán basarse en supuestos y métodos de estimación razonables y apropiados. Las proyecciones</w:t>
      </w:r>
      <w:r w:rsidR="009854E1" w:rsidRPr="00B00197">
        <w:rPr>
          <w:rFonts w:ascii="Book Antiqua" w:eastAsia="Book Antiqua" w:hAnsi="Book Antiqua" w:cs="Book Antiqua"/>
          <w:i/>
          <w:iCs/>
          <w:color w:val="000000" w:themeColor="text1"/>
          <w:szCs w:val="24"/>
          <w:lang w:val="es-PR"/>
        </w:rPr>
        <w:t xml:space="preserve"> de flujo de efectivo deberán basarse en supuestos razonables y apropiados en cuanto a las fuentes y usos de efectivo (incluyendo, pero sin limitarse</w:t>
      </w:r>
      <w:r w:rsidR="00084091" w:rsidRPr="00B00197">
        <w:rPr>
          <w:rFonts w:ascii="Book Antiqua" w:eastAsia="Book Antiqua" w:hAnsi="Book Antiqua" w:cs="Book Antiqua"/>
          <w:i/>
          <w:iCs/>
          <w:color w:val="000000" w:themeColor="text1"/>
          <w:szCs w:val="24"/>
          <w:lang w:val="es-PR"/>
        </w:rPr>
        <w:t xml:space="preserve"> cuándo</w:t>
      </w:r>
      <w:r w:rsidR="009854E1" w:rsidRPr="00B00197">
        <w:rPr>
          <w:rFonts w:ascii="Book Antiqua" w:eastAsia="Book Antiqua" w:hAnsi="Book Antiqua" w:cs="Book Antiqua"/>
          <w:i/>
          <w:iCs/>
          <w:color w:val="000000" w:themeColor="text1"/>
          <w:szCs w:val="24"/>
          <w:lang w:val="es-PR"/>
        </w:rPr>
        <w:t xml:space="preserve"> estos ocurren) y deberán prever que </w:t>
      </w:r>
      <w:r w:rsidR="00084091" w:rsidRPr="00B00197">
        <w:rPr>
          <w:rFonts w:ascii="Book Antiqua" w:eastAsia="Book Antiqua" w:hAnsi="Book Antiqua" w:cs="Book Antiqua"/>
          <w:i/>
          <w:iCs/>
          <w:color w:val="000000" w:themeColor="text1"/>
          <w:szCs w:val="24"/>
          <w:lang w:val="es-PR"/>
        </w:rPr>
        <w:t xml:space="preserve">esa proyección de recursos de efectivo permita llevar a cabo cabalmente </w:t>
      </w:r>
      <w:r w:rsidR="009854E1" w:rsidRPr="00B00197">
        <w:rPr>
          <w:rFonts w:ascii="Book Antiqua" w:eastAsia="Book Antiqua" w:hAnsi="Book Antiqua" w:cs="Book Antiqua"/>
          <w:i/>
          <w:iCs/>
          <w:color w:val="000000" w:themeColor="text1"/>
          <w:szCs w:val="24"/>
          <w:lang w:val="es-PR"/>
        </w:rPr>
        <w:t>las operaciones del gobierno. Al emitirse cada plan financiero o su actualización, el</w:t>
      </w:r>
      <w:r w:rsidR="006D0F6A" w:rsidRPr="00B00197">
        <w:rPr>
          <w:rFonts w:ascii="Book Antiqua" w:eastAsia="Book Antiqua" w:hAnsi="Book Antiqua" w:cs="Book Antiqua"/>
          <w:i/>
          <w:iCs/>
          <w:color w:val="000000" w:themeColor="text1"/>
          <w:szCs w:val="24"/>
          <w:lang w:val="es-PR"/>
        </w:rPr>
        <w:t>/la</w:t>
      </w:r>
      <w:r w:rsidR="009854E1" w:rsidRPr="00B00197">
        <w:rPr>
          <w:rFonts w:ascii="Book Antiqua" w:eastAsia="Book Antiqua" w:hAnsi="Book Antiqua" w:cs="Book Antiqua"/>
          <w:i/>
          <w:iCs/>
          <w:color w:val="000000" w:themeColor="text1"/>
          <w:szCs w:val="24"/>
          <w:lang w:val="es-PR"/>
        </w:rPr>
        <w:t xml:space="preserve"> Gobernador</w:t>
      </w:r>
      <w:r w:rsidR="006D0F6A" w:rsidRPr="00B00197">
        <w:rPr>
          <w:rFonts w:ascii="Book Antiqua" w:eastAsia="Book Antiqua" w:hAnsi="Book Antiqua" w:cs="Book Antiqua"/>
          <w:i/>
          <w:iCs/>
          <w:color w:val="000000" w:themeColor="text1"/>
          <w:szCs w:val="24"/>
          <w:lang w:val="es-PR"/>
        </w:rPr>
        <w:t>(</w:t>
      </w:r>
      <w:r w:rsidR="00766B7F" w:rsidRPr="00B00197">
        <w:rPr>
          <w:rFonts w:ascii="Book Antiqua" w:eastAsia="Book Antiqua" w:hAnsi="Book Antiqua" w:cs="Book Antiqua"/>
          <w:i/>
          <w:iCs/>
          <w:color w:val="000000" w:themeColor="text1"/>
          <w:szCs w:val="24"/>
          <w:lang w:val="es-PR"/>
        </w:rPr>
        <w:t>a</w:t>
      </w:r>
      <w:r w:rsidR="006D0F6A" w:rsidRPr="00B00197">
        <w:rPr>
          <w:rFonts w:ascii="Book Antiqua" w:eastAsia="Book Antiqua" w:hAnsi="Book Antiqua" w:cs="Book Antiqua"/>
          <w:i/>
          <w:iCs/>
          <w:color w:val="000000" w:themeColor="text1"/>
          <w:szCs w:val="24"/>
          <w:lang w:val="es-PR"/>
        </w:rPr>
        <w:t>)</w:t>
      </w:r>
      <w:r w:rsidR="009854E1" w:rsidRPr="00B00197">
        <w:rPr>
          <w:rFonts w:ascii="Book Antiqua" w:eastAsia="Book Antiqua" w:hAnsi="Book Antiqua" w:cs="Book Antiqua"/>
          <w:i/>
          <w:iCs/>
          <w:color w:val="000000" w:themeColor="text1"/>
          <w:szCs w:val="24"/>
          <w:lang w:val="es-PR"/>
        </w:rPr>
        <w:t xml:space="preserve"> y el </w:t>
      </w:r>
      <w:proofErr w:type="gramStart"/>
      <w:r w:rsidR="009854E1" w:rsidRPr="00B00197">
        <w:rPr>
          <w:rFonts w:ascii="Book Antiqua" w:eastAsia="Book Antiqua" w:hAnsi="Book Antiqua" w:cs="Book Antiqua"/>
          <w:i/>
          <w:iCs/>
          <w:color w:val="000000" w:themeColor="text1"/>
          <w:szCs w:val="24"/>
          <w:lang w:val="es-PR"/>
        </w:rPr>
        <w:t>Director</w:t>
      </w:r>
      <w:proofErr w:type="gramEnd"/>
      <w:r w:rsidR="009854E1" w:rsidRPr="00B00197">
        <w:rPr>
          <w:rFonts w:ascii="Book Antiqua" w:eastAsia="Book Antiqua" w:hAnsi="Book Antiqua" w:cs="Book Antiqua"/>
          <w:i/>
          <w:iCs/>
          <w:color w:val="000000" w:themeColor="text1"/>
          <w:szCs w:val="24"/>
          <w:lang w:val="es-PR"/>
        </w:rPr>
        <w:t xml:space="preserve"> de la Oficina de Gerencia y Presupuesto deberán certificar, por escrito, que dicho plan financiero o actualización cumple plenamente con las disposiciones de este párrafo.</w:t>
      </w:r>
    </w:p>
    <w:p w14:paraId="0AD6AD65" w14:textId="18B9FCDC" w:rsidR="44FE41C1" w:rsidRPr="00B00197" w:rsidRDefault="00466136" w:rsidP="005F3854">
      <w:pPr>
        <w:pStyle w:val="Textoindependiente"/>
        <w:ind w:firstLine="720"/>
        <w:rPr>
          <w:rFonts w:ascii="Book Antiqua" w:eastAsia="Roboto" w:hAnsi="Book Antiqua" w:cs="Roboto"/>
          <w:color w:val="000000" w:themeColor="text1"/>
          <w:sz w:val="21"/>
          <w:szCs w:val="21"/>
          <w:lang w:val="es-PR"/>
        </w:rPr>
      </w:pPr>
      <w:r w:rsidRPr="00B00197">
        <w:rPr>
          <w:rFonts w:ascii="Book Antiqua" w:eastAsia="Book Antiqua" w:hAnsi="Book Antiqua" w:cs="Book Antiqua"/>
          <w:i/>
          <w:iCs/>
          <w:color w:val="000000" w:themeColor="text1"/>
          <w:szCs w:val="24"/>
          <w:lang w:val="es-PR"/>
        </w:rPr>
        <w:t xml:space="preserve">Comenzando el 1 de julio de 2026, el plan financiero </w:t>
      </w:r>
      <w:r w:rsidR="00D160CF" w:rsidRPr="00B00197">
        <w:rPr>
          <w:rFonts w:ascii="Book Antiqua" w:eastAsia="Book Antiqua" w:hAnsi="Book Antiqua" w:cs="Book Antiqua"/>
          <w:i/>
          <w:iCs/>
          <w:color w:val="000000" w:themeColor="text1"/>
          <w:szCs w:val="24"/>
          <w:lang w:val="es-PR"/>
        </w:rPr>
        <w:t>quinquenal</w:t>
      </w:r>
      <w:r w:rsidRPr="00B00197">
        <w:rPr>
          <w:rFonts w:ascii="Book Antiqua" w:eastAsia="Book Antiqua" w:hAnsi="Book Antiqua" w:cs="Book Antiqua"/>
          <w:i/>
          <w:iCs/>
          <w:color w:val="000000" w:themeColor="text1"/>
          <w:szCs w:val="24"/>
          <w:lang w:val="es-PR"/>
        </w:rPr>
        <w:t xml:space="preserve"> deberá incluir un pronóstico actualizado de ingresos, gastos y </w:t>
      </w:r>
      <w:r w:rsidR="00350502" w:rsidRPr="00B00197">
        <w:rPr>
          <w:rFonts w:ascii="Book Antiqua" w:eastAsia="Book Antiqua" w:hAnsi="Book Antiqua" w:cs="Book Antiqua"/>
          <w:i/>
          <w:iCs/>
          <w:color w:val="000000" w:themeColor="text1"/>
          <w:szCs w:val="24"/>
          <w:lang w:val="es-PR"/>
        </w:rPr>
        <w:t>posición neta</w:t>
      </w:r>
      <w:r w:rsidRPr="00B00197">
        <w:rPr>
          <w:rFonts w:ascii="Book Antiqua" w:eastAsia="Book Antiqua" w:hAnsi="Book Antiqua" w:cs="Book Antiqua"/>
          <w:i/>
          <w:iCs/>
          <w:color w:val="000000" w:themeColor="text1"/>
          <w:szCs w:val="24"/>
          <w:lang w:val="es-PR"/>
        </w:rPr>
        <w:t xml:space="preserve"> para el año fiscal </w:t>
      </w:r>
      <w:r w:rsidR="00A07FFC" w:rsidRPr="00B00197">
        <w:rPr>
          <w:rFonts w:ascii="Book Antiqua" w:eastAsia="Book Antiqua" w:hAnsi="Book Antiqua" w:cs="Book Antiqua"/>
          <w:i/>
          <w:iCs/>
          <w:color w:val="000000" w:themeColor="text1"/>
          <w:szCs w:val="24"/>
          <w:lang w:val="es-PR"/>
        </w:rPr>
        <w:t xml:space="preserve">corriente </w:t>
      </w:r>
      <w:r w:rsidRPr="00B00197">
        <w:rPr>
          <w:rFonts w:ascii="Book Antiqua" w:eastAsia="Book Antiqua" w:hAnsi="Book Antiqua" w:cs="Book Antiqua"/>
          <w:i/>
          <w:iCs/>
          <w:color w:val="000000" w:themeColor="text1"/>
          <w:szCs w:val="24"/>
          <w:lang w:val="es-PR"/>
        </w:rPr>
        <w:t xml:space="preserve">y todos los años fiscales siguientes cubiertos por el plan financiero. Dicho pronóstico actualizado deberá explicar las revisiones a las proyecciones de ingresos, gastos y posición </w:t>
      </w:r>
      <w:r w:rsidR="00350502" w:rsidRPr="00B00197">
        <w:rPr>
          <w:rFonts w:ascii="Book Antiqua" w:eastAsia="Book Antiqua" w:hAnsi="Book Antiqua" w:cs="Book Antiqua"/>
          <w:i/>
          <w:iCs/>
          <w:color w:val="000000" w:themeColor="text1"/>
          <w:szCs w:val="24"/>
          <w:lang w:val="es-PR"/>
        </w:rPr>
        <w:t xml:space="preserve">neta </w:t>
      </w:r>
      <w:r w:rsidRPr="00B00197">
        <w:rPr>
          <w:rFonts w:ascii="Book Antiqua" w:eastAsia="Book Antiqua" w:hAnsi="Book Antiqua" w:cs="Book Antiqua"/>
          <w:i/>
          <w:iCs/>
          <w:color w:val="000000" w:themeColor="text1"/>
          <w:szCs w:val="24"/>
          <w:lang w:val="es-PR"/>
        </w:rPr>
        <w:t>respecto a la actualización más reciente del plan financiero, así como cualquier revisión significativa de los factores que afectan los ingresos y gastos. El plan financiero presentado anualmente por la Oficina de Gerencia y Presupuesto como parte del presupuesto deberá incluir además un resumen narrativo</w:t>
      </w:r>
      <w:r w:rsidRPr="00B00197">
        <w:rPr>
          <w:rFonts w:ascii="Book Antiqua" w:eastAsia="Roboto" w:hAnsi="Book Antiqua" w:cs="Roboto"/>
          <w:color w:val="000000" w:themeColor="text1"/>
          <w:sz w:val="21"/>
          <w:szCs w:val="21"/>
          <w:lang w:val="es-PR"/>
        </w:rPr>
        <w:t>.</w:t>
      </w:r>
    </w:p>
    <w:p w14:paraId="325DB1B2" w14:textId="77777777"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lastRenderedPageBreak/>
        <w:t>A partir del 1 de julio de 2027, el plan financiero deberá contener, como mínimo, las siguientes estimaciones y proyecciones:</w:t>
      </w:r>
    </w:p>
    <w:p w14:paraId="4F76CC89" w14:textId="7A0AFD1D"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(a) los ingresos por contribuciones, subvenciones federales, ingresos misceláneos y todas las fuentes de ingresos que se estime serán recibidos, así como los gastos que se estime serán incurridos, antes del cierre del año fiscal en curso;</w:t>
      </w:r>
    </w:p>
    <w:p w14:paraId="1B917991" w14:textId="31EA8315"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 xml:space="preserve">(b) los ingresos por contribuciones, subvenciones federales, ingresos misceláneos y todas las fuentes de ingresos que se estime serán recibidos, así como los gastos que se estime serán incurridos durante el año fiscal siguiente, incluyendo cualesquiera ingresos que se espere resulten de legislación propuesta que </w:t>
      </w:r>
      <w:r w:rsidR="006D0F6A" w:rsidRPr="00B00197">
        <w:rPr>
          <w:rFonts w:ascii="Book Antiqua" w:hAnsi="Book Antiqua"/>
          <w:i/>
          <w:iCs/>
          <w:color w:val="000000" w:themeColor="text1"/>
          <w:lang w:val="es-PR"/>
        </w:rPr>
        <w:t>el/la</w:t>
      </w:r>
      <w:r w:rsidRPr="00B00197">
        <w:rPr>
          <w:rFonts w:ascii="Book Antiqua" w:hAnsi="Book Antiqua"/>
          <w:i/>
          <w:iCs/>
          <w:color w:val="000000" w:themeColor="text1"/>
          <w:lang w:val="es-PR"/>
        </w:rPr>
        <w:t xml:space="preserve"> Gobernador</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a</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 xml:space="preserve"> considere necesaria para proveer ingresos suficientes para cubrir dichos gastos propuestos; y</w:t>
      </w:r>
    </w:p>
    <w:p w14:paraId="36F16254" w14:textId="4E8B49BC"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 xml:space="preserve">(c) los ingresos por contribuciones, subvenciones federales, ingresos misceláneos y todas las fuentes de ingresos que se estime serán recibidos, así como los gastos que se estime serán incurridos durante cada uno de los tres años fiscales subsiguientes, incluyendo cualesquiera ingresos que se espere resulten de legislación propuesta que </w:t>
      </w:r>
      <w:r w:rsidR="006D0F6A" w:rsidRPr="00B00197">
        <w:rPr>
          <w:rFonts w:ascii="Book Antiqua" w:hAnsi="Book Antiqua"/>
          <w:i/>
          <w:iCs/>
          <w:color w:val="000000" w:themeColor="text1"/>
          <w:lang w:val="es-PR"/>
        </w:rPr>
        <w:t>el/</w:t>
      </w:r>
      <w:r w:rsidRPr="00B00197">
        <w:rPr>
          <w:rFonts w:ascii="Book Antiqua" w:hAnsi="Book Antiqua"/>
          <w:i/>
          <w:iCs/>
          <w:color w:val="000000" w:themeColor="text1"/>
          <w:lang w:val="es-PR"/>
        </w:rPr>
        <w:t>la Gobernador</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a</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 xml:space="preserve"> considere necesaria para proveer ingresos suficientes para cubrir dichos gastos propuestos.</w:t>
      </w:r>
    </w:p>
    <w:p w14:paraId="65560243" w14:textId="77777777"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Dichas proyecciones y estimaciones deberán presentarse en el formato y con el nivel de detalle dispuesto en este capítulo.</w:t>
      </w:r>
    </w:p>
    <w:p w14:paraId="67383121" w14:textId="24DC3209" w:rsidR="00997ED6" w:rsidRPr="00B00197" w:rsidRDefault="00676329" w:rsidP="006D0F6A">
      <w:pPr>
        <w:pStyle w:val="Textoindependiente"/>
        <w:ind w:firstLine="720"/>
        <w:rPr>
          <w:rFonts w:ascii="Book Antiqua" w:hAnsi="Book Antiqua"/>
          <w:i/>
          <w:iCs/>
          <w:color w:val="000000" w:themeColor="text1"/>
          <w:lang w:val="es-PR"/>
        </w:rPr>
      </w:pPr>
      <w:r w:rsidRPr="00B00197">
        <w:rPr>
          <w:rFonts w:ascii="Book Antiqua" w:hAnsi="Book Antiqua"/>
          <w:b/>
          <w:bCs/>
          <w:i/>
          <w:iCs/>
          <w:color w:val="000000" w:themeColor="text1"/>
          <w:lang w:val="es-PR"/>
        </w:rPr>
        <w:t xml:space="preserve"> </w:t>
      </w:r>
      <w:r w:rsidR="00997ED6" w:rsidRPr="00B00197">
        <w:rPr>
          <w:rFonts w:ascii="Book Antiqua" w:hAnsi="Book Antiqua"/>
          <w:i/>
          <w:iCs/>
          <w:color w:val="000000" w:themeColor="text1"/>
          <w:lang w:val="es-PR"/>
        </w:rPr>
        <w:t>Los ingresos en el plan financiero deberán presentarse por cada categoría de fuentes de ingreso</w:t>
      </w:r>
      <w:r w:rsidR="00227C3A" w:rsidRPr="00B00197">
        <w:rPr>
          <w:rFonts w:ascii="Book Antiqua" w:hAnsi="Book Antiqua"/>
          <w:i/>
          <w:iCs/>
          <w:color w:val="000000" w:themeColor="text1"/>
          <w:lang w:val="es-PR"/>
        </w:rPr>
        <w:t xml:space="preserve"> en el mayor nivel de detalle disponible </w:t>
      </w:r>
      <w:r w:rsidR="00FE1CDC" w:rsidRPr="00B00197">
        <w:rPr>
          <w:rFonts w:ascii="Book Antiqua" w:hAnsi="Book Antiqua"/>
          <w:i/>
          <w:iCs/>
          <w:color w:val="000000" w:themeColor="text1"/>
          <w:lang w:val="es-PR"/>
        </w:rPr>
        <w:t>en los sistemas financieros del Departamento de Hacienda</w:t>
      </w:r>
      <w:r w:rsidR="002706F2" w:rsidRPr="00B00197">
        <w:rPr>
          <w:rFonts w:ascii="Book Antiqua" w:hAnsi="Book Antiqua"/>
          <w:i/>
          <w:iCs/>
          <w:color w:val="000000" w:themeColor="text1"/>
          <w:lang w:val="es-PR"/>
        </w:rPr>
        <w:t>,</w:t>
      </w:r>
      <w:r w:rsidR="0053273C" w:rsidRPr="00B00197">
        <w:rPr>
          <w:rFonts w:ascii="Book Antiqua" w:hAnsi="Book Antiqua"/>
          <w:i/>
          <w:iCs/>
          <w:color w:val="000000" w:themeColor="text1"/>
          <w:lang w:val="es-PR"/>
        </w:rPr>
        <w:t xml:space="preserve"> en la medida de lo </w:t>
      </w:r>
      <w:r w:rsidR="00B87F4D" w:rsidRPr="00B00197">
        <w:rPr>
          <w:rFonts w:ascii="Book Antiqua" w:hAnsi="Book Antiqua"/>
          <w:i/>
          <w:iCs/>
          <w:color w:val="000000" w:themeColor="text1"/>
          <w:lang w:val="es-PR"/>
        </w:rPr>
        <w:t xml:space="preserve">práctico y </w:t>
      </w:r>
      <w:r w:rsidR="0053273C" w:rsidRPr="00B00197">
        <w:rPr>
          <w:rFonts w:ascii="Book Antiqua" w:hAnsi="Book Antiqua"/>
          <w:i/>
          <w:iCs/>
          <w:color w:val="000000" w:themeColor="text1"/>
          <w:lang w:val="es-PR"/>
        </w:rPr>
        <w:t>posible</w:t>
      </w:r>
      <w:r w:rsidR="00CA415A" w:rsidRPr="00B00197">
        <w:rPr>
          <w:rFonts w:ascii="Book Antiqua" w:hAnsi="Book Antiqua"/>
          <w:i/>
          <w:iCs/>
          <w:color w:val="000000" w:themeColor="text1"/>
          <w:lang w:val="es-PR"/>
        </w:rPr>
        <w:t>.</w:t>
      </w:r>
    </w:p>
    <w:p w14:paraId="71C1B17A" w14:textId="712F9D16"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Siempre que se proponga transferir ingresos o gastos hacia o desde el Fondo General a otro tipo de fondo, cada cantidad así transferida deberá ser identificada.</w:t>
      </w:r>
    </w:p>
    <w:p w14:paraId="2EC28424" w14:textId="27E8BC30" w:rsidR="00997ED6" w:rsidRPr="00B00197" w:rsidRDefault="00A07FFC"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lastRenderedPageBreak/>
        <w:t>El documento del</w:t>
      </w:r>
      <w:r w:rsidR="00997ED6" w:rsidRPr="00B00197">
        <w:rPr>
          <w:rFonts w:ascii="Book Antiqua" w:hAnsi="Book Antiqua"/>
          <w:i/>
          <w:iCs/>
          <w:color w:val="000000" w:themeColor="text1"/>
          <w:lang w:val="es-PR"/>
        </w:rPr>
        <w:t xml:space="preserve"> plan financiero deberá contener un resumen</w:t>
      </w:r>
      <w:r w:rsidRPr="00B00197">
        <w:rPr>
          <w:rFonts w:ascii="Book Antiqua" w:hAnsi="Book Antiqua"/>
          <w:i/>
          <w:iCs/>
          <w:color w:val="000000" w:themeColor="text1"/>
          <w:lang w:val="es-PR"/>
        </w:rPr>
        <w:t xml:space="preserve"> narrativo</w:t>
      </w:r>
      <w:r w:rsidR="00997ED6" w:rsidRPr="00B00197">
        <w:rPr>
          <w:rFonts w:ascii="Book Antiqua" w:hAnsi="Book Antiqua"/>
          <w:i/>
          <w:iCs/>
          <w:color w:val="000000" w:themeColor="text1"/>
          <w:lang w:val="es-PR"/>
        </w:rPr>
        <w:t xml:space="preserve"> y tablas detalladas que muestren los ingresos recibidos durante el año fiscal anterior, los ingresos estimados disponibles y a ser recibidos durante el año fiscal en curso y el año fiscal siguiente, respectivamente, desglosados por cada fuente principal, incluyendo tablas estadísticas, así </w:t>
      </w:r>
      <w:proofErr w:type="gramStart"/>
      <w:r w:rsidR="00997ED6" w:rsidRPr="00B00197">
        <w:rPr>
          <w:rFonts w:ascii="Book Antiqua" w:hAnsi="Book Antiqua"/>
          <w:i/>
          <w:iCs/>
          <w:color w:val="000000" w:themeColor="text1"/>
          <w:lang w:val="es-PR"/>
        </w:rPr>
        <w:t>como  una</w:t>
      </w:r>
      <w:proofErr w:type="gramEnd"/>
      <w:r w:rsidR="00997ED6" w:rsidRPr="00B00197">
        <w:rPr>
          <w:rFonts w:ascii="Book Antiqua" w:hAnsi="Book Antiqua"/>
          <w:i/>
          <w:iCs/>
          <w:color w:val="000000" w:themeColor="text1"/>
          <w:lang w:val="es-PR"/>
        </w:rPr>
        <w:t xml:space="preserve"> discusión de los supuestos utilizados para estimar dichos ingresos. El efecto </w:t>
      </w:r>
      <w:r w:rsidRPr="00B00197">
        <w:rPr>
          <w:rFonts w:ascii="Book Antiqua" w:hAnsi="Book Antiqua"/>
          <w:i/>
          <w:iCs/>
          <w:color w:val="000000" w:themeColor="text1"/>
          <w:lang w:val="es-PR"/>
        </w:rPr>
        <w:t xml:space="preserve">sobre el plan financiero </w:t>
      </w:r>
      <w:r w:rsidR="00997ED6" w:rsidRPr="00B00197">
        <w:rPr>
          <w:rFonts w:ascii="Book Antiqua" w:hAnsi="Book Antiqua"/>
          <w:i/>
          <w:iCs/>
          <w:color w:val="000000" w:themeColor="text1"/>
          <w:lang w:val="es-PR"/>
        </w:rPr>
        <w:t xml:space="preserve">de cualquier cambio propuesto </w:t>
      </w:r>
      <w:r w:rsidRPr="00B00197">
        <w:rPr>
          <w:rFonts w:ascii="Book Antiqua" w:hAnsi="Book Antiqua"/>
          <w:i/>
          <w:iCs/>
          <w:color w:val="000000" w:themeColor="text1"/>
          <w:lang w:val="es-PR"/>
        </w:rPr>
        <w:t xml:space="preserve">a </w:t>
      </w:r>
      <w:r w:rsidR="00997ED6" w:rsidRPr="00B00197">
        <w:rPr>
          <w:rFonts w:ascii="Book Antiqua" w:hAnsi="Book Antiqua"/>
          <w:i/>
          <w:iCs/>
          <w:color w:val="000000" w:themeColor="text1"/>
          <w:lang w:val="es-PR"/>
        </w:rPr>
        <w:t xml:space="preserve">tasas, bases, fechas de pago u otros aspectos de las fuentes de ingresos deberá </w:t>
      </w:r>
      <w:r w:rsidRPr="00B00197">
        <w:rPr>
          <w:rFonts w:ascii="Book Antiqua" w:hAnsi="Book Antiqua"/>
          <w:i/>
          <w:iCs/>
          <w:color w:val="000000" w:themeColor="text1"/>
          <w:lang w:val="es-PR"/>
        </w:rPr>
        <w:t xml:space="preserve">documentarse </w:t>
      </w:r>
      <w:r w:rsidR="00997ED6" w:rsidRPr="00B00197">
        <w:rPr>
          <w:rFonts w:ascii="Book Antiqua" w:hAnsi="Book Antiqua"/>
          <w:i/>
          <w:iCs/>
          <w:color w:val="000000" w:themeColor="text1"/>
          <w:lang w:val="es-PR"/>
        </w:rPr>
        <w:t xml:space="preserve">por separado </w:t>
      </w:r>
      <w:r w:rsidRPr="00B00197">
        <w:rPr>
          <w:rFonts w:ascii="Book Antiqua" w:hAnsi="Book Antiqua"/>
          <w:i/>
          <w:iCs/>
          <w:color w:val="000000" w:themeColor="text1"/>
          <w:lang w:val="es-PR"/>
        </w:rPr>
        <w:t>junto con la</w:t>
      </w:r>
      <w:r w:rsidR="00997ED6" w:rsidRPr="00B00197">
        <w:rPr>
          <w:rFonts w:ascii="Book Antiqua" w:hAnsi="Book Antiqua"/>
          <w:i/>
          <w:iCs/>
          <w:color w:val="000000" w:themeColor="text1"/>
          <w:lang w:val="es-PR"/>
        </w:rPr>
        <w:t xml:space="preserve"> explicación</w:t>
      </w:r>
      <w:r w:rsidRPr="00B00197">
        <w:rPr>
          <w:rFonts w:ascii="Book Antiqua" w:hAnsi="Book Antiqua"/>
          <w:i/>
          <w:iCs/>
          <w:color w:val="000000" w:themeColor="text1"/>
          <w:lang w:val="es-PR"/>
        </w:rPr>
        <w:t xml:space="preserve"> del </w:t>
      </w:r>
      <w:r w:rsidR="00E010FA" w:rsidRPr="00B00197">
        <w:rPr>
          <w:rFonts w:ascii="Book Antiqua" w:hAnsi="Book Antiqua"/>
          <w:i/>
          <w:iCs/>
          <w:color w:val="000000" w:themeColor="text1"/>
          <w:lang w:val="es-PR"/>
        </w:rPr>
        <w:t>porqué</w:t>
      </w:r>
      <w:r w:rsidRPr="00B00197">
        <w:rPr>
          <w:rFonts w:ascii="Book Antiqua" w:hAnsi="Book Antiqua"/>
          <w:i/>
          <w:iCs/>
          <w:color w:val="000000" w:themeColor="text1"/>
          <w:lang w:val="es-PR"/>
        </w:rPr>
        <w:t xml:space="preserve"> del cambio</w:t>
      </w:r>
      <w:r w:rsidR="00084091" w:rsidRPr="00B00197">
        <w:rPr>
          <w:rFonts w:ascii="Book Antiqua" w:hAnsi="Book Antiqua"/>
          <w:i/>
          <w:iCs/>
          <w:color w:val="000000" w:themeColor="text1"/>
          <w:lang w:val="es-PR"/>
        </w:rPr>
        <w:t xml:space="preserve"> y</w:t>
      </w:r>
      <w:r w:rsidR="00997ED6" w:rsidRPr="00B00197">
        <w:rPr>
          <w:rFonts w:ascii="Book Antiqua" w:hAnsi="Book Antiqua"/>
          <w:i/>
          <w:iCs/>
          <w:color w:val="000000" w:themeColor="text1"/>
          <w:lang w:val="es-PR"/>
        </w:rPr>
        <w:t xml:space="preserve"> los supuestos utilizados para calcular el efecto.</w:t>
      </w:r>
      <w:r w:rsidR="00CA415A" w:rsidRPr="00B00197">
        <w:rPr>
          <w:rFonts w:ascii="Book Antiqua" w:hAnsi="Book Antiqua"/>
          <w:i/>
          <w:iCs/>
          <w:color w:val="000000" w:themeColor="text1"/>
          <w:lang w:val="es-PR"/>
        </w:rPr>
        <w:t xml:space="preserve"> </w:t>
      </w:r>
      <w:r w:rsidRPr="00B00197">
        <w:rPr>
          <w:rFonts w:ascii="Book Antiqua" w:hAnsi="Book Antiqua"/>
          <w:i/>
          <w:iCs/>
          <w:color w:val="000000" w:themeColor="text1"/>
          <w:lang w:val="es-PR"/>
        </w:rPr>
        <w:t>Cuando</w:t>
      </w:r>
      <w:r w:rsidR="00997ED6" w:rsidRPr="00B00197">
        <w:rPr>
          <w:rFonts w:ascii="Book Antiqua" w:hAnsi="Book Antiqua"/>
          <w:i/>
          <w:iCs/>
          <w:color w:val="000000" w:themeColor="text1"/>
          <w:lang w:val="es-PR"/>
        </w:rPr>
        <w:t xml:space="preserve"> se proponga un </w:t>
      </w:r>
      <w:proofErr w:type="gramStart"/>
      <w:r w:rsidR="00997ED6" w:rsidRPr="00B00197">
        <w:rPr>
          <w:rFonts w:ascii="Book Antiqua" w:hAnsi="Book Antiqua"/>
          <w:i/>
          <w:iCs/>
          <w:color w:val="000000" w:themeColor="text1"/>
          <w:lang w:val="es-PR"/>
        </w:rPr>
        <w:t>nuevo cargo o un nuevo mecanismo</w:t>
      </w:r>
      <w:proofErr w:type="gramEnd"/>
      <w:r w:rsidR="00997ED6" w:rsidRPr="00B00197">
        <w:rPr>
          <w:rFonts w:ascii="Book Antiqua" w:hAnsi="Book Antiqua"/>
          <w:i/>
          <w:iCs/>
          <w:color w:val="000000" w:themeColor="text1"/>
          <w:lang w:val="es-PR"/>
        </w:rPr>
        <w:t xml:space="preserve"> de financiamiento, deberá incluirse un desglose de dicho cargo o mecanismo de financiamiento </w:t>
      </w:r>
      <w:r w:rsidRPr="00B00197">
        <w:rPr>
          <w:rFonts w:ascii="Book Antiqua" w:hAnsi="Book Antiqua"/>
          <w:i/>
          <w:iCs/>
          <w:color w:val="000000" w:themeColor="text1"/>
          <w:lang w:val="es-PR"/>
        </w:rPr>
        <w:t>y</w:t>
      </w:r>
      <w:r w:rsidR="00997ED6" w:rsidRPr="00B00197">
        <w:rPr>
          <w:rFonts w:ascii="Book Antiqua" w:hAnsi="Book Antiqua"/>
          <w:i/>
          <w:iCs/>
          <w:color w:val="000000" w:themeColor="text1"/>
          <w:lang w:val="es-PR"/>
        </w:rPr>
        <w:t xml:space="preserve"> su efecto sobre el plan financiero.</w:t>
      </w:r>
    </w:p>
    <w:p w14:paraId="7754256D" w14:textId="77777777" w:rsidR="00997ED6" w:rsidRPr="00B00197" w:rsidRDefault="00997ED6" w:rsidP="00997ED6">
      <w:pPr>
        <w:pStyle w:val="Textoindependiente"/>
        <w:ind w:firstLine="720"/>
        <w:rPr>
          <w:rFonts w:ascii="Book Antiqua" w:hAnsi="Book Antiqua"/>
          <w:i/>
          <w:iCs/>
          <w:color w:val="000000" w:themeColor="text1"/>
          <w:lang w:val="es-PR"/>
        </w:rPr>
      </w:pPr>
      <w:r w:rsidRPr="00B00197">
        <w:rPr>
          <w:rFonts w:ascii="Book Antiqua" w:hAnsi="Book Antiqua"/>
          <w:i/>
          <w:iCs/>
          <w:color w:val="000000" w:themeColor="text1"/>
          <w:lang w:val="es-PR"/>
        </w:rPr>
        <w:t>Los gastos en el plan financiero deberán presentarse de manera consistente con la Resolución Conjunta del Presupuesto del Fondo General.</w:t>
      </w:r>
    </w:p>
    <w:p w14:paraId="28A28AFC" w14:textId="76688715" w:rsidR="00997ED6" w:rsidRPr="00B00197" w:rsidRDefault="00A65304" w:rsidP="005F3854">
      <w:pPr>
        <w:pStyle w:val="Textoindependiente"/>
        <w:ind w:firstLine="720"/>
        <w:rPr>
          <w:rFonts w:ascii="Book Antiqua" w:hAnsi="Book Antiqua"/>
          <w:color w:val="000000" w:themeColor="text1"/>
          <w:lang w:val="es-PR"/>
        </w:rPr>
      </w:pPr>
      <w:r w:rsidRPr="00B00197">
        <w:rPr>
          <w:rFonts w:ascii="Book Antiqua" w:hAnsi="Book Antiqua"/>
          <w:i/>
          <w:iCs/>
          <w:color w:val="000000" w:themeColor="text1"/>
          <w:lang w:val="es-PR"/>
        </w:rPr>
        <w:t>El plan financiero también deberá contener un análisis de flujo de efectivo de los ingresos proyectados, gastos y otras fuentes o usos de financiamiento para cada mes del año fiscal en curso y del año fiscal subsiguiente del Gobierno de Puerto Rico</w:t>
      </w:r>
      <w:r w:rsidR="008F16AC" w:rsidRPr="00B00197">
        <w:rPr>
          <w:rFonts w:ascii="Book Antiqua" w:hAnsi="Book Antiqua"/>
          <w:i/>
          <w:iCs/>
          <w:color w:val="000000" w:themeColor="text1"/>
          <w:lang w:val="es-PR"/>
        </w:rPr>
        <w:t xml:space="preserve">, el cual </w:t>
      </w:r>
      <w:r w:rsidR="000A56F6" w:rsidRPr="00B00197">
        <w:rPr>
          <w:rFonts w:ascii="Book Antiqua" w:hAnsi="Book Antiqua"/>
          <w:i/>
          <w:iCs/>
          <w:color w:val="000000" w:themeColor="text1"/>
          <w:lang w:val="es-PR"/>
        </w:rPr>
        <w:t>podrá ser</w:t>
      </w:r>
      <w:r w:rsidR="008F16AC" w:rsidRPr="00B00197">
        <w:rPr>
          <w:rFonts w:ascii="Book Antiqua" w:hAnsi="Book Antiqua"/>
          <w:i/>
          <w:iCs/>
          <w:color w:val="000000" w:themeColor="text1"/>
          <w:lang w:val="es-PR"/>
        </w:rPr>
        <w:t xml:space="preserve"> </w:t>
      </w:r>
      <w:r w:rsidR="000A56F6" w:rsidRPr="00B00197">
        <w:rPr>
          <w:rFonts w:ascii="Book Antiqua" w:hAnsi="Book Antiqua"/>
          <w:i/>
          <w:iCs/>
          <w:color w:val="000000" w:themeColor="text1"/>
          <w:lang w:val="es-PR"/>
        </w:rPr>
        <w:t>periódicamente a</w:t>
      </w:r>
      <w:r w:rsidR="00C93DDB" w:rsidRPr="00B00197">
        <w:rPr>
          <w:rFonts w:ascii="Book Antiqua" w:hAnsi="Book Antiqua"/>
          <w:i/>
          <w:iCs/>
          <w:color w:val="000000" w:themeColor="text1"/>
          <w:lang w:val="es-PR"/>
        </w:rPr>
        <w:t xml:space="preserve">ctualizado y revisado según sea </w:t>
      </w:r>
      <w:r w:rsidR="004013FD" w:rsidRPr="00B00197">
        <w:rPr>
          <w:rFonts w:ascii="Book Antiqua" w:hAnsi="Book Antiqua"/>
          <w:i/>
          <w:iCs/>
          <w:color w:val="000000" w:themeColor="text1"/>
          <w:lang w:val="es-PR"/>
        </w:rPr>
        <w:t>necesario</w:t>
      </w:r>
      <w:r w:rsidRPr="00B00197">
        <w:rPr>
          <w:rFonts w:ascii="Book Antiqua" w:hAnsi="Book Antiqua"/>
          <w:i/>
          <w:iCs/>
          <w:color w:val="000000" w:themeColor="text1"/>
          <w:lang w:val="es-PR"/>
        </w:rPr>
        <w:t xml:space="preserve">. </w:t>
      </w:r>
    </w:p>
    <w:p w14:paraId="5E7EFBB9" w14:textId="4DA46CCA" w:rsidR="684E2B82" w:rsidRPr="00B00197" w:rsidRDefault="684E2B82" w:rsidP="22AC9079">
      <w:pPr>
        <w:pStyle w:val="Textoindependiente"/>
        <w:ind w:firstLine="720"/>
        <w:rPr>
          <w:rFonts w:ascii="Book Antiqua" w:eastAsia="Book Antiqua" w:hAnsi="Book Antiqua" w:cs="Book Antiqua"/>
          <w:color w:val="000000" w:themeColor="text1"/>
          <w:szCs w:val="24"/>
          <w:lang w:val="es-PR"/>
        </w:rPr>
      </w:pPr>
      <w:r w:rsidRPr="00B00197">
        <w:rPr>
          <w:rFonts w:ascii="Book Antiqua" w:eastAsia="Book Antiqua" w:hAnsi="Book Antiqua" w:cs="Book Antiqua"/>
          <w:i/>
          <w:iCs/>
          <w:color w:val="000000" w:themeColor="text1"/>
          <w:szCs w:val="24"/>
          <w:lang w:val="es-PR"/>
        </w:rPr>
        <w:t>El Plan Financiero Quinquenal deberá ser preparado, actualizado y modificado de acuerdo con los principios de contabilidad generalmente aceptados en los Estados Unidos, incluyendo la acumulación modificada.</w:t>
      </w:r>
      <w:r w:rsidRPr="00B00197">
        <w:rPr>
          <w:rFonts w:ascii="Book Antiqua" w:eastAsia="Book Antiqua" w:hAnsi="Book Antiqua" w:cs="Book Antiqua"/>
          <w:color w:val="000000" w:themeColor="text1"/>
          <w:szCs w:val="24"/>
          <w:lang w:val="es-PR"/>
        </w:rPr>
        <w:t>”</w:t>
      </w:r>
    </w:p>
    <w:p w14:paraId="6B92C3C5" w14:textId="073F41B7" w:rsidR="00321AAF" w:rsidRPr="00B00197" w:rsidRDefault="00321AAF" w:rsidP="00321AA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Sección 4</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7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se lea como sigue: </w:t>
      </w:r>
    </w:p>
    <w:p w14:paraId="11510220" w14:textId="2F1ADD54" w:rsidR="00D21909" w:rsidRPr="00B00197" w:rsidRDefault="00321AAF" w:rsidP="00543E7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 xml:space="preserve">“Artículo 7. — Fondo Especial. </w:t>
      </w:r>
    </w:p>
    <w:p w14:paraId="4A2BB804" w14:textId="77777777" w:rsidR="006C7EC7" w:rsidRPr="00B00197" w:rsidRDefault="00543E7F" w:rsidP="00543E7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lastRenderedPageBreak/>
        <w:t xml:space="preserve">Se crea un Fondo Especial, bajo la custodia de la Oficina de Gerencia y Presupuesto, no sujeto a un año fiscal determinado, distinto y separado de todo otro dinero o fondos del Estado, para que ingresen los fondos que se deriven de los pagos o reembolsos que realicen las agencias e instrumentalidades públicas del Gobierno de Puerto Rico como resultado de la imposición de tarifas y/o cobros. </w:t>
      </w:r>
    </w:p>
    <w:p w14:paraId="04A187E5" w14:textId="48002F84" w:rsidR="00D21909" w:rsidRPr="00B00197" w:rsidRDefault="00543E7F" w:rsidP="00543E7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 xml:space="preserve">El presente Fondo será utilizado por el </w:t>
      </w:r>
      <w:proofErr w:type="gramStart"/>
      <w:r w:rsidRPr="00B00197">
        <w:rPr>
          <w:rFonts w:ascii="Book Antiqua" w:hAnsi="Book Antiqua"/>
          <w:color w:val="000000" w:themeColor="text1"/>
          <w:lang w:val="es-PR"/>
        </w:rPr>
        <w:t>Director</w:t>
      </w:r>
      <w:proofErr w:type="gramEnd"/>
      <w:r w:rsidRPr="00B00197">
        <w:rPr>
          <w:rFonts w:ascii="Book Antiqua" w:hAnsi="Book Antiqua"/>
          <w:color w:val="000000" w:themeColor="text1"/>
          <w:lang w:val="es-PR"/>
        </w:rPr>
        <w:t xml:space="preserve"> de la Oficina de Gerencia y Presupuesto para cubrir los gastos relacionados con los servicios provistos por la Oficina y/o aquéllos que fueren contratados para beneficio de las agencias e instrumentalidades del Gobierno de Puerto Rico o para cubrir cualquier necesidad que éste identifique en la Oficina de Gerencia y Presupuesto.</w:t>
      </w:r>
    </w:p>
    <w:p w14:paraId="786D3B93" w14:textId="0BCDE8C1" w:rsidR="00321AAF" w:rsidRPr="00B00197" w:rsidRDefault="00D21909" w:rsidP="00543E7F">
      <w:pPr>
        <w:pStyle w:val="Textoindependiente"/>
        <w:ind w:firstLine="720"/>
        <w:rPr>
          <w:rFonts w:ascii="Book Antiqua" w:hAnsi="Book Antiqua"/>
          <w:color w:val="000000" w:themeColor="text1"/>
          <w:lang w:val="es-PR"/>
        </w:rPr>
      </w:pPr>
      <w:r w:rsidRPr="00B00197">
        <w:rPr>
          <w:rFonts w:ascii="Book Antiqua" w:hAnsi="Book Antiqua"/>
          <w:i/>
          <w:iCs/>
          <w:color w:val="000000" w:themeColor="text1"/>
          <w:lang w:val="es-PR"/>
        </w:rPr>
        <w:t>Nada de lo dispuesto en este Artículo podrá ser interpretado como un menoscabo de las responsabilidades del Gobierno de Puerto Rico con respecto al Fondo de Reserva para la Estabilización Presupuestaria.</w:t>
      </w:r>
      <w:r w:rsidRPr="00B00197">
        <w:rPr>
          <w:rFonts w:ascii="Book Antiqua" w:hAnsi="Book Antiqua"/>
          <w:color w:val="000000" w:themeColor="text1"/>
          <w:lang w:val="es-PR"/>
        </w:rPr>
        <w:t>”</w:t>
      </w:r>
    </w:p>
    <w:p w14:paraId="07BC8761" w14:textId="25957AD5" w:rsidR="00321AAF" w:rsidRPr="00B00197" w:rsidRDefault="00321AAF" w:rsidP="22AC9079">
      <w:pPr>
        <w:pStyle w:val="Textoindependiente"/>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Pr="00B00197">
        <w:rPr>
          <w:rFonts w:ascii="Book Antiqua" w:eastAsia="Book Antiqua" w:hAnsi="Book Antiqua" w:cs="Book Antiqua"/>
          <w:color w:val="000000" w:themeColor="text1"/>
          <w:lang w:val="es-PR"/>
        </w:rPr>
        <w:t>5.</w:t>
      </w:r>
      <w:r w:rsidRPr="00B00197">
        <w:rPr>
          <w:rFonts w:ascii="Book Antiqua" w:eastAsiaTheme="minorEastAsia" w:hAnsi="Book Antiqua" w:cs="Times"/>
          <w:color w:val="000000" w:themeColor="text1"/>
          <w:lang w:val="es-PR"/>
        </w:rPr>
        <w:t xml:space="preserve">-Salvedad. </w:t>
      </w:r>
    </w:p>
    <w:p w14:paraId="66A239ED" w14:textId="08E8F4C9" w:rsidR="00321AAF" w:rsidRPr="00B00197" w:rsidRDefault="002554DC">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Ninguna de las disposiciones de esta Ley podrá ser interpretada en el sentido de 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705AF4F0" w14:textId="637693FE" w:rsidR="00321AAF" w:rsidRPr="00B00197" w:rsidRDefault="00321AAF" w:rsidP="00321AA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Pr="00B00197">
        <w:rPr>
          <w:rFonts w:ascii="Book Antiqua" w:eastAsia="Book Antiqua" w:hAnsi="Book Antiqua" w:cs="Book Antiqua"/>
          <w:color w:val="000000" w:themeColor="text1"/>
          <w:lang w:val="es-PR"/>
        </w:rPr>
        <w:t>6.</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Separabilidad.</w:t>
      </w:r>
    </w:p>
    <w:p w14:paraId="51CC110D" w14:textId="77777777" w:rsidR="00EC4415" w:rsidRPr="00B00197" w:rsidRDefault="00EC4415" w:rsidP="00EC4415">
      <w:pPr>
        <w:spacing w:line="480" w:lineRule="auto"/>
        <w:ind w:firstLine="708"/>
        <w:jc w:val="both"/>
        <w:rPr>
          <w:rFonts w:ascii="Book Antiqua" w:hAnsi="Book Antiqua"/>
          <w:color w:val="000000" w:themeColor="text1"/>
          <w:lang w:val="es-PR"/>
        </w:rPr>
      </w:pPr>
      <w:r w:rsidRPr="00B00197">
        <w:rPr>
          <w:rFonts w:ascii="Book Antiqua" w:hAnsi="Book Antiqua"/>
          <w:color w:val="000000" w:themeColor="text1"/>
          <w:lang w:val="es-PR"/>
        </w:rPr>
        <w:lastRenderedPageBreak/>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86B1088" w14:textId="61CC0BCD" w:rsidR="00321AAF" w:rsidRPr="00B00197" w:rsidRDefault="00321AAF" w:rsidP="22AC9079">
      <w:pPr>
        <w:pStyle w:val="Textoindependiente"/>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Pr="00B00197">
        <w:rPr>
          <w:rFonts w:ascii="Book Antiqua" w:eastAsia="Book Antiqua" w:hAnsi="Book Antiqua" w:cs="Book Antiqua"/>
          <w:color w:val="000000" w:themeColor="text1"/>
          <w:lang w:val="es-PR"/>
        </w:rPr>
        <w:t>7.</w:t>
      </w:r>
      <w:r w:rsidRPr="00B00197">
        <w:rPr>
          <w:rFonts w:ascii="Book Antiqua" w:eastAsiaTheme="minorEastAsia" w:hAnsi="Book Antiqua" w:cs="Times"/>
          <w:color w:val="000000" w:themeColor="text1"/>
          <w:lang w:val="es-PR"/>
        </w:rPr>
        <w:t>-Vigencia.</w:t>
      </w:r>
    </w:p>
    <w:p w14:paraId="1B97762E" w14:textId="6331BD0D" w:rsidR="004F046B" w:rsidRPr="00B00197" w:rsidRDefault="00321AAF" w:rsidP="00321AAF">
      <w:pPr>
        <w:pStyle w:val="Textoindependiente"/>
        <w:ind w:firstLine="720"/>
        <w:rPr>
          <w:rFonts w:ascii="Book Antiqua" w:hAnsi="Book Antiqua"/>
          <w:color w:val="000000" w:themeColor="text1"/>
          <w:lang w:val="es-PR"/>
        </w:rPr>
      </w:pPr>
      <w:r w:rsidRPr="00B00197">
        <w:rPr>
          <w:rFonts w:ascii="Book Antiqua" w:hAnsi="Book Antiqua"/>
          <w:color w:val="000000" w:themeColor="text1"/>
          <w:lang w:val="es-PR"/>
        </w:rPr>
        <w:t>Esta Ley entrará en vigor inmediatamente después de su aprobación</w:t>
      </w:r>
      <w:bookmarkEnd w:id="1"/>
      <w:bookmarkEnd w:id="2"/>
      <w:r w:rsidRPr="00B00197">
        <w:rPr>
          <w:rFonts w:ascii="Book Antiqua" w:hAnsi="Book Antiqua"/>
          <w:color w:val="000000" w:themeColor="text1"/>
          <w:lang w:val="es-PR"/>
        </w:rPr>
        <w:t>.</w:t>
      </w:r>
    </w:p>
    <w:sectPr w:rsidR="004F046B" w:rsidRPr="00B00197" w:rsidSect="00321AAF">
      <w:footerReference w:type="default" r:id="rId15"/>
      <w:footerReference w:type="first" r:id="rI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5564C" w14:textId="77777777" w:rsidR="007B67F7" w:rsidRDefault="007B67F7">
      <w:r>
        <w:separator/>
      </w:r>
    </w:p>
  </w:endnote>
  <w:endnote w:type="continuationSeparator" w:id="0">
    <w:p w14:paraId="713706FF" w14:textId="77777777" w:rsidR="007B67F7" w:rsidRDefault="007B67F7">
      <w:r>
        <w:continuationSeparator/>
      </w:r>
    </w:p>
  </w:endnote>
  <w:endnote w:type="continuationNotice" w:id="1">
    <w:p w14:paraId="10936A24" w14:textId="77777777" w:rsidR="007B67F7" w:rsidRDefault="007B6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F5CF" w14:textId="77777777" w:rsidR="00321AAF" w:rsidRDefault="00321AAF">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321AAF" w14:paraId="24870C34" w14:textId="77777777">
      <w:trPr>
        <w:trHeight w:val="300"/>
      </w:trPr>
      <w:tc>
        <w:tcPr>
          <w:tcW w:w="3120" w:type="dxa"/>
          <w:tcMar>
            <w:top w:w="0" w:type="dxa"/>
            <w:left w:w="108" w:type="dxa"/>
            <w:bottom w:w="0" w:type="dxa"/>
            <w:right w:w="108" w:type="dxa"/>
          </w:tcMar>
        </w:tcPr>
        <w:p w14:paraId="3222C883" w14:textId="77777777" w:rsidR="00321AAF" w:rsidRDefault="00321AAF">
          <w:pPr>
            <w:tabs>
              <w:tab w:val="center" w:pos="4320"/>
              <w:tab w:val="right" w:pos="8640"/>
            </w:tabs>
            <w:ind w:left="-115"/>
            <w:rPr>
              <w:color w:val="000000"/>
            </w:rPr>
          </w:pPr>
        </w:p>
      </w:tc>
      <w:tc>
        <w:tcPr>
          <w:tcW w:w="3120" w:type="dxa"/>
          <w:tcMar>
            <w:top w:w="0" w:type="dxa"/>
            <w:left w:w="108" w:type="dxa"/>
            <w:bottom w:w="0" w:type="dxa"/>
            <w:right w:w="108" w:type="dxa"/>
          </w:tcMar>
        </w:tcPr>
        <w:p w14:paraId="7B7319E9" w14:textId="77777777" w:rsidR="00321AAF" w:rsidRDefault="00321AAF">
          <w:pPr>
            <w:tabs>
              <w:tab w:val="center" w:pos="4320"/>
              <w:tab w:val="right" w:pos="8640"/>
            </w:tabs>
            <w:jc w:val="center"/>
            <w:rPr>
              <w:color w:val="000000"/>
            </w:rPr>
          </w:pPr>
        </w:p>
      </w:tc>
      <w:tc>
        <w:tcPr>
          <w:tcW w:w="3120" w:type="dxa"/>
          <w:tcMar>
            <w:top w:w="0" w:type="dxa"/>
            <w:left w:w="108" w:type="dxa"/>
            <w:bottom w:w="0" w:type="dxa"/>
            <w:right w:w="108" w:type="dxa"/>
          </w:tcMar>
        </w:tcPr>
        <w:p w14:paraId="09B5F510" w14:textId="77777777" w:rsidR="00321AAF" w:rsidRDefault="00321AAF">
          <w:pPr>
            <w:tabs>
              <w:tab w:val="center" w:pos="4320"/>
              <w:tab w:val="right" w:pos="8640"/>
            </w:tabs>
            <w:ind w:right="-115"/>
            <w:jc w:val="right"/>
            <w:rPr>
              <w:color w:val="000000"/>
            </w:rPr>
          </w:pPr>
        </w:p>
      </w:tc>
    </w:tr>
  </w:tbl>
  <w:p w14:paraId="6BEBF2DE" w14:textId="77777777" w:rsidR="00321AAF" w:rsidRDefault="00321AA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A900" w14:textId="77777777" w:rsidR="00321AAF" w:rsidRDefault="00321AAF">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321AAF" w14:paraId="7040054D" w14:textId="77777777">
      <w:trPr>
        <w:trHeight w:val="300"/>
      </w:trPr>
      <w:tc>
        <w:tcPr>
          <w:tcW w:w="3120" w:type="dxa"/>
          <w:tcMar>
            <w:top w:w="0" w:type="dxa"/>
            <w:left w:w="108" w:type="dxa"/>
            <w:bottom w:w="0" w:type="dxa"/>
            <w:right w:w="108" w:type="dxa"/>
          </w:tcMar>
        </w:tcPr>
        <w:p w14:paraId="4E59419C" w14:textId="77777777" w:rsidR="00321AAF" w:rsidRDefault="00321AAF">
          <w:pPr>
            <w:tabs>
              <w:tab w:val="center" w:pos="4320"/>
              <w:tab w:val="right" w:pos="8640"/>
            </w:tabs>
            <w:ind w:left="-115"/>
            <w:rPr>
              <w:color w:val="000000"/>
            </w:rPr>
          </w:pPr>
        </w:p>
      </w:tc>
      <w:tc>
        <w:tcPr>
          <w:tcW w:w="3120" w:type="dxa"/>
          <w:tcMar>
            <w:top w:w="0" w:type="dxa"/>
            <w:left w:w="108" w:type="dxa"/>
            <w:bottom w:w="0" w:type="dxa"/>
            <w:right w:w="108" w:type="dxa"/>
          </w:tcMar>
        </w:tcPr>
        <w:p w14:paraId="5136EAFE" w14:textId="77777777" w:rsidR="00321AAF" w:rsidRDefault="00321AAF">
          <w:pPr>
            <w:tabs>
              <w:tab w:val="center" w:pos="4320"/>
              <w:tab w:val="right" w:pos="8640"/>
            </w:tabs>
            <w:jc w:val="center"/>
            <w:rPr>
              <w:color w:val="000000"/>
            </w:rPr>
          </w:pPr>
        </w:p>
      </w:tc>
      <w:tc>
        <w:tcPr>
          <w:tcW w:w="3120" w:type="dxa"/>
          <w:tcMar>
            <w:top w:w="0" w:type="dxa"/>
            <w:left w:w="108" w:type="dxa"/>
            <w:bottom w:w="0" w:type="dxa"/>
            <w:right w:w="108" w:type="dxa"/>
          </w:tcMar>
        </w:tcPr>
        <w:p w14:paraId="42E1ECA3" w14:textId="77777777" w:rsidR="00321AAF" w:rsidRDefault="00321AAF">
          <w:pPr>
            <w:tabs>
              <w:tab w:val="center" w:pos="4320"/>
              <w:tab w:val="right" w:pos="8640"/>
            </w:tabs>
            <w:ind w:right="-115"/>
            <w:jc w:val="right"/>
            <w:rPr>
              <w:color w:val="000000"/>
            </w:rPr>
          </w:pPr>
        </w:p>
      </w:tc>
    </w:tr>
  </w:tbl>
  <w:p w14:paraId="63183DE0" w14:textId="77777777" w:rsidR="00321AAF" w:rsidRDefault="00321AA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A839" w14:textId="77777777" w:rsidR="007B67F7" w:rsidRDefault="007B67F7">
      <w:r>
        <w:separator/>
      </w:r>
    </w:p>
  </w:footnote>
  <w:footnote w:type="continuationSeparator" w:id="0">
    <w:p w14:paraId="20DE0560" w14:textId="77777777" w:rsidR="007B67F7" w:rsidRDefault="007B67F7">
      <w:r>
        <w:continuationSeparator/>
      </w:r>
    </w:p>
  </w:footnote>
  <w:footnote w:type="continuationNotice" w:id="1">
    <w:p w14:paraId="6BE7BCFC" w14:textId="77777777" w:rsidR="007B67F7" w:rsidRDefault="007B67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234033" w14:textId="77777777" w:rsidR="007F61B2" w:rsidRDefault="007F61B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t>3</w:t>
    </w:r>
    <w:r>
      <w:rPr>
        <w:rStyle w:val="Nmerodepgina"/>
      </w:rPr>
      <w:fldChar w:fldCharType="end"/>
    </w:r>
  </w:p>
  <w:p w14:paraId="02234035" w14:textId="77777777" w:rsidR="007F61B2" w:rsidRDefault="007F61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7DE0AA7B" w:rsidR="007F61B2" w:rsidRPr="00C60B4E" w:rsidRDefault="00C60B4E" w:rsidP="00C60B4E">
    <w:pPr>
      <w:pStyle w:val="Encabezado"/>
      <w:jc w:val="right"/>
      <w:rPr>
        <w:lang w:val="en-US"/>
      </w:rPr>
    </w:pPr>
    <w:r>
      <w:rPr>
        <w:lang w:val="en-US"/>
      </w:rPr>
      <w:t>A-</w:t>
    </w:r>
    <w:r w:rsidR="00BC4816">
      <w:rPr>
        <w:lang w:val="en-US"/>
      </w:rPr>
      <w:t>11</w:t>
    </w:r>
    <w:r w:rsidR="00C52248">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20F93"/>
    <w:multiLevelType w:val="hybridMultilevel"/>
    <w:tmpl w:val="FE9AEFC4"/>
    <w:lvl w:ilvl="0" w:tplc="D0D86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6"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3"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65F0525"/>
    <w:multiLevelType w:val="hybridMultilevel"/>
    <w:tmpl w:val="F362A800"/>
    <w:lvl w:ilvl="0" w:tplc="1652C102">
      <w:start w:val="1"/>
      <w:numFmt w:val="lowerLetter"/>
      <w:lvlText w:val="(%1)"/>
      <w:lvlJc w:val="left"/>
      <w:pPr>
        <w:ind w:left="1428" w:hanging="360"/>
      </w:pPr>
      <w:rPr>
        <w:rFonts w:hint="default"/>
      </w:rPr>
    </w:lvl>
    <w:lvl w:ilvl="1" w:tplc="C616AD50">
      <w:start w:val="1"/>
      <w:numFmt w:val="decimal"/>
      <w:lvlText w:val="(%2)"/>
      <w:lvlJc w:val="left"/>
      <w:pPr>
        <w:ind w:left="2148" w:hanging="360"/>
      </w:pPr>
      <w:rPr>
        <w:rFonts w:hint="default"/>
      </w:rPr>
    </w:lvl>
    <w:lvl w:ilvl="2" w:tplc="C2667346">
      <w:start w:val="1"/>
      <w:numFmt w:val="upperLetter"/>
      <w:lvlText w:val="(%3)"/>
      <w:lvlJc w:val="left"/>
      <w:pPr>
        <w:ind w:left="3048" w:hanging="360"/>
      </w:pPr>
      <w:rPr>
        <w:rFonts w:hint="default"/>
      </w:rPr>
    </w:lvl>
    <w:lvl w:ilvl="3" w:tplc="0409000F">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6"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26679836">
    <w:abstractNumId w:val="15"/>
  </w:num>
  <w:num w:numId="2" w16cid:durableId="1371346932">
    <w:abstractNumId w:val="12"/>
  </w:num>
  <w:num w:numId="3" w16cid:durableId="524947008">
    <w:abstractNumId w:val="17"/>
  </w:num>
  <w:num w:numId="4" w16cid:durableId="953287012">
    <w:abstractNumId w:val="13"/>
  </w:num>
  <w:num w:numId="5" w16cid:durableId="1655598024">
    <w:abstractNumId w:val="24"/>
  </w:num>
  <w:num w:numId="6" w16cid:durableId="1217814185">
    <w:abstractNumId w:val="11"/>
  </w:num>
  <w:num w:numId="7" w16cid:durableId="2075471119">
    <w:abstractNumId w:val="28"/>
  </w:num>
  <w:num w:numId="8" w16cid:durableId="1352492699">
    <w:abstractNumId w:val="6"/>
  </w:num>
  <w:num w:numId="9" w16cid:durableId="1065568059">
    <w:abstractNumId w:val="4"/>
  </w:num>
  <w:num w:numId="10" w16cid:durableId="812260640">
    <w:abstractNumId w:val="7"/>
  </w:num>
  <w:num w:numId="11" w16cid:durableId="1601984185">
    <w:abstractNumId w:val="18"/>
  </w:num>
  <w:num w:numId="12" w16cid:durableId="638145393">
    <w:abstractNumId w:val="21"/>
  </w:num>
  <w:num w:numId="13" w16cid:durableId="806775625">
    <w:abstractNumId w:val="5"/>
  </w:num>
  <w:num w:numId="14" w16cid:durableId="1636637327">
    <w:abstractNumId w:val="0"/>
  </w:num>
  <w:num w:numId="15" w16cid:durableId="806045914">
    <w:abstractNumId w:val="1"/>
  </w:num>
  <w:num w:numId="16" w16cid:durableId="1539927644">
    <w:abstractNumId w:val="14"/>
  </w:num>
  <w:num w:numId="17" w16cid:durableId="434133857">
    <w:abstractNumId w:val="22"/>
  </w:num>
  <w:num w:numId="18" w16cid:durableId="2096854586">
    <w:abstractNumId w:val="23"/>
  </w:num>
  <w:num w:numId="19" w16cid:durableId="1248804972">
    <w:abstractNumId w:val="16"/>
  </w:num>
  <w:num w:numId="20" w16cid:durableId="701319688">
    <w:abstractNumId w:val="19"/>
  </w:num>
  <w:num w:numId="21" w16cid:durableId="1455562890">
    <w:abstractNumId w:val="8"/>
  </w:num>
  <w:num w:numId="22" w16cid:durableId="1539775587">
    <w:abstractNumId w:val="26"/>
  </w:num>
  <w:num w:numId="23" w16cid:durableId="124781396">
    <w:abstractNumId w:val="3"/>
  </w:num>
  <w:num w:numId="24" w16cid:durableId="471990364">
    <w:abstractNumId w:val="9"/>
  </w:num>
  <w:num w:numId="25" w16cid:durableId="1375929067">
    <w:abstractNumId w:val="10"/>
  </w:num>
  <w:num w:numId="26" w16cid:durableId="842547808">
    <w:abstractNumId w:val="27"/>
  </w:num>
  <w:num w:numId="27" w16cid:durableId="526286555">
    <w:abstractNumId w:val="20"/>
  </w:num>
  <w:num w:numId="28" w16cid:durableId="214199273">
    <w:abstractNumId w:val="25"/>
  </w:num>
  <w:num w:numId="29" w16cid:durableId="675688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1D35"/>
    <w:rsid w:val="00002768"/>
    <w:rsid w:val="00005CEB"/>
    <w:rsid w:val="00014190"/>
    <w:rsid w:val="000144A5"/>
    <w:rsid w:val="00014A7E"/>
    <w:rsid w:val="000164BB"/>
    <w:rsid w:val="00020EA3"/>
    <w:rsid w:val="000270A5"/>
    <w:rsid w:val="0003342F"/>
    <w:rsid w:val="0003426B"/>
    <w:rsid w:val="00034276"/>
    <w:rsid w:val="00035F4E"/>
    <w:rsid w:val="0004098B"/>
    <w:rsid w:val="00043605"/>
    <w:rsid w:val="00045F08"/>
    <w:rsid w:val="00051D27"/>
    <w:rsid w:val="0005326B"/>
    <w:rsid w:val="000543D6"/>
    <w:rsid w:val="00057584"/>
    <w:rsid w:val="000579C4"/>
    <w:rsid w:val="0005F48F"/>
    <w:rsid w:val="00062B92"/>
    <w:rsid w:val="00063D14"/>
    <w:rsid w:val="000659E0"/>
    <w:rsid w:val="0006732B"/>
    <w:rsid w:val="00071E71"/>
    <w:rsid w:val="00072DF4"/>
    <w:rsid w:val="000741B3"/>
    <w:rsid w:val="00075935"/>
    <w:rsid w:val="00076D71"/>
    <w:rsid w:val="00076E80"/>
    <w:rsid w:val="00084091"/>
    <w:rsid w:val="000866CA"/>
    <w:rsid w:val="0009260B"/>
    <w:rsid w:val="0009772C"/>
    <w:rsid w:val="000A1D21"/>
    <w:rsid w:val="000A1D5C"/>
    <w:rsid w:val="000A29E1"/>
    <w:rsid w:val="000A4C96"/>
    <w:rsid w:val="000A5112"/>
    <w:rsid w:val="000A56F6"/>
    <w:rsid w:val="000B0936"/>
    <w:rsid w:val="000C2412"/>
    <w:rsid w:val="000C30E2"/>
    <w:rsid w:val="000D0C3E"/>
    <w:rsid w:val="000D129F"/>
    <w:rsid w:val="000D67C9"/>
    <w:rsid w:val="000D7CB5"/>
    <w:rsid w:val="000E25DA"/>
    <w:rsid w:val="000E5ABE"/>
    <w:rsid w:val="000E6A9E"/>
    <w:rsid w:val="000F2929"/>
    <w:rsid w:val="000F3B48"/>
    <w:rsid w:val="00100AF1"/>
    <w:rsid w:val="001016AC"/>
    <w:rsid w:val="0010370A"/>
    <w:rsid w:val="00107941"/>
    <w:rsid w:val="0011023B"/>
    <w:rsid w:val="00111757"/>
    <w:rsid w:val="00112D3D"/>
    <w:rsid w:val="001166C7"/>
    <w:rsid w:val="00121A8C"/>
    <w:rsid w:val="00123293"/>
    <w:rsid w:val="00151B88"/>
    <w:rsid w:val="00151EAB"/>
    <w:rsid w:val="00154D43"/>
    <w:rsid w:val="001614B1"/>
    <w:rsid w:val="001624E9"/>
    <w:rsid w:val="00167892"/>
    <w:rsid w:val="00167A35"/>
    <w:rsid w:val="00170D6C"/>
    <w:rsid w:val="001725E1"/>
    <w:rsid w:val="001726F5"/>
    <w:rsid w:val="00173CAE"/>
    <w:rsid w:val="0017544C"/>
    <w:rsid w:val="00176176"/>
    <w:rsid w:val="00183D59"/>
    <w:rsid w:val="001855E6"/>
    <w:rsid w:val="00185D63"/>
    <w:rsid w:val="0019638B"/>
    <w:rsid w:val="00196959"/>
    <w:rsid w:val="001A2150"/>
    <w:rsid w:val="001A4F66"/>
    <w:rsid w:val="001A5ADD"/>
    <w:rsid w:val="001A7DF2"/>
    <w:rsid w:val="001B27CD"/>
    <w:rsid w:val="001B45AF"/>
    <w:rsid w:val="001B6435"/>
    <w:rsid w:val="001B6E91"/>
    <w:rsid w:val="001B75F5"/>
    <w:rsid w:val="001C1A00"/>
    <w:rsid w:val="001C5485"/>
    <w:rsid w:val="001D4CF7"/>
    <w:rsid w:val="001D7752"/>
    <w:rsid w:val="001E08D1"/>
    <w:rsid w:val="001E4A40"/>
    <w:rsid w:val="001E72CE"/>
    <w:rsid w:val="001F5E7F"/>
    <w:rsid w:val="002038A5"/>
    <w:rsid w:val="00203A46"/>
    <w:rsid w:val="00204865"/>
    <w:rsid w:val="00205F2F"/>
    <w:rsid w:val="00206653"/>
    <w:rsid w:val="002100DA"/>
    <w:rsid w:val="0021171A"/>
    <w:rsid w:val="00213E0C"/>
    <w:rsid w:val="002203E6"/>
    <w:rsid w:val="00227C3A"/>
    <w:rsid w:val="00231429"/>
    <w:rsid w:val="00233570"/>
    <w:rsid w:val="0023384F"/>
    <w:rsid w:val="0023774B"/>
    <w:rsid w:val="0024422E"/>
    <w:rsid w:val="002465B2"/>
    <w:rsid w:val="00247D33"/>
    <w:rsid w:val="0025321C"/>
    <w:rsid w:val="002541AD"/>
    <w:rsid w:val="00254612"/>
    <w:rsid w:val="002554DC"/>
    <w:rsid w:val="00260B15"/>
    <w:rsid w:val="002706F2"/>
    <w:rsid w:val="00271EE7"/>
    <w:rsid w:val="0027475C"/>
    <w:rsid w:val="00274D04"/>
    <w:rsid w:val="0027683B"/>
    <w:rsid w:val="00276F6D"/>
    <w:rsid w:val="00277E54"/>
    <w:rsid w:val="00283306"/>
    <w:rsid w:val="00293AAF"/>
    <w:rsid w:val="00294DCD"/>
    <w:rsid w:val="00296B9B"/>
    <w:rsid w:val="002972D2"/>
    <w:rsid w:val="002A1A2C"/>
    <w:rsid w:val="002A2E3E"/>
    <w:rsid w:val="002A5F56"/>
    <w:rsid w:val="002A684D"/>
    <w:rsid w:val="002B42DB"/>
    <w:rsid w:val="002B4A64"/>
    <w:rsid w:val="002B5D05"/>
    <w:rsid w:val="002B635D"/>
    <w:rsid w:val="002C09F7"/>
    <w:rsid w:val="002C49EB"/>
    <w:rsid w:val="002C5DB5"/>
    <w:rsid w:val="002D113B"/>
    <w:rsid w:val="002D29E2"/>
    <w:rsid w:val="002D2C15"/>
    <w:rsid w:val="002D5613"/>
    <w:rsid w:val="002E5701"/>
    <w:rsid w:val="002E6517"/>
    <w:rsid w:val="002F6C22"/>
    <w:rsid w:val="002F7415"/>
    <w:rsid w:val="003007AB"/>
    <w:rsid w:val="00306C4B"/>
    <w:rsid w:val="00306D6F"/>
    <w:rsid w:val="0030725B"/>
    <w:rsid w:val="00307347"/>
    <w:rsid w:val="00310A31"/>
    <w:rsid w:val="0031114B"/>
    <w:rsid w:val="003129D5"/>
    <w:rsid w:val="0031489E"/>
    <w:rsid w:val="0031572B"/>
    <w:rsid w:val="00321AAF"/>
    <w:rsid w:val="00326CBF"/>
    <w:rsid w:val="00326E53"/>
    <w:rsid w:val="00330837"/>
    <w:rsid w:val="003309F7"/>
    <w:rsid w:val="00336050"/>
    <w:rsid w:val="00336436"/>
    <w:rsid w:val="003465AB"/>
    <w:rsid w:val="003475FA"/>
    <w:rsid w:val="00350502"/>
    <w:rsid w:val="00350A18"/>
    <w:rsid w:val="00350EE0"/>
    <w:rsid w:val="003669C3"/>
    <w:rsid w:val="00366A6D"/>
    <w:rsid w:val="00367F94"/>
    <w:rsid w:val="00370898"/>
    <w:rsid w:val="003710ED"/>
    <w:rsid w:val="003718F2"/>
    <w:rsid w:val="003848FF"/>
    <w:rsid w:val="00394DFB"/>
    <w:rsid w:val="00395EF3"/>
    <w:rsid w:val="00396297"/>
    <w:rsid w:val="003A7944"/>
    <w:rsid w:val="003B2AF4"/>
    <w:rsid w:val="003B343A"/>
    <w:rsid w:val="003B3FF4"/>
    <w:rsid w:val="003B44CF"/>
    <w:rsid w:val="003C15C9"/>
    <w:rsid w:val="003C2BBB"/>
    <w:rsid w:val="003C6AE9"/>
    <w:rsid w:val="003C7456"/>
    <w:rsid w:val="003D3DB3"/>
    <w:rsid w:val="003D4D7E"/>
    <w:rsid w:val="003D6D1D"/>
    <w:rsid w:val="003E03FA"/>
    <w:rsid w:val="003E1EB4"/>
    <w:rsid w:val="003E247C"/>
    <w:rsid w:val="003E2A06"/>
    <w:rsid w:val="003E315A"/>
    <w:rsid w:val="003F1396"/>
    <w:rsid w:val="003F3C4F"/>
    <w:rsid w:val="003F3D81"/>
    <w:rsid w:val="003F565B"/>
    <w:rsid w:val="003F5C00"/>
    <w:rsid w:val="004013FD"/>
    <w:rsid w:val="004053B1"/>
    <w:rsid w:val="00410446"/>
    <w:rsid w:val="00410C84"/>
    <w:rsid w:val="004142B3"/>
    <w:rsid w:val="00414D47"/>
    <w:rsid w:val="00417589"/>
    <w:rsid w:val="004178C9"/>
    <w:rsid w:val="004200C7"/>
    <w:rsid w:val="00420984"/>
    <w:rsid w:val="00432E34"/>
    <w:rsid w:val="004357D2"/>
    <w:rsid w:val="004366F6"/>
    <w:rsid w:val="004379DB"/>
    <w:rsid w:val="00441832"/>
    <w:rsid w:val="00441E7B"/>
    <w:rsid w:val="00442F4F"/>
    <w:rsid w:val="00443336"/>
    <w:rsid w:val="004433CA"/>
    <w:rsid w:val="00447E1B"/>
    <w:rsid w:val="004512E8"/>
    <w:rsid w:val="00452905"/>
    <w:rsid w:val="00457F3D"/>
    <w:rsid w:val="00463D73"/>
    <w:rsid w:val="00464285"/>
    <w:rsid w:val="00466136"/>
    <w:rsid w:val="00467213"/>
    <w:rsid w:val="00467979"/>
    <w:rsid w:val="00472D15"/>
    <w:rsid w:val="004738EA"/>
    <w:rsid w:val="0047581C"/>
    <w:rsid w:val="00477188"/>
    <w:rsid w:val="00477788"/>
    <w:rsid w:val="00480F8B"/>
    <w:rsid w:val="0048628A"/>
    <w:rsid w:val="00486D91"/>
    <w:rsid w:val="00492CD7"/>
    <w:rsid w:val="004968B4"/>
    <w:rsid w:val="00497750"/>
    <w:rsid w:val="004A24C6"/>
    <w:rsid w:val="004A31C8"/>
    <w:rsid w:val="004A41D0"/>
    <w:rsid w:val="004A58E4"/>
    <w:rsid w:val="004A6500"/>
    <w:rsid w:val="004B1BD5"/>
    <w:rsid w:val="004B1CF4"/>
    <w:rsid w:val="004B278A"/>
    <w:rsid w:val="004B2F36"/>
    <w:rsid w:val="004B68F9"/>
    <w:rsid w:val="004C0580"/>
    <w:rsid w:val="004C178C"/>
    <w:rsid w:val="004C388E"/>
    <w:rsid w:val="004C5E2E"/>
    <w:rsid w:val="004C670A"/>
    <w:rsid w:val="004D04DE"/>
    <w:rsid w:val="004D0718"/>
    <w:rsid w:val="004D0DB7"/>
    <w:rsid w:val="004D3FBD"/>
    <w:rsid w:val="004D406E"/>
    <w:rsid w:val="004D52E5"/>
    <w:rsid w:val="004D6AE4"/>
    <w:rsid w:val="004D769F"/>
    <w:rsid w:val="004E2CE2"/>
    <w:rsid w:val="004E2E81"/>
    <w:rsid w:val="004E534E"/>
    <w:rsid w:val="004E57F6"/>
    <w:rsid w:val="004E62D8"/>
    <w:rsid w:val="004F046B"/>
    <w:rsid w:val="004F7331"/>
    <w:rsid w:val="0050380A"/>
    <w:rsid w:val="00504471"/>
    <w:rsid w:val="00506A16"/>
    <w:rsid w:val="005130BF"/>
    <w:rsid w:val="005174A6"/>
    <w:rsid w:val="00523805"/>
    <w:rsid w:val="00532382"/>
    <w:rsid w:val="0053273C"/>
    <w:rsid w:val="005332AA"/>
    <w:rsid w:val="00543087"/>
    <w:rsid w:val="00543B6B"/>
    <w:rsid w:val="00543E7F"/>
    <w:rsid w:val="00557D84"/>
    <w:rsid w:val="00560A03"/>
    <w:rsid w:val="00561180"/>
    <w:rsid w:val="00561B99"/>
    <w:rsid w:val="0056407E"/>
    <w:rsid w:val="0057356F"/>
    <w:rsid w:val="0057510C"/>
    <w:rsid w:val="00580F55"/>
    <w:rsid w:val="005858BC"/>
    <w:rsid w:val="00593C7F"/>
    <w:rsid w:val="00594085"/>
    <w:rsid w:val="005961D0"/>
    <w:rsid w:val="005A119E"/>
    <w:rsid w:val="005A183F"/>
    <w:rsid w:val="005A37CE"/>
    <w:rsid w:val="005A4CFA"/>
    <w:rsid w:val="005A5437"/>
    <w:rsid w:val="005C290F"/>
    <w:rsid w:val="005C5169"/>
    <w:rsid w:val="005D1822"/>
    <w:rsid w:val="005D2AA8"/>
    <w:rsid w:val="005D4C44"/>
    <w:rsid w:val="005D5738"/>
    <w:rsid w:val="005D644C"/>
    <w:rsid w:val="005E1112"/>
    <w:rsid w:val="005E34DF"/>
    <w:rsid w:val="005E4879"/>
    <w:rsid w:val="005E4A0E"/>
    <w:rsid w:val="005E5478"/>
    <w:rsid w:val="005E5486"/>
    <w:rsid w:val="005E5FE3"/>
    <w:rsid w:val="005E62A5"/>
    <w:rsid w:val="005E75FF"/>
    <w:rsid w:val="005F02A0"/>
    <w:rsid w:val="005F197B"/>
    <w:rsid w:val="005F3854"/>
    <w:rsid w:val="005F3DA7"/>
    <w:rsid w:val="005F3EF6"/>
    <w:rsid w:val="005F492A"/>
    <w:rsid w:val="00600473"/>
    <w:rsid w:val="00601919"/>
    <w:rsid w:val="006031E1"/>
    <w:rsid w:val="0061681A"/>
    <w:rsid w:val="00624EE4"/>
    <w:rsid w:val="00631CBE"/>
    <w:rsid w:val="006329AB"/>
    <w:rsid w:val="00635563"/>
    <w:rsid w:val="006408D2"/>
    <w:rsid w:val="00641191"/>
    <w:rsid w:val="00646680"/>
    <w:rsid w:val="00646A4F"/>
    <w:rsid w:val="00650175"/>
    <w:rsid w:val="00650529"/>
    <w:rsid w:val="00651941"/>
    <w:rsid w:val="00652773"/>
    <w:rsid w:val="006528B5"/>
    <w:rsid w:val="006534FD"/>
    <w:rsid w:val="00653E7E"/>
    <w:rsid w:val="00664C3F"/>
    <w:rsid w:val="00666535"/>
    <w:rsid w:val="00667B4D"/>
    <w:rsid w:val="00672EC7"/>
    <w:rsid w:val="00676131"/>
    <w:rsid w:val="00676329"/>
    <w:rsid w:val="00683A9C"/>
    <w:rsid w:val="006859AB"/>
    <w:rsid w:val="00686986"/>
    <w:rsid w:val="00686B0F"/>
    <w:rsid w:val="00690BA5"/>
    <w:rsid w:val="006941F5"/>
    <w:rsid w:val="00694BDE"/>
    <w:rsid w:val="006956FE"/>
    <w:rsid w:val="00697A07"/>
    <w:rsid w:val="00697AA5"/>
    <w:rsid w:val="006A4836"/>
    <w:rsid w:val="006B0DE4"/>
    <w:rsid w:val="006B102E"/>
    <w:rsid w:val="006B2595"/>
    <w:rsid w:val="006B3260"/>
    <w:rsid w:val="006B5B38"/>
    <w:rsid w:val="006B6474"/>
    <w:rsid w:val="006B76FB"/>
    <w:rsid w:val="006C0489"/>
    <w:rsid w:val="006C22CA"/>
    <w:rsid w:val="006C2BCB"/>
    <w:rsid w:val="006C7979"/>
    <w:rsid w:val="006C7EC7"/>
    <w:rsid w:val="006D0F6A"/>
    <w:rsid w:val="006D4DDC"/>
    <w:rsid w:val="006D6F10"/>
    <w:rsid w:val="006E04C5"/>
    <w:rsid w:val="006E101C"/>
    <w:rsid w:val="006E2726"/>
    <w:rsid w:val="006E5CFC"/>
    <w:rsid w:val="006E77D4"/>
    <w:rsid w:val="006E782B"/>
    <w:rsid w:val="006F0974"/>
    <w:rsid w:val="006F0E20"/>
    <w:rsid w:val="006F216B"/>
    <w:rsid w:val="006F4EDF"/>
    <w:rsid w:val="006F64F8"/>
    <w:rsid w:val="007026D1"/>
    <w:rsid w:val="00704D1B"/>
    <w:rsid w:val="007107D9"/>
    <w:rsid w:val="007126B8"/>
    <w:rsid w:val="007151E8"/>
    <w:rsid w:val="007156C7"/>
    <w:rsid w:val="007160C5"/>
    <w:rsid w:val="00723722"/>
    <w:rsid w:val="007254CC"/>
    <w:rsid w:val="00726877"/>
    <w:rsid w:val="00731860"/>
    <w:rsid w:val="007409EB"/>
    <w:rsid w:val="007429F0"/>
    <w:rsid w:val="00742F73"/>
    <w:rsid w:val="0074668D"/>
    <w:rsid w:val="00747032"/>
    <w:rsid w:val="007549F4"/>
    <w:rsid w:val="0075637A"/>
    <w:rsid w:val="00761479"/>
    <w:rsid w:val="007619EA"/>
    <w:rsid w:val="00761F10"/>
    <w:rsid w:val="00766B7F"/>
    <w:rsid w:val="007775FF"/>
    <w:rsid w:val="00781BF4"/>
    <w:rsid w:val="00785210"/>
    <w:rsid w:val="007913C2"/>
    <w:rsid w:val="00792036"/>
    <w:rsid w:val="00792BC1"/>
    <w:rsid w:val="00793FB1"/>
    <w:rsid w:val="00795926"/>
    <w:rsid w:val="00796A1D"/>
    <w:rsid w:val="007A1454"/>
    <w:rsid w:val="007A4890"/>
    <w:rsid w:val="007A4AD0"/>
    <w:rsid w:val="007A7038"/>
    <w:rsid w:val="007B3D22"/>
    <w:rsid w:val="007B67F7"/>
    <w:rsid w:val="007B6BEA"/>
    <w:rsid w:val="007C018A"/>
    <w:rsid w:val="007C2ABA"/>
    <w:rsid w:val="007C606E"/>
    <w:rsid w:val="007C73C1"/>
    <w:rsid w:val="007D02AC"/>
    <w:rsid w:val="007D04C1"/>
    <w:rsid w:val="007D125E"/>
    <w:rsid w:val="007D2643"/>
    <w:rsid w:val="007D542B"/>
    <w:rsid w:val="007D5AEC"/>
    <w:rsid w:val="007E7423"/>
    <w:rsid w:val="007F1919"/>
    <w:rsid w:val="007F42C2"/>
    <w:rsid w:val="007F58AC"/>
    <w:rsid w:val="007F61B2"/>
    <w:rsid w:val="008027D7"/>
    <w:rsid w:val="0080288E"/>
    <w:rsid w:val="00807747"/>
    <w:rsid w:val="0081147A"/>
    <w:rsid w:val="00816360"/>
    <w:rsid w:val="00820557"/>
    <w:rsid w:val="00820D67"/>
    <w:rsid w:val="00822EB0"/>
    <w:rsid w:val="008248A1"/>
    <w:rsid w:val="00824E5B"/>
    <w:rsid w:val="008251BA"/>
    <w:rsid w:val="0083082B"/>
    <w:rsid w:val="00831BFA"/>
    <w:rsid w:val="00835089"/>
    <w:rsid w:val="00836D91"/>
    <w:rsid w:val="008413CE"/>
    <w:rsid w:val="00843AAE"/>
    <w:rsid w:val="00851372"/>
    <w:rsid w:val="008529AB"/>
    <w:rsid w:val="008552D1"/>
    <w:rsid w:val="008625DC"/>
    <w:rsid w:val="008635D7"/>
    <w:rsid w:val="00867902"/>
    <w:rsid w:val="00867D28"/>
    <w:rsid w:val="00871778"/>
    <w:rsid w:val="00875FB7"/>
    <w:rsid w:val="00877906"/>
    <w:rsid w:val="00890999"/>
    <w:rsid w:val="00893E33"/>
    <w:rsid w:val="00894201"/>
    <w:rsid w:val="00896D1D"/>
    <w:rsid w:val="008A107F"/>
    <w:rsid w:val="008A55A9"/>
    <w:rsid w:val="008A57BD"/>
    <w:rsid w:val="008A649C"/>
    <w:rsid w:val="008B1FE6"/>
    <w:rsid w:val="008B307B"/>
    <w:rsid w:val="008B33B2"/>
    <w:rsid w:val="008B5572"/>
    <w:rsid w:val="008B586B"/>
    <w:rsid w:val="008C17D4"/>
    <w:rsid w:val="008C3D0E"/>
    <w:rsid w:val="008D0C41"/>
    <w:rsid w:val="008D2460"/>
    <w:rsid w:val="008D2ED9"/>
    <w:rsid w:val="008E045D"/>
    <w:rsid w:val="008E11EF"/>
    <w:rsid w:val="008E480B"/>
    <w:rsid w:val="008E6E30"/>
    <w:rsid w:val="008E7F3F"/>
    <w:rsid w:val="008F16AC"/>
    <w:rsid w:val="008F33BA"/>
    <w:rsid w:val="008F3657"/>
    <w:rsid w:val="008F3FEA"/>
    <w:rsid w:val="008F6826"/>
    <w:rsid w:val="008F6EA1"/>
    <w:rsid w:val="00903518"/>
    <w:rsid w:val="0090363D"/>
    <w:rsid w:val="009042A9"/>
    <w:rsid w:val="0090709E"/>
    <w:rsid w:val="00916E0A"/>
    <w:rsid w:val="009224A6"/>
    <w:rsid w:val="0092574A"/>
    <w:rsid w:val="00926BC1"/>
    <w:rsid w:val="00927DE3"/>
    <w:rsid w:val="009320A8"/>
    <w:rsid w:val="0093358F"/>
    <w:rsid w:val="00940544"/>
    <w:rsid w:val="0094294A"/>
    <w:rsid w:val="009434A9"/>
    <w:rsid w:val="00944AF5"/>
    <w:rsid w:val="00945971"/>
    <w:rsid w:val="00950155"/>
    <w:rsid w:val="00955D42"/>
    <w:rsid w:val="00957F7B"/>
    <w:rsid w:val="00960475"/>
    <w:rsid w:val="009617D5"/>
    <w:rsid w:val="00961A83"/>
    <w:rsid w:val="00961DDB"/>
    <w:rsid w:val="00963CB3"/>
    <w:rsid w:val="00966FA9"/>
    <w:rsid w:val="00975352"/>
    <w:rsid w:val="00976DDA"/>
    <w:rsid w:val="009771FC"/>
    <w:rsid w:val="009812E2"/>
    <w:rsid w:val="009854E1"/>
    <w:rsid w:val="00991DDE"/>
    <w:rsid w:val="00997ED6"/>
    <w:rsid w:val="009A05A3"/>
    <w:rsid w:val="009A4584"/>
    <w:rsid w:val="009A60E1"/>
    <w:rsid w:val="009A741D"/>
    <w:rsid w:val="009A787A"/>
    <w:rsid w:val="009C47A8"/>
    <w:rsid w:val="009C54CA"/>
    <w:rsid w:val="009C6BFC"/>
    <w:rsid w:val="009D115E"/>
    <w:rsid w:val="009D659A"/>
    <w:rsid w:val="009E0FA1"/>
    <w:rsid w:val="009E10A4"/>
    <w:rsid w:val="009E35A0"/>
    <w:rsid w:val="009E52BA"/>
    <w:rsid w:val="009E6930"/>
    <w:rsid w:val="009F61F7"/>
    <w:rsid w:val="00A03E35"/>
    <w:rsid w:val="00A05CBE"/>
    <w:rsid w:val="00A07FFC"/>
    <w:rsid w:val="00A1720E"/>
    <w:rsid w:val="00A22759"/>
    <w:rsid w:val="00A2302D"/>
    <w:rsid w:val="00A258E7"/>
    <w:rsid w:val="00A30405"/>
    <w:rsid w:val="00A36A5F"/>
    <w:rsid w:val="00A37B0C"/>
    <w:rsid w:val="00A415F2"/>
    <w:rsid w:val="00A42133"/>
    <w:rsid w:val="00A43B6B"/>
    <w:rsid w:val="00A43EC5"/>
    <w:rsid w:val="00A50CBC"/>
    <w:rsid w:val="00A54EEA"/>
    <w:rsid w:val="00A63849"/>
    <w:rsid w:val="00A65304"/>
    <w:rsid w:val="00A65D69"/>
    <w:rsid w:val="00A701C5"/>
    <w:rsid w:val="00A71027"/>
    <w:rsid w:val="00A756F0"/>
    <w:rsid w:val="00A75FF7"/>
    <w:rsid w:val="00A80D30"/>
    <w:rsid w:val="00A82019"/>
    <w:rsid w:val="00A87781"/>
    <w:rsid w:val="00A87FC6"/>
    <w:rsid w:val="00A90AEB"/>
    <w:rsid w:val="00A95B27"/>
    <w:rsid w:val="00AA3873"/>
    <w:rsid w:val="00AA3B92"/>
    <w:rsid w:val="00AA4522"/>
    <w:rsid w:val="00AA46E1"/>
    <w:rsid w:val="00AB2370"/>
    <w:rsid w:val="00AC1EBE"/>
    <w:rsid w:val="00AC3C0A"/>
    <w:rsid w:val="00AC4ADE"/>
    <w:rsid w:val="00AC5E70"/>
    <w:rsid w:val="00AD0068"/>
    <w:rsid w:val="00AD7AB1"/>
    <w:rsid w:val="00AE18FD"/>
    <w:rsid w:val="00AE243B"/>
    <w:rsid w:val="00AE37C1"/>
    <w:rsid w:val="00AE3B8E"/>
    <w:rsid w:val="00AF0020"/>
    <w:rsid w:val="00AF0830"/>
    <w:rsid w:val="00AF2BB2"/>
    <w:rsid w:val="00AF3142"/>
    <w:rsid w:val="00AF3E42"/>
    <w:rsid w:val="00AF5FD1"/>
    <w:rsid w:val="00AF70D8"/>
    <w:rsid w:val="00B00197"/>
    <w:rsid w:val="00B00B01"/>
    <w:rsid w:val="00B058A6"/>
    <w:rsid w:val="00B1256A"/>
    <w:rsid w:val="00B12A36"/>
    <w:rsid w:val="00B13131"/>
    <w:rsid w:val="00B13F57"/>
    <w:rsid w:val="00B177D3"/>
    <w:rsid w:val="00B17A3A"/>
    <w:rsid w:val="00B20247"/>
    <w:rsid w:val="00B21862"/>
    <w:rsid w:val="00B23602"/>
    <w:rsid w:val="00B277D3"/>
    <w:rsid w:val="00B31609"/>
    <w:rsid w:val="00B37CE4"/>
    <w:rsid w:val="00B5036C"/>
    <w:rsid w:val="00B516B0"/>
    <w:rsid w:val="00B51D4B"/>
    <w:rsid w:val="00B54D7C"/>
    <w:rsid w:val="00B60022"/>
    <w:rsid w:val="00B63686"/>
    <w:rsid w:val="00B63FFD"/>
    <w:rsid w:val="00B644EA"/>
    <w:rsid w:val="00B676D2"/>
    <w:rsid w:val="00B7495B"/>
    <w:rsid w:val="00B7637E"/>
    <w:rsid w:val="00B770F4"/>
    <w:rsid w:val="00B77C27"/>
    <w:rsid w:val="00B8688D"/>
    <w:rsid w:val="00B872A1"/>
    <w:rsid w:val="00B87F4D"/>
    <w:rsid w:val="00B909F0"/>
    <w:rsid w:val="00B933DA"/>
    <w:rsid w:val="00B93659"/>
    <w:rsid w:val="00B940D5"/>
    <w:rsid w:val="00BA5775"/>
    <w:rsid w:val="00BA62C3"/>
    <w:rsid w:val="00BB1F67"/>
    <w:rsid w:val="00BB4E75"/>
    <w:rsid w:val="00BB63E5"/>
    <w:rsid w:val="00BC0E43"/>
    <w:rsid w:val="00BC29F9"/>
    <w:rsid w:val="00BC3B0D"/>
    <w:rsid w:val="00BC4816"/>
    <w:rsid w:val="00BD0C31"/>
    <w:rsid w:val="00BD5AC4"/>
    <w:rsid w:val="00BE0A07"/>
    <w:rsid w:val="00BE51F9"/>
    <w:rsid w:val="00BE6B79"/>
    <w:rsid w:val="00BF0C93"/>
    <w:rsid w:val="00BF23F1"/>
    <w:rsid w:val="00BF24DA"/>
    <w:rsid w:val="00BF5B60"/>
    <w:rsid w:val="00BF603F"/>
    <w:rsid w:val="00BF6A88"/>
    <w:rsid w:val="00BF7DBB"/>
    <w:rsid w:val="00C00DC9"/>
    <w:rsid w:val="00C02130"/>
    <w:rsid w:val="00C02A40"/>
    <w:rsid w:val="00C10F6D"/>
    <w:rsid w:val="00C26945"/>
    <w:rsid w:val="00C27360"/>
    <w:rsid w:val="00C311FE"/>
    <w:rsid w:val="00C34C2D"/>
    <w:rsid w:val="00C36ABA"/>
    <w:rsid w:val="00C47D3C"/>
    <w:rsid w:val="00C52248"/>
    <w:rsid w:val="00C53A8C"/>
    <w:rsid w:val="00C60B4E"/>
    <w:rsid w:val="00C63A02"/>
    <w:rsid w:val="00C65B03"/>
    <w:rsid w:val="00C6624B"/>
    <w:rsid w:val="00C7113B"/>
    <w:rsid w:val="00C72B8C"/>
    <w:rsid w:val="00C76F14"/>
    <w:rsid w:val="00C80649"/>
    <w:rsid w:val="00C83431"/>
    <w:rsid w:val="00C90A6A"/>
    <w:rsid w:val="00C91865"/>
    <w:rsid w:val="00C931FD"/>
    <w:rsid w:val="00C93DDB"/>
    <w:rsid w:val="00C95A69"/>
    <w:rsid w:val="00CA19DB"/>
    <w:rsid w:val="00CA275F"/>
    <w:rsid w:val="00CA35FE"/>
    <w:rsid w:val="00CA415A"/>
    <w:rsid w:val="00CA4453"/>
    <w:rsid w:val="00CA567F"/>
    <w:rsid w:val="00CA5F57"/>
    <w:rsid w:val="00CA6D1B"/>
    <w:rsid w:val="00CB7B9F"/>
    <w:rsid w:val="00CC1885"/>
    <w:rsid w:val="00CC218D"/>
    <w:rsid w:val="00CC5676"/>
    <w:rsid w:val="00CC567A"/>
    <w:rsid w:val="00CC6A77"/>
    <w:rsid w:val="00CD2CC2"/>
    <w:rsid w:val="00CD3F36"/>
    <w:rsid w:val="00CD5894"/>
    <w:rsid w:val="00CE01D3"/>
    <w:rsid w:val="00CE0C8C"/>
    <w:rsid w:val="00CE2334"/>
    <w:rsid w:val="00CF13E6"/>
    <w:rsid w:val="00CF1E7D"/>
    <w:rsid w:val="00CF2808"/>
    <w:rsid w:val="00CF3342"/>
    <w:rsid w:val="00CF40F2"/>
    <w:rsid w:val="00D01370"/>
    <w:rsid w:val="00D018E9"/>
    <w:rsid w:val="00D023A5"/>
    <w:rsid w:val="00D0249A"/>
    <w:rsid w:val="00D02A7D"/>
    <w:rsid w:val="00D1200A"/>
    <w:rsid w:val="00D12650"/>
    <w:rsid w:val="00D15710"/>
    <w:rsid w:val="00D160CF"/>
    <w:rsid w:val="00D217C6"/>
    <w:rsid w:val="00D21909"/>
    <w:rsid w:val="00D24DA2"/>
    <w:rsid w:val="00D27F41"/>
    <w:rsid w:val="00D310A7"/>
    <w:rsid w:val="00D35008"/>
    <w:rsid w:val="00D37054"/>
    <w:rsid w:val="00D37D69"/>
    <w:rsid w:val="00D40AE2"/>
    <w:rsid w:val="00D40D7F"/>
    <w:rsid w:val="00D53ACF"/>
    <w:rsid w:val="00D54BAC"/>
    <w:rsid w:val="00D57D0F"/>
    <w:rsid w:val="00D623E2"/>
    <w:rsid w:val="00D67EAB"/>
    <w:rsid w:val="00D76523"/>
    <w:rsid w:val="00D76F09"/>
    <w:rsid w:val="00D77C8E"/>
    <w:rsid w:val="00D8190B"/>
    <w:rsid w:val="00D82800"/>
    <w:rsid w:val="00D83912"/>
    <w:rsid w:val="00D85598"/>
    <w:rsid w:val="00D90036"/>
    <w:rsid w:val="00D92E87"/>
    <w:rsid w:val="00D953E1"/>
    <w:rsid w:val="00DA1F13"/>
    <w:rsid w:val="00DA22A6"/>
    <w:rsid w:val="00DA34D8"/>
    <w:rsid w:val="00DA37CE"/>
    <w:rsid w:val="00DB31D8"/>
    <w:rsid w:val="00DB4272"/>
    <w:rsid w:val="00DB6ED3"/>
    <w:rsid w:val="00DC2DE4"/>
    <w:rsid w:val="00DC6D36"/>
    <w:rsid w:val="00DD2763"/>
    <w:rsid w:val="00DE1F20"/>
    <w:rsid w:val="00DE2A89"/>
    <w:rsid w:val="00DE6FCA"/>
    <w:rsid w:val="00DF6AC3"/>
    <w:rsid w:val="00E010FA"/>
    <w:rsid w:val="00E028DD"/>
    <w:rsid w:val="00E044DD"/>
    <w:rsid w:val="00E04B77"/>
    <w:rsid w:val="00E06704"/>
    <w:rsid w:val="00E12EB9"/>
    <w:rsid w:val="00E15C25"/>
    <w:rsid w:val="00E20220"/>
    <w:rsid w:val="00E263C7"/>
    <w:rsid w:val="00E27D4B"/>
    <w:rsid w:val="00E304C8"/>
    <w:rsid w:val="00E3779E"/>
    <w:rsid w:val="00E40EF7"/>
    <w:rsid w:val="00E51CE3"/>
    <w:rsid w:val="00E52E7D"/>
    <w:rsid w:val="00E54A2C"/>
    <w:rsid w:val="00E5538A"/>
    <w:rsid w:val="00E60299"/>
    <w:rsid w:val="00E615E1"/>
    <w:rsid w:val="00E64B96"/>
    <w:rsid w:val="00E70BB3"/>
    <w:rsid w:val="00E72F40"/>
    <w:rsid w:val="00E81C07"/>
    <w:rsid w:val="00E8632F"/>
    <w:rsid w:val="00E90C62"/>
    <w:rsid w:val="00E91906"/>
    <w:rsid w:val="00E95DFA"/>
    <w:rsid w:val="00EA2D19"/>
    <w:rsid w:val="00EA412D"/>
    <w:rsid w:val="00EA455E"/>
    <w:rsid w:val="00EB39A5"/>
    <w:rsid w:val="00EB412E"/>
    <w:rsid w:val="00EB4427"/>
    <w:rsid w:val="00EB4B50"/>
    <w:rsid w:val="00EC4415"/>
    <w:rsid w:val="00EC5831"/>
    <w:rsid w:val="00EC69FF"/>
    <w:rsid w:val="00EC7C09"/>
    <w:rsid w:val="00ED0284"/>
    <w:rsid w:val="00ED031F"/>
    <w:rsid w:val="00EE027A"/>
    <w:rsid w:val="00EE36DE"/>
    <w:rsid w:val="00EE4413"/>
    <w:rsid w:val="00EE61D0"/>
    <w:rsid w:val="00EE7CB6"/>
    <w:rsid w:val="00EF442B"/>
    <w:rsid w:val="00EF5966"/>
    <w:rsid w:val="00EF75E1"/>
    <w:rsid w:val="00F02966"/>
    <w:rsid w:val="00F04EF2"/>
    <w:rsid w:val="00F05BAB"/>
    <w:rsid w:val="00F121D4"/>
    <w:rsid w:val="00F12A2B"/>
    <w:rsid w:val="00F15352"/>
    <w:rsid w:val="00F17A86"/>
    <w:rsid w:val="00F207F8"/>
    <w:rsid w:val="00F20816"/>
    <w:rsid w:val="00F20819"/>
    <w:rsid w:val="00F22A34"/>
    <w:rsid w:val="00F234E9"/>
    <w:rsid w:val="00F34824"/>
    <w:rsid w:val="00F434E6"/>
    <w:rsid w:val="00F47CF7"/>
    <w:rsid w:val="00F50746"/>
    <w:rsid w:val="00F51E9F"/>
    <w:rsid w:val="00F565DA"/>
    <w:rsid w:val="00F618DB"/>
    <w:rsid w:val="00F61F8B"/>
    <w:rsid w:val="00F6403C"/>
    <w:rsid w:val="00F65039"/>
    <w:rsid w:val="00F66F83"/>
    <w:rsid w:val="00F711AE"/>
    <w:rsid w:val="00F75088"/>
    <w:rsid w:val="00F752B4"/>
    <w:rsid w:val="00F84E92"/>
    <w:rsid w:val="00F87422"/>
    <w:rsid w:val="00F94657"/>
    <w:rsid w:val="00F95F66"/>
    <w:rsid w:val="00F9825B"/>
    <w:rsid w:val="00FA489F"/>
    <w:rsid w:val="00FA5408"/>
    <w:rsid w:val="00FA6279"/>
    <w:rsid w:val="00FA7A68"/>
    <w:rsid w:val="00FB153D"/>
    <w:rsid w:val="00FB58AD"/>
    <w:rsid w:val="00FB63E2"/>
    <w:rsid w:val="00FC1EE1"/>
    <w:rsid w:val="00FC564C"/>
    <w:rsid w:val="00FC6460"/>
    <w:rsid w:val="00FD1837"/>
    <w:rsid w:val="00FD2882"/>
    <w:rsid w:val="00FD4F86"/>
    <w:rsid w:val="00FD56E5"/>
    <w:rsid w:val="00FD76AF"/>
    <w:rsid w:val="00FE1CDC"/>
    <w:rsid w:val="00FE2154"/>
    <w:rsid w:val="00FE2B0B"/>
    <w:rsid w:val="00FE7778"/>
    <w:rsid w:val="00FF1BC7"/>
    <w:rsid w:val="00FF5E2C"/>
    <w:rsid w:val="01294188"/>
    <w:rsid w:val="01F61174"/>
    <w:rsid w:val="021DE7CE"/>
    <w:rsid w:val="028F7497"/>
    <w:rsid w:val="02B7569B"/>
    <w:rsid w:val="03122711"/>
    <w:rsid w:val="0336A5F1"/>
    <w:rsid w:val="0343F7BB"/>
    <w:rsid w:val="037AC157"/>
    <w:rsid w:val="039464C0"/>
    <w:rsid w:val="03A337B0"/>
    <w:rsid w:val="03BAF996"/>
    <w:rsid w:val="03EA5E96"/>
    <w:rsid w:val="04314F2A"/>
    <w:rsid w:val="048FD128"/>
    <w:rsid w:val="04BC136C"/>
    <w:rsid w:val="04CAC98D"/>
    <w:rsid w:val="05245444"/>
    <w:rsid w:val="054BDD3B"/>
    <w:rsid w:val="054E3B74"/>
    <w:rsid w:val="05663C26"/>
    <w:rsid w:val="058C2057"/>
    <w:rsid w:val="05FF4031"/>
    <w:rsid w:val="0696D8F8"/>
    <w:rsid w:val="06BFD283"/>
    <w:rsid w:val="06D7860B"/>
    <w:rsid w:val="073150E9"/>
    <w:rsid w:val="07847E0B"/>
    <w:rsid w:val="078F6F1E"/>
    <w:rsid w:val="07AD7265"/>
    <w:rsid w:val="095597D2"/>
    <w:rsid w:val="09C618E6"/>
    <w:rsid w:val="0A2FCF6D"/>
    <w:rsid w:val="0A31C454"/>
    <w:rsid w:val="0A56714E"/>
    <w:rsid w:val="0A593036"/>
    <w:rsid w:val="0ABEEB56"/>
    <w:rsid w:val="0AF6AF69"/>
    <w:rsid w:val="0BF08DAF"/>
    <w:rsid w:val="0C5DC372"/>
    <w:rsid w:val="0CCD9E5F"/>
    <w:rsid w:val="0D0F8BDA"/>
    <w:rsid w:val="0D2D3A9B"/>
    <w:rsid w:val="0DDE21B4"/>
    <w:rsid w:val="0DE020FB"/>
    <w:rsid w:val="0DF0152D"/>
    <w:rsid w:val="0DF2BFB9"/>
    <w:rsid w:val="0E16E199"/>
    <w:rsid w:val="0ED8D44C"/>
    <w:rsid w:val="0EFF989A"/>
    <w:rsid w:val="0F1A5838"/>
    <w:rsid w:val="0F5D034D"/>
    <w:rsid w:val="0FF94E03"/>
    <w:rsid w:val="101C6A7E"/>
    <w:rsid w:val="1069B136"/>
    <w:rsid w:val="10741A12"/>
    <w:rsid w:val="10C37D60"/>
    <w:rsid w:val="10D12B98"/>
    <w:rsid w:val="110EF514"/>
    <w:rsid w:val="116F8597"/>
    <w:rsid w:val="11FBBD8E"/>
    <w:rsid w:val="1279BE99"/>
    <w:rsid w:val="1317460C"/>
    <w:rsid w:val="132954EF"/>
    <w:rsid w:val="13615561"/>
    <w:rsid w:val="1368879F"/>
    <w:rsid w:val="13A6F4AA"/>
    <w:rsid w:val="147511B2"/>
    <w:rsid w:val="147A8B0B"/>
    <w:rsid w:val="14FAC468"/>
    <w:rsid w:val="1544EA07"/>
    <w:rsid w:val="15B93A66"/>
    <w:rsid w:val="161D43D1"/>
    <w:rsid w:val="1654AA24"/>
    <w:rsid w:val="16A87713"/>
    <w:rsid w:val="170444EC"/>
    <w:rsid w:val="173F1CE9"/>
    <w:rsid w:val="17F65A95"/>
    <w:rsid w:val="18693F03"/>
    <w:rsid w:val="188F97C4"/>
    <w:rsid w:val="18AADC5F"/>
    <w:rsid w:val="190FEFFF"/>
    <w:rsid w:val="19320486"/>
    <w:rsid w:val="1937F807"/>
    <w:rsid w:val="1947C93C"/>
    <w:rsid w:val="19547987"/>
    <w:rsid w:val="19FE7906"/>
    <w:rsid w:val="1A52B98F"/>
    <w:rsid w:val="1A90B4FB"/>
    <w:rsid w:val="1AA9AAF2"/>
    <w:rsid w:val="1AFB5BFC"/>
    <w:rsid w:val="1B657771"/>
    <w:rsid w:val="1B671A05"/>
    <w:rsid w:val="1B7485B0"/>
    <w:rsid w:val="1B7D5C79"/>
    <w:rsid w:val="1BB96C00"/>
    <w:rsid w:val="1BD82EA5"/>
    <w:rsid w:val="1BF21F40"/>
    <w:rsid w:val="1C65FB64"/>
    <w:rsid w:val="1CFEFC02"/>
    <w:rsid w:val="1D321BDB"/>
    <w:rsid w:val="1DB3651F"/>
    <w:rsid w:val="1E0BC8A5"/>
    <w:rsid w:val="1E3273AD"/>
    <w:rsid w:val="1E8EBC74"/>
    <w:rsid w:val="1E9D3CA3"/>
    <w:rsid w:val="1F0E2209"/>
    <w:rsid w:val="1F192D65"/>
    <w:rsid w:val="1F392156"/>
    <w:rsid w:val="1F717EC5"/>
    <w:rsid w:val="1F85ABB6"/>
    <w:rsid w:val="1FE08B28"/>
    <w:rsid w:val="20142211"/>
    <w:rsid w:val="20210D81"/>
    <w:rsid w:val="20B8912F"/>
    <w:rsid w:val="20FC4FD0"/>
    <w:rsid w:val="21161F3D"/>
    <w:rsid w:val="217DF163"/>
    <w:rsid w:val="217FA02B"/>
    <w:rsid w:val="2265F6D5"/>
    <w:rsid w:val="22AC9079"/>
    <w:rsid w:val="2304CF28"/>
    <w:rsid w:val="23129B82"/>
    <w:rsid w:val="23996829"/>
    <w:rsid w:val="23B4B199"/>
    <w:rsid w:val="23D566DB"/>
    <w:rsid w:val="2414EB1E"/>
    <w:rsid w:val="24752A08"/>
    <w:rsid w:val="2477A243"/>
    <w:rsid w:val="252883D2"/>
    <w:rsid w:val="25338F22"/>
    <w:rsid w:val="25648CF2"/>
    <w:rsid w:val="258FDF50"/>
    <w:rsid w:val="26123B0D"/>
    <w:rsid w:val="262E0FF0"/>
    <w:rsid w:val="27074A9C"/>
    <w:rsid w:val="2741BB82"/>
    <w:rsid w:val="289BE03A"/>
    <w:rsid w:val="294DF803"/>
    <w:rsid w:val="2A08F90B"/>
    <w:rsid w:val="2AA35F46"/>
    <w:rsid w:val="2AE07544"/>
    <w:rsid w:val="2B313F2C"/>
    <w:rsid w:val="2BD05C8D"/>
    <w:rsid w:val="2C27A808"/>
    <w:rsid w:val="2C45C551"/>
    <w:rsid w:val="2D3A9B1F"/>
    <w:rsid w:val="2D6D7F86"/>
    <w:rsid w:val="2D6E1B82"/>
    <w:rsid w:val="2D977A64"/>
    <w:rsid w:val="2DB2A63E"/>
    <w:rsid w:val="2DD84AD3"/>
    <w:rsid w:val="2E0ED826"/>
    <w:rsid w:val="2E493AA5"/>
    <w:rsid w:val="2E915986"/>
    <w:rsid w:val="2F4D2BD7"/>
    <w:rsid w:val="2F5E2BE5"/>
    <w:rsid w:val="2F778BCC"/>
    <w:rsid w:val="3056EEDB"/>
    <w:rsid w:val="310AC47E"/>
    <w:rsid w:val="311B45FF"/>
    <w:rsid w:val="311BF034"/>
    <w:rsid w:val="3195DB65"/>
    <w:rsid w:val="319E6029"/>
    <w:rsid w:val="31B246B7"/>
    <w:rsid w:val="321875AD"/>
    <w:rsid w:val="324A5EBF"/>
    <w:rsid w:val="326856C7"/>
    <w:rsid w:val="32BFCFF5"/>
    <w:rsid w:val="32D33E09"/>
    <w:rsid w:val="32D8B190"/>
    <w:rsid w:val="33D3A1BC"/>
    <w:rsid w:val="34360696"/>
    <w:rsid w:val="347E745F"/>
    <w:rsid w:val="34C9F540"/>
    <w:rsid w:val="35425898"/>
    <w:rsid w:val="357CC561"/>
    <w:rsid w:val="35A8C088"/>
    <w:rsid w:val="35B93048"/>
    <w:rsid w:val="35F2BDF4"/>
    <w:rsid w:val="364BD502"/>
    <w:rsid w:val="36ECF879"/>
    <w:rsid w:val="37315542"/>
    <w:rsid w:val="3759D102"/>
    <w:rsid w:val="38596A1D"/>
    <w:rsid w:val="38B63192"/>
    <w:rsid w:val="3938D043"/>
    <w:rsid w:val="396A60C3"/>
    <w:rsid w:val="397146C5"/>
    <w:rsid w:val="3985877F"/>
    <w:rsid w:val="39FB4347"/>
    <w:rsid w:val="3A1C3545"/>
    <w:rsid w:val="3A3EE28C"/>
    <w:rsid w:val="3BD1CD18"/>
    <w:rsid w:val="3BDC6275"/>
    <w:rsid w:val="3C218111"/>
    <w:rsid w:val="3C251F91"/>
    <w:rsid w:val="3C36F6CE"/>
    <w:rsid w:val="3C40A648"/>
    <w:rsid w:val="3C7267FC"/>
    <w:rsid w:val="3C885A95"/>
    <w:rsid w:val="3C9A8FD3"/>
    <w:rsid w:val="3CDDE07A"/>
    <w:rsid w:val="3D934931"/>
    <w:rsid w:val="3DB6847B"/>
    <w:rsid w:val="3E00A0C3"/>
    <w:rsid w:val="3E11AA96"/>
    <w:rsid w:val="3E21AE2A"/>
    <w:rsid w:val="3EC50F02"/>
    <w:rsid w:val="3ECFBE63"/>
    <w:rsid w:val="3F16DB64"/>
    <w:rsid w:val="4011B79F"/>
    <w:rsid w:val="4021776E"/>
    <w:rsid w:val="4024F3B3"/>
    <w:rsid w:val="40ABA821"/>
    <w:rsid w:val="40BA8E40"/>
    <w:rsid w:val="40EB0CB1"/>
    <w:rsid w:val="411AEBAD"/>
    <w:rsid w:val="413E48C1"/>
    <w:rsid w:val="41B1A414"/>
    <w:rsid w:val="421C4860"/>
    <w:rsid w:val="4331BCF5"/>
    <w:rsid w:val="4351D4DD"/>
    <w:rsid w:val="435B942F"/>
    <w:rsid w:val="43654E78"/>
    <w:rsid w:val="43666EAC"/>
    <w:rsid w:val="43699890"/>
    <w:rsid w:val="43D2D792"/>
    <w:rsid w:val="4476B37C"/>
    <w:rsid w:val="448948E1"/>
    <w:rsid w:val="4496E82B"/>
    <w:rsid w:val="44FE41C1"/>
    <w:rsid w:val="46160CA9"/>
    <w:rsid w:val="4645D91E"/>
    <w:rsid w:val="46929079"/>
    <w:rsid w:val="46D94C75"/>
    <w:rsid w:val="46F4927E"/>
    <w:rsid w:val="47232662"/>
    <w:rsid w:val="4757CAD2"/>
    <w:rsid w:val="4792D109"/>
    <w:rsid w:val="47B81CA1"/>
    <w:rsid w:val="47ED288B"/>
    <w:rsid w:val="489132B8"/>
    <w:rsid w:val="48EFF4BC"/>
    <w:rsid w:val="49245841"/>
    <w:rsid w:val="4995C410"/>
    <w:rsid w:val="4A0C6D3D"/>
    <w:rsid w:val="4AD0ECF9"/>
    <w:rsid w:val="4B2A955E"/>
    <w:rsid w:val="4C4C5D6C"/>
    <w:rsid w:val="4C811A85"/>
    <w:rsid w:val="4CA7EBE6"/>
    <w:rsid w:val="4D0A4242"/>
    <w:rsid w:val="4D693C0B"/>
    <w:rsid w:val="4D7C6038"/>
    <w:rsid w:val="4DB42680"/>
    <w:rsid w:val="4DE496CF"/>
    <w:rsid w:val="4E04A2D2"/>
    <w:rsid w:val="4EDB4258"/>
    <w:rsid w:val="4FBD0496"/>
    <w:rsid w:val="50005B01"/>
    <w:rsid w:val="500CB3D3"/>
    <w:rsid w:val="504CE9D1"/>
    <w:rsid w:val="51A2B84C"/>
    <w:rsid w:val="51E19D9F"/>
    <w:rsid w:val="52092451"/>
    <w:rsid w:val="520B856D"/>
    <w:rsid w:val="52E6C7E1"/>
    <w:rsid w:val="5310762F"/>
    <w:rsid w:val="53811411"/>
    <w:rsid w:val="543386F7"/>
    <w:rsid w:val="54B800A5"/>
    <w:rsid w:val="551CF895"/>
    <w:rsid w:val="552B00B9"/>
    <w:rsid w:val="553684AB"/>
    <w:rsid w:val="55C84EDE"/>
    <w:rsid w:val="55D1326D"/>
    <w:rsid w:val="56712041"/>
    <w:rsid w:val="568954B7"/>
    <w:rsid w:val="56BBF886"/>
    <w:rsid w:val="56F8905C"/>
    <w:rsid w:val="5744D59C"/>
    <w:rsid w:val="577D5366"/>
    <w:rsid w:val="57DF4C0B"/>
    <w:rsid w:val="58721410"/>
    <w:rsid w:val="5889DA34"/>
    <w:rsid w:val="58EE93E6"/>
    <w:rsid w:val="5986BD9A"/>
    <w:rsid w:val="59B93EED"/>
    <w:rsid w:val="5A84F906"/>
    <w:rsid w:val="5AEAD20B"/>
    <w:rsid w:val="5B0B8111"/>
    <w:rsid w:val="5B16F808"/>
    <w:rsid w:val="5BEEACD4"/>
    <w:rsid w:val="5C366676"/>
    <w:rsid w:val="5D09445D"/>
    <w:rsid w:val="5DFB842A"/>
    <w:rsid w:val="5E404DAF"/>
    <w:rsid w:val="5E76E5AF"/>
    <w:rsid w:val="5EAD87F5"/>
    <w:rsid w:val="5F807A02"/>
    <w:rsid w:val="5FB22E62"/>
    <w:rsid w:val="5FBEFD6F"/>
    <w:rsid w:val="5FE0FDC9"/>
    <w:rsid w:val="5FF29D44"/>
    <w:rsid w:val="60139CA0"/>
    <w:rsid w:val="605FE689"/>
    <w:rsid w:val="608D9D00"/>
    <w:rsid w:val="60A83599"/>
    <w:rsid w:val="612CB188"/>
    <w:rsid w:val="61425DD3"/>
    <w:rsid w:val="6229F062"/>
    <w:rsid w:val="625E7759"/>
    <w:rsid w:val="62E35F16"/>
    <w:rsid w:val="63663975"/>
    <w:rsid w:val="63958405"/>
    <w:rsid w:val="63C61065"/>
    <w:rsid w:val="654BFFCA"/>
    <w:rsid w:val="65962824"/>
    <w:rsid w:val="65A94166"/>
    <w:rsid w:val="65B6A503"/>
    <w:rsid w:val="65B6CE6B"/>
    <w:rsid w:val="65F77268"/>
    <w:rsid w:val="66261B41"/>
    <w:rsid w:val="66D19633"/>
    <w:rsid w:val="66F65B65"/>
    <w:rsid w:val="671677D7"/>
    <w:rsid w:val="67BF6B31"/>
    <w:rsid w:val="67CCB3ED"/>
    <w:rsid w:val="684E2B82"/>
    <w:rsid w:val="685070A7"/>
    <w:rsid w:val="685529CB"/>
    <w:rsid w:val="68700E70"/>
    <w:rsid w:val="6903837A"/>
    <w:rsid w:val="69E53EEB"/>
    <w:rsid w:val="69E614FF"/>
    <w:rsid w:val="6A007EC7"/>
    <w:rsid w:val="6A8A621D"/>
    <w:rsid w:val="6AB3F5EE"/>
    <w:rsid w:val="6AF04DD8"/>
    <w:rsid w:val="6BAB1371"/>
    <w:rsid w:val="6C86F8B9"/>
    <w:rsid w:val="6CD2A159"/>
    <w:rsid w:val="6D35BA38"/>
    <w:rsid w:val="6D5120F8"/>
    <w:rsid w:val="6D6EC773"/>
    <w:rsid w:val="6D80496B"/>
    <w:rsid w:val="6DE80F64"/>
    <w:rsid w:val="6E8CBC53"/>
    <w:rsid w:val="6EC86624"/>
    <w:rsid w:val="6F9F0CF5"/>
    <w:rsid w:val="6FC72FF2"/>
    <w:rsid w:val="70190021"/>
    <w:rsid w:val="703C9572"/>
    <w:rsid w:val="7045FC37"/>
    <w:rsid w:val="70BDD848"/>
    <w:rsid w:val="70E0AFEF"/>
    <w:rsid w:val="7145D159"/>
    <w:rsid w:val="7150FDF9"/>
    <w:rsid w:val="71D6B0B7"/>
    <w:rsid w:val="723D9A92"/>
    <w:rsid w:val="7285679F"/>
    <w:rsid w:val="72F70CDA"/>
    <w:rsid w:val="73123093"/>
    <w:rsid w:val="731B45A4"/>
    <w:rsid w:val="7326718F"/>
    <w:rsid w:val="73A62231"/>
    <w:rsid w:val="73B8283A"/>
    <w:rsid w:val="73F47F60"/>
    <w:rsid w:val="740FE01D"/>
    <w:rsid w:val="74128783"/>
    <w:rsid w:val="7468DDB6"/>
    <w:rsid w:val="74783F51"/>
    <w:rsid w:val="74A9FA4C"/>
    <w:rsid w:val="74FB82C1"/>
    <w:rsid w:val="75900FA2"/>
    <w:rsid w:val="75D5B6C3"/>
    <w:rsid w:val="76C514EF"/>
    <w:rsid w:val="772EE543"/>
    <w:rsid w:val="7760349C"/>
    <w:rsid w:val="77723A6C"/>
    <w:rsid w:val="777B2EE7"/>
    <w:rsid w:val="77C6484C"/>
    <w:rsid w:val="780FC371"/>
    <w:rsid w:val="7841084F"/>
    <w:rsid w:val="785D6955"/>
    <w:rsid w:val="78C32C91"/>
    <w:rsid w:val="78DD7658"/>
    <w:rsid w:val="79296853"/>
    <w:rsid w:val="7987245B"/>
    <w:rsid w:val="7AB17664"/>
    <w:rsid w:val="7AC18D76"/>
    <w:rsid w:val="7AD33E4D"/>
    <w:rsid w:val="7AF98193"/>
    <w:rsid w:val="7B00A58C"/>
    <w:rsid w:val="7B1380F8"/>
    <w:rsid w:val="7BB9A7AD"/>
    <w:rsid w:val="7BCB21E9"/>
    <w:rsid w:val="7C0ADF64"/>
    <w:rsid w:val="7C3A4407"/>
    <w:rsid w:val="7C4A48A0"/>
    <w:rsid w:val="7C4E2383"/>
    <w:rsid w:val="7D11F228"/>
    <w:rsid w:val="7D80210C"/>
    <w:rsid w:val="7D83899B"/>
    <w:rsid w:val="7DB7B0FD"/>
    <w:rsid w:val="7E1FCBD9"/>
    <w:rsid w:val="7ECD12E5"/>
    <w:rsid w:val="7F51AC23"/>
    <w:rsid w:val="7FDB31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Ttulo1">
    <w:name w:val="heading 1"/>
    <w:basedOn w:val="Normal"/>
    <w:next w:val="Normal"/>
    <w:link w:val="Ttulo1Car"/>
    <w:uiPriority w:val="99"/>
    <w:qFormat/>
    <w:rsid w:val="004F046B"/>
    <w:pPr>
      <w:keepNext/>
      <w:ind w:left="720" w:hanging="720"/>
      <w:outlineLvl w:val="0"/>
    </w:pPr>
    <w:rPr>
      <w:b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Pr>
      <w:rFonts w:ascii="Tahoma" w:hAnsi="Tahoma"/>
      <w:sz w:val="16"/>
      <w:szCs w:val="16"/>
      <w:lang w:val="zh-CN" w:eastAsia="zh-CN"/>
    </w:rPr>
  </w:style>
  <w:style w:type="paragraph" w:styleId="Textoindependiente">
    <w:name w:val="Body Text"/>
    <w:basedOn w:val="Normal"/>
    <w:link w:val="TextoindependienteC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Refdecomentario">
    <w:name w:val="annotation reference"/>
    <w:uiPriority w:val="99"/>
    <w:semiHidden/>
    <w:unhideWhenUsed/>
    <w:qFormat/>
    <w:rPr>
      <w:sz w:val="16"/>
      <w:szCs w:val="16"/>
    </w:rPr>
  </w:style>
  <w:style w:type="paragraph" w:styleId="Textocomentario">
    <w:name w:val="annotation text"/>
    <w:basedOn w:val="Normal"/>
    <w:link w:val="TextocomentarioCar"/>
    <w:uiPriority w:val="99"/>
    <w:unhideWhenUsed/>
    <w:qFormat/>
    <w:rPr>
      <w:sz w:val="20"/>
      <w:lang w:val="zh-CN" w:eastAsia="zh-CN"/>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Piedepgina">
    <w:name w:val="footer"/>
    <w:basedOn w:val="Normal"/>
    <w:link w:val="PiedepginaCar"/>
    <w:uiPriority w:val="99"/>
    <w:qFormat/>
    <w:pPr>
      <w:tabs>
        <w:tab w:val="center" w:pos="4320"/>
        <w:tab w:val="right" w:pos="8640"/>
      </w:tabs>
    </w:pPr>
    <w:rPr>
      <w:lang w:val="zh-CN" w:eastAsia="zh-CN"/>
    </w:rPr>
  </w:style>
  <w:style w:type="paragraph" w:styleId="Encabezado">
    <w:name w:val="header"/>
    <w:basedOn w:val="Normal"/>
    <w:link w:val="EncabezadoCar"/>
    <w:uiPriority w:val="99"/>
    <w:qFormat/>
    <w:pPr>
      <w:tabs>
        <w:tab w:val="center" w:pos="4320"/>
        <w:tab w:val="right" w:pos="8640"/>
      </w:tabs>
    </w:pPr>
    <w:rPr>
      <w:lang w:val="zh-CN" w:eastAsia="zh-CN"/>
    </w:rPr>
  </w:style>
  <w:style w:type="paragraph" w:styleId="HTMLconformatoprevio">
    <w:name w:val="HTML Preformatted"/>
    <w:basedOn w:val="Normal"/>
    <w:link w:val="HTMLconformatoprevioCar"/>
    <w:uiPriority w:val="99"/>
    <w:semiHidden/>
    <w:unhideWhenUsed/>
    <w:qFormat/>
    <w:rPr>
      <w:rFonts w:ascii="Consolas" w:hAnsi="Consolas"/>
      <w:sz w:val="20"/>
    </w:rPr>
  </w:style>
  <w:style w:type="character" w:styleId="Hipervnculo">
    <w:name w:val="Hyperlink"/>
    <w:uiPriority w:val="99"/>
    <w:unhideWhenUsed/>
    <w:qFormat/>
    <w:rPr>
      <w:color w:val="0000FF"/>
      <w:u w:val="single"/>
    </w:rPr>
  </w:style>
  <w:style w:type="character" w:styleId="Nmerodelnea">
    <w:name w:val="line number"/>
    <w:basedOn w:val="Fuentedeprrafopredeter"/>
    <w:uiPriority w:val="99"/>
    <w:semiHidden/>
    <w:unhideWhenUsed/>
    <w:qFormat/>
  </w:style>
  <w:style w:type="character" w:styleId="Nmerodepgina">
    <w:name w:val="page number"/>
    <w:basedOn w:val="Fuentedeprrafopredeter"/>
    <w:qFormat/>
  </w:style>
  <w:style w:type="paragraph" w:customStyle="1" w:styleId="Title2">
    <w:name w:val="Title2"/>
    <w:basedOn w:val="Normal"/>
    <w:next w:val="Normal"/>
    <w:qFormat/>
    <w:pPr>
      <w:tabs>
        <w:tab w:val="left" w:pos="648"/>
        <w:tab w:val="right" w:pos="7776"/>
        <w:tab w:val="left" w:pos="7848"/>
      </w:tabs>
    </w:pPr>
  </w:style>
  <w:style w:type="character" w:customStyle="1" w:styleId="EncabezadoCar">
    <w:name w:val="Encabezado Car"/>
    <w:link w:val="Encabezado"/>
    <w:uiPriority w:val="99"/>
    <w:rPr>
      <w:rFonts w:ascii="Times New Roman" w:eastAsia="Times New Roman" w:hAnsi="Times New Roman" w:cs="Times New Roman"/>
      <w:sz w:val="24"/>
      <w:szCs w:val="20"/>
    </w:rPr>
  </w:style>
  <w:style w:type="character" w:customStyle="1" w:styleId="PiedepginaCar">
    <w:name w:val="Pie de página Car"/>
    <w:link w:val="Piedepgina"/>
    <w:uiPriority w:val="99"/>
    <w:rPr>
      <w:rFonts w:ascii="Times New Roman" w:eastAsia="Times New Roman" w:hAnsi="Times New Roman" w:cs="Times New Roman"/>
      <w:sz w:val="24"/>
      <w:szCs w:val="20"/>
    </w:rPr>
  </w:style>
  <w:style w:type="character" w:customStyle="1" w:styleId="TextocomentarioCar">
    <w:name w:val="Texto comentario Car"/>
    <w:link w:val="Textocomentario"/>
    <w:uiPriority w:val="99"/>
    <w:qFormat/>
    <w:rPr>
      <w:rFonts w:ascii="Times New Roman" w:eastAsia="Times New Roman" w:hAnsi="Times New Roman"/>
    </w:rPr>
  </w:style>
  <w:style w:type="character" w:customStyle="1" w:styleId="AsuntodelcomentarioCar">
    <w:name w:val="Asunto del comentario Car"/>
    <w:link w:val="Asuntodelcomentario"/>
    <w:uiPriority w:val="99"/>
    <w:semiHidden/>
    <w:qFormat/>
    <w:rPr>
      <w:rFonts w:ascii="Times New Roman" w:eastAsia="Times New Roman" w:hAnsi="Times New Roman"/>
      <w:b/>
      <w:bCs/>
    </w:rPr>
  </w:style>
  <w:style w:type="character" w:customStyle="1" w:styleId="TextodegloboCar">
    <w:name w:val="Texto de globo Car"/>
    <w:link w:val="Textodeglobo"/>
    <w:uiPriority w:val="99"/>
    <w:semiHidden/>
    <w:qFormat/>
    <w:rPr>
      <w:rFonts w:ascii="Tahoma" w:eastAsia="Times New Roman" w:hAnsi="Tahoma" w:cs="Tahoma"/>
      <w:sz w:val="16"/>
      <w:szCs w:val="16"/>
    </w:rPr>
  </w:style>
  <w:style w:type="paragraph" w:styleId="Sinespaciado">
    <w:name w:val="No Spacing"/>
    <w:uiPriority w:val="1"/>
    <w:qFormat/>
    <w:rPr>
      <w:rFonts w:ascii="Times New Roman" w:eastAsia="Times New Roman" w:hAnsi="Times New Roman"/>
      <w:sz w:val="24"/>
    </w:rPr>
  </w:style>
  <w:style w:type="paragraph" w:styleId="Prrafodelista">
    <w:name w:val="List Paragraph"/>
    <w:basedOn w:val="Normal"/>
    <w:uiPriority w:val="34"/>
    <w:qFormat/>
    <w:pPr>
      <w:ind w:left="720"/>
      <w:contextualSpacing/>
    </w:pPr>
  </w:style>
  <w:style w:type="character" w:customStyle="1" w:styleId="TextoindependienteCar">
    <w:name w:val="Texto independiente Car"/>
    <w:link w:val="Textoindependiente"/>
    <w:rPr>
      <w:rFonts w:ascii="Times New Roman" w:eastAsia="Times New Roman" w:hAnsi="Times New Roman"/>
      <w:snapToGrid w:val="0"/>
      <w:spacing w:val="-3"/>
      <w:sz w:val="24"/>
    </w:rPr>
  </w:style>
  <w:style w:type="character" w:customStyle="1" w:styleId="apple-converted-space">
    <w:name w:val="apple-converted-space"/>
    <w:basedOn w:val="Fuentedeprrafopredeter"/>
    <w:qFormat/>
  </w:style>
  <w:style w:type="character" w:styleId="Textodelmarcadordeposicin">
    <w:name w:val="Placeholder Text"/>
    <w:basedOn w:val="Fuentedeprrafopredeter"/>
    <w:uiPriority w:val="99"/>
    <w:semiHidden/>
    <w:rPr>
      <w:color w:val="808080"/>
    </w:rPr>
  </w:style>
  <w:style w:type="character" w:customStyle="1" w:styleId="HTMLconformatoprevioCar">
    <w:name w:val="HTML con formato previo Car"/>
    <w:basedOn w:val="Fuentedeprrafopredeter"/>
    <w:link w:val="HTMLconformatoprevio"/>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Fuentedeprrafopredeter"/>
    <w:rsid w:val="00796A1D"/>
  </w:style>
  <w:style w:type="table" w:customStyle="1" w:styleId="Style42">
    <w:name w:val="_Style 42"/>
    <w:basedOn w:val="Tablanormal"/>
    <w:rsid w:val="00641191"/>
    <w:rPr>
      <w:rFonts w:ascii="Times New Roman" w:eastAsia="Times New Roman" w:hAnsi="Times New Roman"/>
    </w:rPr>
    <w:tblPr>
      <w:tblInd w:w="0" w:type="nil"/>
    </w:tblPr>
  </w:style>
  <w:style w:type="table" w:customStyle="1" w:styleId="Style43">
    <w:name w:val="_Style 43"/>
    <w:basedOn w:val="Tablanormal"/>
    <w:qFormat/>
    <w:rsid w:val="00641191"/>
    <w:rPr>
      <w:rFonts w:ascii="Times New Roman" w:eastAsia="Times New Roman" w:hAnsi="Times New Roman"/>
    </w:rPr>
    <w:tblPr>
      <w:tblInd w:w="0" w:type="nil"/>
    </w:tblPr>
  </w:style>
  <w:style w:type="paragraph" w:styleId="Sangra2detindependiente">
    <w:name w:val="Body Text Indent 2"/>
    <w:basedOn w:val="Normal"/>
    <w:link w:val="Sangra2detindependienteCar"/>
    <w:rsid w:val="00E20220"/>
    <w:pPr>
      <w:spacing w:after="120" w:line="480" w:lineRule="auto"/>
      <w:ind w:left="360"/>
    </w:pPr>
    <w:rPr>
      <w:lang w:val="es-PR"/>
    </w:rPr>
  </w:style>
  <w:style w:type="character" w:customStyle="1" w:styleId="Sangra2detindependienteCar">
    <w:name w:val="Sangría 2 de t. independiente Car"/>
    <w:basedOn w:val="Fuentedeprrafopredeter"/>
    <w:link w:val="Sangra2detindependiente"/>
    <w:rsid w:val="00E20220"/>
    <w:rPr>
      <w:rFonts w:ascii="Times New Roman" w:eastAsia="Times New Roman" w:hAnsi="Times New Roman"/>
      <w:sz w:val="24"/>
      <w:lang w:val="es-PR"/>
    </w:rPr>
  </w:style>
  <w:style w:type="paragraph" w:styleId="NormalWeb">
    <w:name w:val="Normal (Web)"/>
    <w:basedOn w:val="Normal"/>
    <w:unhideWhenUsed/>
    <w:rsid w:val="00B63686"/>
    <w:pPr>
      <w:spacing w:before="100" w:beforeAutospacing="1" w:after="100" w:afterAutospacing="1"/>
    </w:pPr>
    <w:rPr>
      <w:szCs w:val="24"/>
    </w:rPr>
  </w:style>
  <w:style w:type="character" w:styleId="Fuerte">
    <w:name w:val="Strong"/>
    <w:basedOn w:val="Fuentedeprrafopredeter"/>
    <w:uiPriority w:val="22"/>
    <w:qFormat/>
    <w:rsid w:val="00BB4E75"/>
    <w:rPr>
      <w:b/>
      <w:bCs/>
    </w:rPr>
  </w:style>
  <w:style w:type="character" w:customStyle="1" w:styleId="normaltextrun">
    <w:name w:val="normaltextrun"/>
    <w:basedOn w:val="Fuentedeprrafopredeter"/>
    <w:qFormat/>
    <w:rsid w:val="00C91865"/>
  </w:style>
  <w:style w:type="character" w:styleId="nfasis">
    <w:name w:val="Emphasis"/>
    <w:basedOn w:val="Fuentedeprrafopredeter"/>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Fuentedeprrafopredeter"/>
    <w:qFormat/>
    <w:rsid w:val="00C91865"/>
  </w:style>
  <w:style w:type="character" w:styleId="Refdenotaalpie">
    <w:name w:val="footnote reference"/>
    <w:qFormat/>
    <w:rsid w:val="00C02A40"/>
    <w:rPr>
      <w:vertAlign w:val="superscript"/>
    </w:rPr>
  </w:style>
  <w:style w:type="paragraph" w:styleId="Textonotapie">
    <w:name w:val="footnote text"/>
    <w:basedOn w:val="Normal"/>
    <w:link w:val="TextonotapieCar"/>
    <w:qFormat/>
    <w:rsid w:val="00C02A40"/>
    <w:rPr>
      <w:sz w:val="20"/>
      <w:szCs w:val="24"/>
    </w:rPr>
  </w:style>
  <w:style w:type="character" w:customStyle="1" w:styleId="TextonotapieCar">
    <w:name w:val="Texto nota pie Car"/>
    <w:basedOn w:val="Fuentedeprrafopredeter"/>
    <w:link w:val="Textonotapie"/>
    <w:qFormat/>
    <w:rsid w:val="00C02A40"/>
    <w:rPr>
      <w:rFonts w:ascii="Times New Roman" w:eastAsia="Times New Roman" w:hAnsi="Times New Roman"/>
      <w:szCs w:val="24"/>
    </w:rPr>
  </w:style>
  <w:style w:type="paragraph" w:styleId="Sangradetextonormal">
    <w:name w:val="Body Text Indent"/>
    <w:basedOn w:val="Normal"/>
    <w:link w:val="SangradetextonormalCar"/>
    <w:uiPriority w:val="99"/>
    <w:unhideWhenUsed/>
    <w:rsid w:val="004B278A"/>
    <w:pPr>
      <w:spacing w:after="120"/>
      <w:ind w:left="360"/>
    </w:pPr>
    <w:rPr>
      <w:szCs w:val="24"/>
    </w:rPr>
  </w:style>
  <w:style w:type="character" w:customStyle="1" w:styleId="SangradetextonormalCar">
    <w:name w:val="Sangría de texto normal Car"/>
    <w:basedOn w:val="Fuentedeprrafopredeter"/>
    <w:link w:val="Sangradetextonormal"/>
    <w:uiPriority w:val="99"/>
    <w:rsid w:val="004B278A"/>
    <w:rPr>
      <w:rFonts w:ascii="Times New Roman" w:eastAsia="Times New Roman" w:hAnsi="Times New Roman"/>
      <w:sz w:val="24"/>
      <w:szCs w:val="24"/>
    </w:rPr>
  </w:style>
  <w:style w:type="character" w:customStyle="1" w:styleId="Ttulo1Car">
    <w:name w:val="Título 1 Car"/>
    <w:basedOn w:val="Fuentedeprrafopredeter"/>
    <w:link w:val="Ttulo1"/>
    <w:uiPriority w:val="99"/>
    <w:rsid w:val="004F046B"/>
    <w:rPr>
      <w:rFonts w:ascii="Times New Roman" w:eastAsia="Times New Roman" w:hAnsi="Times New Roman"/>
      <w:bCs/>
      <w:sz w:val="24"/>
      <w:szCs w:val="24"/>
    </w:rPr>
  </w:style>
  <w:style w:type="paragraph" w:styleId="Revisin">
    <w:name w:val="Revision"/>
    <w:hidden/>
    <w:uiPriority w:val="99"/>
    <w:semiHidden/>
    <w:rsid w:val="006F0974"/>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863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3020</Words>
  <Characters>17216</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S. Adams Vega</dc:creator>
  <cp:lastModifiedBy>Rocío Alayón Morell</cp:lastModifiedBy>
  <cp:revision>2</cp:revision>
  <cp:lastPrinted>2026-05-11T18:49:00Z</cp:lastPrinted>
  <dcterms:created xsi:type="dcterms:W3CDTF">2026-05-12T13:50:00Z</dcterms:created>
  <dcterms:modified xsi:type="dcterms:W3CDTF">2026-05-12T13:50:00Z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