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C2D19" w14:textId="77777777" w:rsidR="009D0CCF" w:rsidRPr="00FB6BB6" w:rsidRDefault="009D0CCF" w:rsidP="009D0CCF">
      <w:pPr>
        <w:jc w:val="center"/>
        <w:rPr>
          <w:rFonts w:ascii="Book Antiqua" w:hAnsi="Book Antiqua"/>
          <w:sz w:val="28"/>
          <w:szCs w:val="28"/>
        </w:rPr>
      </w:pPr>
      <w:r w:rsidRPr="00FB6BB6">
        <w:rPr>
          <w:rFonts w:ascii="Book Antiqua" w:hAnsi="Book Antiqua"/>
          <w:sz w:val="28"/>
          <w:szCs w:val="28"/>
        </w:rPr>
        <w:t>GOBIERNO DE PUERTO RICO</w:t>
      </w:r>
    </w:p>
    <w:p w14:paraId="1D2B1584" w14:textId="77777777" w:rsidR="009D0CCF" w:rsidRPr="00FB6BB6" w:rsidRDefault="009D0CCF" w:rsidP="009D0CCF">
      <w:pPr>
        <w:jc w:val="center"/>
        <w:rPr>
          <w:rFonts w:ascii="Book Antiqua" w:hAnsi="Book Antiqua"/>
          <w:szCs w:val="20"/>
        </w:rPr>
      </w:pPr>
    </w:p>
    <w:p w14:paraId="18E51F21" w14:textId="77777777" w:rsidR="009D0CCF" w:rsidRPr="00FB6BB6" w:rsidRDefault="009D0CCF" w:rsidP="009D0CCF">
      <w:pPr>
        <w:tabs>
          <w:tab w:val="left" w:pos="648"/>
          <w:tab w:val="left" w:pos="7848"/>
        </w:tabs>
        <w:rPr>
          <w:rFonts w:ascii="Book Antiqua" w:hAnsi="Book Antiqua"/>
          <w:szCs w:val="20"/>
        </w:rPr>
      </w:pPr>
      <w:r w:rsidRPr="00FB6BB6">
        <w:rPr>
          <w:rFonts w:ascii="Book Antiqua" w:hAnsi="Book Antiqua"/>
          <w:szCs w:val="20"/>
        </w:rPr>
        <w:t>20ma. Asamblea</w:t>
      </w:r>
      <w:r w:rsidRPr="00FB6BB6">
        <w:rPr>
          <w:rFonts w:ascii="Book Antiqua" w:hAnsi="Book Antiqua"/>
          <w:szCs w:val="20"/>
        </w:rPr>
        <w:tab/>
        <w:t>3ra. Sesión</w:t>
      </w:r>
    </w:p>
    <w:p w14:paraId="28E7F4FB" w14:textId="77777777" w:rsidR="009D0CCF" w:rsidRPr="00FB6BB6" w:rsidRDefault="009D0CCF" w:rsidP="009D0CCF">
      <w:pPr>
        <w:tabs>
          <w:tab w:val="left" w:pos="540"/>
          <w:tab w:val="left" w:pos="7848"/>
        </w:tabs>
        <w:rPr>
          <w:rFonts w:ascii="Book Antiqua" w:hAnsi="Book Antiqua"/>
          <w:szCs w:val="20"/>
        </w:rPr>
      </w:pPr>
      <w:r w:rsidRPr="00FB6BB6">
        <w:rPr>
          <w:rFonts w:ascii="Book Antiqua" w:hAnsi="Book Antiqua"/>
          <w:szCs w:val="20"/>
        </w:rPr>
        <w:tab/>
        <w:t xml:space="preserve">  Legislativa</w:t>
      </w:r>
      <w:r w:rsidRPr="00FB6BB6">
        <w:rPr>
          <w:rFonts w:ascii="Book Antiqua" w:hAnsi="Book Antiqua"/>
          <w:szCs w:val="20"/>
        </w:rPr>
        <w:tab/>
        <w:t xml:space="preserve">       Ordinaria</w:t>
      </w:r>
    </w:p>
    <w:p w14:paraId="65ADF94E" w14:textId="77777777" w:rsidR="009D0CCF" w:rsidRPr="00FB6BB6" w:rsidRDefault="009D0CCF" w:rsidP="009D0CCF">
      <w:pPr>
        <w:rPr>
          <w:rFonts w:ascii="Book Antiqua" w:hAnsi="Book Antiqua"/>
          <w:szCs w:val="20"/>
        </w:rPr>
      </w:pPr>
    </w:p>
    <w:p w14:paraId="5E42010C" w14:textId="77777777" w:rsidR="009D0CCF" w:rsidRPr="00FB6BB6" w:rsidRDefault="009D0CCF" w:rsidP="009D0CCF">
      <w:pPr>
        <w:jc w:val="center"/>
        <w:rPr>
          <w:rFonts w:ascii="Book Antiqua" w:hAnsi="Book Antiqua"/>
          <w:b/>
          <w:sz w:val="36"/>
          <w:szCs w:val="36"/>
        </w:rPr>
      </w:pPr>
      <w:r w:rsidRPr="00FB6BB6">
        <w:rPr>
          <w:rFonts w:ascii="Book Antiqua" w:hAnsi="Book Antiqua"/>
          <w:b/>
          <w:sz w:val="36"/>
          <w:szCs w:val="36"/>
        </w:rPr>
        <w:t>CÁMARA DE REPRESENTANTES</w:t>
      </w:r>
    </w:p>
    <w:p w14:paraId="252F0FCA" w14:textId="77777777" w:rsidR="009D0CCF" w:rsidRPr="00FB6BB6" w:rsidRDefault="009D0CCF" w:rsidP="009D0CCF">
      <w:pPr>
        <w:jc w:val="center"/>
        <w:rPr>
          <w:rFonts w:ascii="Book Antiqua" w:hAnsi="Book Antiqua"/>
          <w:b/>
        </w:rPr>
      </w:pPr>
    </w:p>
    <w:p w14:paraId="197D777A" w14:textId="1CFA4801" w:rsidR="009D0CCF" w:rsidRPr="00FB6BB6" w:rsidRDefault="009D0CCF" w:rsidP="009D0CCF">
      <w:pPr>
        <w:jc w:val="center"/>
        <w:rPr>
          <w:rFonts w:ascii="Book Antiqua" w:hAnsi="Book Antiqua"/>
          <w:b/>
          <w:sz w:val="52"/>
          <w:szCs w:val="52"/>
        </w:rPr>
      </w:pPr>
      <w:r w:rsidRPr="00FB6BB6">
        <w:rPr>
          <w:rFonts w:ascii="Book Antiqua" w:hAnsi="Book Antiqua"/>
          <w:b/>
          <w:sz w:val="52"/>
          <w:szCs w:val="52"/>
        </w:rPr>
        <w:t xml:space="preserve">P. de la C. </w:t>
      </w:r>
      <w:r w:rsidR="009162FE">
        <w:rPr>
          <w:rFonts w:ascii="Book Antiqua" w:hAnsi="Book Antiqua"/>
          <w:b/>
          <w:sz w:val="52"/>
          <w:szCs w:val="52"/>
        </w:rPr>
        <w:t>1264</w:t>
      </w:r>
    </w:p>
    <w:p w14:paraId="7D5D348B" w14:textId="48A91E9C" w:rsidR="009D0CCF" w:rsidRPr="00FB6BB6" w:rsidRDefault="009D0CCF" w:rsidP="009D0CCF">
      <w:pPr>
        <w:jc w:val="center"/>
        <w:rPr>
          <w:rFonts w:ascii="Book Antiqua" w:hAnsi="Book Antiqua"/>
          <w:szCs w:val="20"/>
        </w:rPr>
      </w:pPr>
      <w:r w:rsidRPr="00FB6BB6">
        <w:rPr>
          <w:rFonts w:ascii="Book Antiqua" w:hAnsi="Book Antiqua"/>
          <w:szCs w:val="20"/>
        </w:rPr>
        <w:br/>
      </w:r>
      <w:r w:rsidR="009162FE">
        <w:rPr>
          <w:rFonts w:ascii="Book Antiqua" w:hAnsi="Book Antiqua"/>
          <w:szCs w:val="20"/>
        </w:rPr>
        <w:t>8</w:t>
      </w:r>
      <w:r w:rsidRPr="00FB6BB6">
        <w:rPr>
          <w:rFonts w:ascii="Book Antiqua" w:hAnsi="Book Antiqua"/>
          <w:szCs w:val="20"/>
        </w:rPr>
        <w:t xml:space="preserve"> DE MAYO DE 2026</w:t>
      </w:r>
    </w:p>
    <w:p w14:paraId="7BB5C5A8" w14:textId="77777777" w:rsidR="009D0CCF" w:rsidRPr="00FB6BB6" w:rsidRDefault="009D0CCF" w:rsidP="009D0CCF">
      <w:pPr>
        <w:jc w:val="center"/>
        <w:rPr>
          <w:rFonts w:ascii="Book Antiqua" w:hAnsi="Book Antiqua"/>
          <w:szCs w:val="20"/>
        </w:rPr>
      </w:pPr>
    </w:p>
    <w:p w14:paraId="076CC654" w14:textId="0BBE4999" w:rsidR="009D0CCF" w:rsidRPr="00FB6BB6" w:rsidRDefault="009D0CCF" w:rsidP="009D0CCF">
      <w:pPr>
        <w:jc w:val="center"/>
        <w:rPr>
          <w:rFonts w:ascii="Book Antiqua" w:hAnsi="Book Antiqua"/>
          <w:i/>
          <w:szCs w:val="20"/>
        </w:rPr>
      </w:pPr>
      <w:r w:rsidRPr="00FB6BB6">
        <w:rPr>
          <w:rFonts w:ascii="Book Antiqua" w:hAnsi="Book Antiqua"/>
          <w:szCs w:val="20"/>
        </w:rPr>
        <w:t>Presentado por el representante</w:t>
      </w:r>
      <w:r w:rsidRPr="00FB6BB6">
        <w:rPr>
          <w:rFonts w:ascii="Book Antiqua" w:hAnsi="Book Antiqua"/>
          <w:i/>
          <w:szCs w:val="20"/>
        </w:rPr>
        <w:t xml:space="preserve"> Parés Otero</w:t>
      </w:r>
    </w:p>
    <w:p w14:paraId="6A0BBB10" w14:textId="623B4442" w:rsidR="00995494" w:rsidRPr="00995494" w:rsidRDefault="00995494" w:rsidP="00995494">
      <w:pPr>
        <w:jc w:val="center"/>
        <w:rPr>
          <w:rFonts w:ascii="Book Antiqua" w:hAnsi="Book Antiqua"/>
          <w:i/>
          <w:iCs/>
          <w:szCs w:val="20"/>
          <w:lang w:val="es-ES_tradnl"/>
        </w:rPr>
      </w:pPr>
      <w:r w:rsidRPr="00995494">
        <w:rPr>
          <w:rFonts w:ascii="Book Antiqua" w:hAnsi="Book Antiqua"/>
          <w:i/>
          <w:iCs/>
          <w:szCs w:val="20"/>
          <w:lang w:val="es-ES_tradnl"/>
        </w:rPr>
        <w:t>(Por Petición de</w:t>
      </w:r>
      <w:r>
        <w:rPr>
          <w:rFonts w:ascii="Book Antiqua" w:hAnsi="Book Antiqua"/>
          <w:i/>
          <w:iCs/>
          <w:szCs w:val="20"/>
          <w:lang w:val="es-ES_tradnl"/>
        </w:rPr>
        <w:t xml:space="preserve"> </w:t>
      </w:r>
      <w:r w:rsidRPr="00995494">
        <w:rPr>
          <w:rFonts w:ascii="Book Antiqua" w:hAnsi="Book Antiqua"/>
          <w:i/>
          <w:iCs/>
          <w:szCs w:val="20"/>
          <w:lang w:val="es-ES_tradnl"/>
        </w:rPr>
        <w:t>l</w:t>
      </w:r>
      <w:r>
        <w:rPr>
          <w:rFonts w:ascii="Book Antiqua" w:hAnsi="Book Antiqua"/>
          <w:i/>
          <w:iCs/>
          <w:szCs w:val="20"/>
          <w:lang w:val="es-ES_tradnl"/>
        </w:rPr>
        <w:t>a</w:t>
      </w:r>
      <w:r w:rsidRPr="00995494">
        <w:rPr>
          <w:rFonts w:ascii="Book Antiqua" w:hAnsi="Book Antiqua"/>
          <w:i/>
          <w:iCs/>
          <w:szCs w:val="20"/>
          <w:lang w:val="es-ES_tradnl"/>
        </w:rPr>
        <w:t xml:space="preserve"> </w:t>
      </w:r>
      <w:r>
        <w:rPr>
          <w:rFonts w:ascii="Book Antiqua" w:hAnsi="Book Antiqua"/>
          <w:i/>
          <w:iCs/>
          <w:szCs w:val="20"/>
          <w:lang w:val="es-ES_tradnl"/>
        </w:rPr>
        <w:t>Oficina de la Contralora de Puerto Rico</w:t>
      </w:r>
      <w:r w:rsidRPr="00995494">
        <w:rPr>
          <w:rFonts w:ascii="Book Antiqua" w:hAnsi="Book Antiqua"/>
          <w:i/>
          <w:iCs/>
          <w:szCs w:val="20"/>
          <w:lang w:val="es-ES_tradnl"/>
        </w:rPr>
        <w:t>)</w:t>
      </w:r>
    </w:p>
    <w:p w14:paraId="73014793" w14:textId="77777777" w:rsidR="009D0CCF" w:rsidRPr="00995494" w:rsidRDefault="009D0CCF" w:rsidP="009D0CCF">
      <w:pPr>
        <w:jc w:val="center"/>
        <w:rPr>
          <w:rFonts w:ascii="Book Antiqua" w:hAnsi="Book Antiqua"/>
          <w:szCs w:val="20"/>
          <w:lang w:val="es-ES_tradnl"/>
        </w:rPr>
      </w:pPr>
    </w:p>
    <w:p w14:paraId="1323C20C" w14:textId="71A104CF" w:rsidR="009D0CCF" w:rsidRPr="00FB6BB6" w:rsidRDefault="009D0CCF" w:rsidP="009D0CCF">
      <w:pPr>
        <w:jc w:val="center"/>
        <w:rPr>
          <w:rFonts w:ascii="Book Antiqua" w:hAnsi="Book Antiqua"/>
          <w:szCs w:val="20"/>
        </w:rPr>
      </w:pPr>
      <w:r w:rsidRPr="00FB6BB6">
        <w:rPr>
          <w:rFonts w:ascii="Book Antiqua" w:hAnsi="Book Antiqua"/>
          <w:szCs w:val="20"/>
        </w:rPr>
        <w:t>Referido a</w:t>
      </w:r>
      <w:r w:rsidR="003931A8">
        <w:rPr>
          <w:rFonts w:ascii="Book Antiqua" w:hAnsi="Book Antiqua"/>
          <w:szCs w:val="20"/>
        </w:rPr>
        <w:t xml:space="preserve"> </w:t>
      </w:r>
      <w:r w:rsidR="009474EB">
        <w:rPr>
          <w:rFonts w:ascii="Book Antiqua" w:hAnsi="Book Antiqua"/>
          <w:szCs w:val="20"/>
        </w:rPr>
        <w:t>la Comisión de Gobierno</w:t>
      </w:r>
    </w:p>
    <w:p w14:paraId="5DD812B6" w14:textId="77777777" w:rsidR="009D0CCF" w:rsidRPr="00FB6BB6" w:rsidRDefault="009D0CCF" w:rsidP="009D0CCF">
      <w:pPr>
        <w:jc w:val="center"/>
        <w:rPr>
          <w:rFonts w:ascii="Book Antiqua" w:hAnsi="Book Antiqua"/>
          <w:szCs w:val="20"/>
        </w:rPr>
      </w:pPr>
    </w:p>
    <w:p w14:paraId="4552AD7A" w14:textId="77777777" w:rsidR="009D0CCF" w:rsidRPr="00FB6BB6" w:rsidRDefault="009D0CCF" w:rsidP="009D0CCF">
      <w:pPr>
        <w:jc w:val="center"/>
        <w:rPr>
          <w:rFonts w:ascii="Book Antiqua" w:hAnsi="Book Antiqua"/>
          <w:sz w:val="28"/>
          <w:szCs w:val="36"/>
        </w:rPr>
      </w:pPr>
      <w:r w:rsidRPr="00FB6BB6">
        <w:rPr>
          <w:rFonts w:ascii="Book Antiqua" w:hAnsi="Book Antiqua"/>
          <w:b/>
          <w:sz w:val="28"/>
          <w:szCs w:val="36"/>
        </w:rPr>
        <w:t>LEY</w:t>
      </w:r>
    </w:p>
    <w:p w14:paraId="3F72CAD0" w14:textId="77777777" w:rsidR="00897989" w:rsidRPr="00FB6BB6" w:rsidRDefault="00897989" w:rsidP="00897989">
      <w:pPr>
        <w:jc w:val="both"/>
        <w:rPr>
          <w:rFonts w:ascii="Book Antiqua" w:hAnsi="Book Antiqua"/>
        </w:rPr>
      </w:pPr>
    </w:p>
    <w:p w14:paraId="31DB74E4" w14:textId="22D47004" w:rsidR="00262633" w:rsidRPr="00FB6BB6" w:rsidRDefault="00897989" w:rsidP="0069220C">
      <w:pPr>
        <w:ind w:left="720" w:hanging="720"/>
        <w:jc w:val="both"/>
        <w:rPr>
          <w:rFonts w:ascii="Book Antiqua" w:hAnsi="Book Antiqua"/>
        </w:rPr>
      </w:pPr>
      <w:r w:rsidRPr="00FB6BB6">
        <w:rPr>
          <w:rFonts w:ascii="Book Antiqua" w:hAnsi="Book Antiqua"/>
        </w:rPr>
        <w:t xml:space="preserve">Para enmendar </w:t>
      </w:r>
      <w:r w:rsidR="00C37CE5" w:rsidRPr="00FB6BB6">
        <w:rPr>
          <w:rFonts w:ascii="Book Antiqua" w:hAnsi="Book Antiqua"/>
        </w:rPr>
        <w:t>e</w:t>
      </w:r>
      <w:r w:rsidRPr="00FB6BB6">
        <w:rPr>
          <w:rFonts w:ascii="Book Antiqua" w:hAnsi="Book Antiqua"/>
        </w:rPr>
        <w:t xml:space="preserve">l </w:t>
      </w:r>
      <w:r w:rsidR="00C37CE5" w:rsidRPr="00FB6BB6">
        <w:rPr>
          <w:rFonts w:ascii="Book Antiqua" w:hAnsi="Book Antiqua"/>
        </w:rPr>
        <w:t>A</w:t>
      </w:r>
      <w:r w:rsidRPr="00FB6BB6">
        <w:rPr>
          <w:rFonts w:ascii="Book Antiqua" w:hAnsi="Book Antiqua"/>
        </w:rPr>
        <w:t>rtículo</w:t>
      </w:r>
      <w:r w:rsidR="00C37CE5" w:rsidRPr="00FB6BB6">
        <w:rPr>
          <w:rFonts w:ascii="Book Antiqua" w:hAnsi="Book Antiqua"/>
        </w:rPr>
        <w:t xml:space="preserve"> </w:t>
      </w:r>
      <w:r w:rsidR="006406A6" w:rsidRPr="00FB6BB6">
        <w:rPr>
          <w:rFonts w:ascii="Book Antiqua" w:hAnsi="Book Antiqua"/>
        </w:rPr>
        <w:t>1</w:t>
      </w:r>
      <w:r w:rsidRPr="00FB6BB6">
        <w:rPr>
          <w:rFonts w:ascii="Book Antiqua" w:hAnsi="Book Antiqua"/>
        </w:rPr>
        <w:t xml:space="preserve"> de la Ley Núm. </w:t>
      </w:r>
      <w:r w:rsidR="00AF4035" w:rsidRPr="00FB6BB6">
        <w:rPr>
          <w:rFonts w:ascii="Book Antiqua" w:hAnsi="Book Antiqua"/>
        </w:rPr>
        <w:t>18</w:t>
      </w:r>
      <w:r w:rsidRPr="00FB6BB6">
        <w:rPr>
          <w:rFonts w:ascii="Book Antiqua" w:hAnsi="Book Antiqua"/>
        </w:rPr>
        <w:t xml:space="preserve"> de </w:t>
      </w:r>
      <w:r w:rsidR="00C37CE5" w:rsidRPr="00FB6BB6">
        <w:rPr>
          <w:rFonts w:ascii="Book Antiqua" w:hAnsi="Book Antiqua"/>
        </w:rPr>
        <w:t>30</w:t>
      </w:r>
      <w:r w:rsidRPr="00FB6BB6">
        <w:rPr>
          <w:rFonts w:ascii="Book Antiqua" w:hAnsi="Book Antiqua"/>
        </w:rPr>
        <w:t xml:space="preserve"> de </w:t>
      </w:r>
      <w:r w:rsidR="00C37CE5" w:rsidRPr="00FB6BB6">
        <w:rPr>
          <w:rFonts w:ascii="Book Antiqua" w:hAnsi="Book Antiqua"/>
        </w:rPr>
        <w:t>octubre</w:t>
      </w:r>
      <w:r w:rsidRPr="00FB6BB6">
        <w:rPr>
          <w:rFonts w:ascii="Book Antiqua" w:hAnsi="Book Antiqua"/>
        </w:rPr>
        <w:t xml:space="preserve"> de 19</w:t>
      </w:r>
      <w:r w:rsidR="00C37CE5" w:rsidRPr="00FB6BB6">
        <w:rPr>
          <w:rFonts w:ascii="Book Antiqua" w:hAnsi="Book Antiqua"/>
        </w:rPr>
        <w:t>75</w:t>
      </w:r>
      <w:r w:rsidRPr="00FB6BB6">
        <w:rPr>
          <w:rFonts w:ascii="Book Antiqua" w:hAnsi="Book Antiqua"/>
        </w:rPr>
        <w:t xml:space="preserve">, según enmendada, a los fines de </w:t>
      </w:r>
      <w:r w:rsidR="008B0134" w:rsidRPr="00FB6BB6">
        <w:rPr>
          <w:rFonts w:ascii="Book Antiqua" w:hAnsi="Book Antiqua"/>
        </w:rPr>
        <w:t>crear un plataforma de contratos, la cual utilizarán todas las entidades gubernamentales para generar sus contratos, desde su creación hasta su registro en el Registro de Contratos de la Oficina del Contralor de Puerto Rico</w:t>
      </w:r>
      <w:r w:rsidR="00201907" w:rsidRPr="00FB6BB6">
        <w:rPr>
          <w:rFonts w:ascii="Book Antiqua" w:hAnsi="Book Antiqua"/>
        </w:rPr>
        <w:t>; para enmendar el Artículo 24 de la</w:t>
      </w:r>
      <w:r w:rsidR="003D34ED">
        <w:rPr>
          <w:rFonts w:ascii="Book Antiqua" w:hAnsi="Book Antiqua"/>
        </w:rPr>
        <w:t xml:space="preserve"> L</w:t>
      </w:r>
      <w:r w:rsidR="00201907" w:rsidRPr="00FB6BB6">
        <w:rPr>
          <w:rFonts w:ascii="Book Antiqua" w:hAnsi="Book Antiqua"/>
        </w:rPr>
        <w:t xml:space="preserve">ey Núm. 73-2019, según enmendada, conocida como “Ley de la Administración de Servicios Generales para la Centralización de las Compras del Gobierno de Puerto Rico de 2019”, </w:t>
      </w:r>
      <w:r w:rsidR="000837BF" w:rsidRPr="00FB6BB6">
        <w:rPr>
          <w:rFonts w:ascii="Book Antiqua" w:hAnsi="Book Antiqua"/>
        </w:rPr>
        <w:t xml:space="preserve">para que </w:t>
      </w:r>
      <w:r w:rsidR="00556EC6" w:rsidRPr="00FB6BB6">
        <w:rPr>
          <w:rFonts w:ascii="Book Antiqua" w:hAnsi="Book Antiqua"/>
        </w:rPr>
        <w:t>la Administración de Servicios Generales del Gobierno de Puerto Rico utilice la plataforma de</w:t>
      </w:r>
      <w:r w:rsidR="00201907" w:rsidRPr="00FB6BB6">
        <w:rPr>
          <w:rFonts w:ascii="Book Antiqua" w:hAnsi="Book Antiqua"/>
        </w:rPr>
        <w:t xml:space="preserve"> </w:t>
      </w:r>
      <w:r w:rsidR="00556EC6" w:rsidRPr="00FB6BB6">
        <w:rPr>
          <w:rFonts w:ascii="Book Antiqua" w:hAnsi="Book Antiqua"/>
        </w:rPr>
        <w:t>contratos cuando adquiera los servicios no profesionales para las entidades gubernamentales</w:t>
      </w:r>
      <w:r w:rsidR="007003EF" w:rsidRPr="00FB6BB6">
        <w:rPr>
          <w:rFonts w:ascii="Book Antiqua" w:hAnsi="Book Antiqua"/>
        </w:rPr>
        <w:t>.</w:t>
      </w:r>
    </w:p>
    <w:p w14:paraId="4B2014D0" w14:textId="77777777" w:rsidR="00346696" w:rsidRPr="00FB6BB6" w:rsidRDefault="00346696" w:rsidP="00897989">
      <w:pPr>
        <w:jc w:val="both"/>
        <w:rPr>
          <w:rFonts w:ascii="Book Antiqua" w:hAnsi="Book Antiqua"/>
        </w:rPr>
      </w:pPr>
    </w:p>
    <w:p w14:paraId="28CB3C11" w14:textId="77777777" w:rsidR="00F4268B" w:rsidRPr="00FB6BB6" w:rsidRDefault="00F4268B" w:rsidP="00F4268B">
      <w:pPr>
        <w:jc w:val="center"/>
        <w:rPr>
          <w:rFonts w:ascii="Book Antiqua" w:hAnsi="Book Antiqua"/>
        </w:rPr>
      </w:pPr>
      <w:r w:rsidRPr="00FB6BB6">
        <w:rPr>
          <w:rFonts w:ascii="Book Antiqua" w:hAnsi="Book Antiqua"/>
        </w:rPr>
        <w:t>EXPOSICIÓN DE MOTIVOS</w:t>
      </w:r>
    </w:p>
    <w:p w14:paraId="17CC1D1D" w14:textId="77777777" w:rsidR="00F4268B" w:rsidRPr="00FB6BB6" w:rsidRDefault="00F4268B" w:rsidP="00F4268B">
      <w:pPr>
        <w:jc w:val="both"/>
        <w:rPr>
          <w:rFonts w:ascii="Book Antiqua" w:hAnsi="Book Antiqua"/>
        </w:rPr>
      </w:pPr>
    </w:p>
    <w:p w14:paraId="7882E920" w14:textId="77777777" w:rsidR="007D44F4" w:rsidRPr="007D44F4" w:rsidRDefault="00F8576D" w:rsidP="007D44F4">
      <w:pPr>
        <w:tabs>
          <w:tab w:val="left" w:pos="-1440"/>
          <w:tab w:val="left" w:pos="-720"/>
        </w:tabs>
        <w:suppressAutoHyphens/>
        <w:jc w:val="both"/>
        <w:rPr>
          <w:rFonts w:ascii="Book Antiqua" w:hAnsi="Book Antiqua"/>
        </w:rPr>
      </w:pPr>
      <w:r>
        <w:rPr>
          <w:rFonts w:ascii="Book Antiqua" w:hAnsi="Book Antiqua"/>
        </w:rPr>
        <w:tab/>
      </w:r>
      <w:r w:rsidR="007D44F4" w:rsidRPr="007D44F4">
        <w:rPr>
          <w:rFonts w:ascii="Book Antiqua" w:hAnsi="Book Antiqua"/>
        </w:rPr>
        <w:t xml:space="preserve">En aras de estar a la vanguardia y para satisfacer las exigencias del siglo XXI, es indispensable crear un andamiaje contractual que sea innovador, ágil, asequible y uniforme para todas las entidades gubernamentales pertenecientes al Gobierno de Puerto Rico, es decir, las ramas Ejecutiva, Legislativa y Judicial. Por tal motivo, se crea una plataforma gubernamental capaz de valerse de la tecnología avanzada para cumplir con las expectativas de la ciudadanía y con los estándares modernos de gobernanza efectiva. </w:t>
      </w:r>
    </w:p>
    <w:p w14:paraId="68CBC337" w14:textId="77777777" w:rsidR="007D44F4" w:rsidRDefault="007D44F4" w:rsidP="007D44F4">
      <w:pPr>
        <w:tabs>
          <w:tab w:val="left" w:pos="-1440"/>
          <w:tab w:val="left" w:pos="-720"/>
        </w:tabs>
        <w:suppressAutoHyphens/>
        <w:jc w:val="both"/>
        <w:rPr>
          <w:rFonts w:ascii="Book Antiqua" w:hAnsi="Book Antiqua"/>
        </w:rPr>
      </w:pPr>
    </w:p>
    <w:p w14:paraId="51366C1B" w14:textId="3E1336BF" w:rsidR="007D44F4" w:rsidRPr="007D44F4" w:rsidRDefault="007D44F4" w:rsidP="007D44F4">
      <w:pPr>
        <w:tabs>
          <w:tab w:val="left" w:pos="-1440"/>
          <w:tab w:val="left" w:pos="-720"/>
        </w:tabs>
        <w:suppressAutoHyphens/>
        <w:jc w:val="both"/>
        <w:rPr>
          <w:rFonts w:ascii="Book Antiqua" w:hAnsi="Book Antiqua"/>
        </w:rPr>
      </w:pPr>
      <w:r>
        <w:rPr>
          <w:rFonts w:ascii="Book Antiqua" w:hAnsi="Book Antiqua"/>
        </w:rPr>
        <w:tab/>
      </w:r>
      <w:r w:rsidRPr="007D44F4">
        <w:rPr>
          <w:rFonts w:ascii="Book Antiqua" w:hAnsi="Book Antiqua"/>
        </w:rPr>
        <w:t xml:space="preserve">Ciertamente la innovación en los desarrollos tecnológicos y </w:t>
      </w:r>
      <w:r w:rsidR="004579CA">
        <w:rPr>
          <w:rFonts w:ascii="Book Antiqua" w:hAnsi="Book Antiqua"/>
        </w:rPr>
        <w:t xml:space="preserve">en </w:t>
      </w:r>
      <w:r w:rsidRPr="007D44F4">
        <w:rPr>
          <w:rFonts w:ascii="Book Antiqua" w:hAnsi="Book Antiqua"/>
        </w:rPr>
        <w:t xml:space="preserve">la programación informática promueve la eficiencia gubernamental y un manejo más apropiado de los recursos humanos y físicos, lo que se traduce en un desarrollo económico positivo para </w:t>
      </w:r>
      <w:r w:rsidRPr="007D44F4">
        <w:rPr>
          <w:rFonts w:ascii="Book Antiqua" w:hAnsi="Book Antiqua"/>
        </w:rPr>
        <w:lastRenderedPageBreak/>
        <w:t xml:space="preserve">Puerto Rico. Además, la evolución tecnológica logra eficiencias en la administración del aparato gubernamental, al incrementar la rapidez y la calidad del servicio. A estos beneficios se le suma la necesidad imperante de dotar al Gobierno de herramientas que garanticen una visibilidad total sobre los procesos del Estado, permitiendo así un monitoreo continuo, claro y accesible de las gestiones administrativas. </w:t>
      </w:r>
    </w:p>
    <w:p w14:paraId="3EC0FF8C" w14:textId="77777777" w:rsidR="007D44F4" w:rsidRPr="007D44F4" w:rsidRDefault="007D44F4" w:rsidP="007D44F4">
      <w:pPr>
        <w:tabs>
          <w:tab w:val="left" w:pos="-1440"/>
          <w:tab w:val="left" w:pos="-720"/>
        </w:tabs>
        <w:suppressAutoHyphens/>
        <w:jc w:val="both"/>
        <w:rPr>
          <w:rFonts w:ascii="Book Antiqua" w:hAnsi="Book Antiqua"/>
        </w:rPr>
      </w:pPr>
    </w:p>
    <w:p w14:paraId="2FDE2ED6" w14:textId="1B0809C9" w:rsidR="007D44F4" w:rsidRPr="007D44F4" w:rsidRDefault="007D44F4" w:rsidP="007D44F4">
      <w:pPr>
        <w:tabs>
          <w:tab w:val="left" w:pos="-1440"/>
          <w:tab w:val="left" w:pos="-720"/>
        </w:tabs>
        <w:suppressAutoHyphens/>
        <w:jc w:val="both"/>
        <w:rPr>
          <w:rFonts w:ascii="Book Antiqua" w:hAnsi="Book Antiqua"/>
        </w:rPr>
      </w:pPr>
      <w:r w:rsidRPr="007D44F4">
        <w:rPr>
          <w:rFonts w:ascii="Book Antiqua" w:hAnsi="Book Antiqua"/>
        </w:rPr>
        <w:tab/>
        <w:t xml:space="preserve">A esos efectos, la Oficina del Contralor de Puerto Rico desarrolló una plataforma en la cual todos los entes gubernamentales puedan generar sus contratos, desde su creación hasta el correspondiente registro en el Registro de Contratos de la Oficina del Contralor de Puerto Rico. De esta manera, todas las entidades tendrán el mismo acceso a la tecnología en el trámite de sus contratos. </w:t>
      </w:r>
    </w:p>
    <w:p w14:paraId="67EFC3C6" w14:textId="77777777" w:rsidR="007D44F4" w:rsidRPr="007D44F4" w:rsidRDefault="007D44F4" w:rsidP="007D44F4">
      <w:pPr>
        <w:tabs>
          <w:tab w:val="left" w:pos="-1440"/>
          <w:tab w:val="left" w:pos="-720"/>
        </w:tabs>
        <w:suppressAutoHyphens/>
        <w:jc w:val="both"/>
        <w:rPr>
          <w:rFonts w:ascii="Book Antiqua" w:hAnsi="Book Antiqua"/>
        </w:rPr>
      </w:pPr>
    </w:p>
    <w:p w14:paraId="79B79836" w14:textId="74EF5A08" w:rsidR="007D44F4" w:rsidRPr="007D44F4" w:rsidRDefault="007D44F4" w:rsidP="007D44F4">
      <w:pPr>
        <w:tabs>
          <w:tab w:val="left" w:pos="-1440"/>
          <w:tab w:val="left" w:pos="-720"/>
        </w:tabs>
        <w:suppressAutoHyphens/>
        <w:jc w:val="both"/>
        <w:rPr>
          <w:rFonts w:ascii="Book Antiqua" w:hAnsi="Book Antiqua"/>
        </w:rPr>
      </w:pPr>
      <w:r w:rsidRPr="007D44F4">
        <w:rPr>
          <w:rFonts w:ascii="Book Antiqua" w:hAnsi="Book Antiqua"/>
        </w:rPr>
        <w:tab/>
        <w:t>La Oficina del Contralor de Puerto Rico es un ente fiscalizador que busca siempre promover la transparencia en todos los trámites gubernamentales que envuelven el uso de la propiedad y de los fondos públicos, y la contratación gubernamental no es la excepción. Por tanto, a través de esta plataforma contractual se documentará adecuadamente todo el trámite del contrato y se agilizará el registro de estos. Al integrar un sistema centralizado e inteligente, el Estado instituye un mecanismo que permite un cien por ciento de corroboración en los datos de cada acuerdo formalizado. Esta certeza absoluta fortalece los principios de rendición de cuentas e integridad pública que fundamentan la presente enmienda.</w:t>
      </w:r>
    </w:p>
    <w:p w14:paraId="7F9F44A1" w14:textId="135752F8" w:rsidR="00F8576D" w:rsidRDefault="00F8576D" w:rsidP="007D44F4">
      <w:pPr>
        <w:tabs>
          <w:tab w:val="left" w:pos="-1440"/>
          <w:tab w:val="left" w:pos="-720"/>
        </w:tabs>
        <w:suppressAutoHyphens/>
        <w:jc w:val="both"/>
        <w:rPr>
          <w:rFonts w:ascii="Book Antiqua" w:hAnsi="Book Antiqua"/>
        </w:rPr>
      </w:pPr>
    </w:p>
    <w:p w14:paraId="649BBD80" w14:textId="77777777" w:rsidR="00A53D4D" w:rsidRDefault="00897989" w:rsidP="00F8576D">
      <w:pPr>
        <w:tabs>
          <w:tab w:val="left" w:pos="-1440"/>
          <w:tab w:val="left" w:pos="-720"/>
        </w:tabs>
        <w:suppressAutoHyphens/>
        <w:jc w:val="both"/>
        <w:rPr>
          <w:rFonts w:ascii="Book Antiqua" w:hAnsi="Book Antiqua"/>
          <w:i/>
        </w:rPr>
      </w:pPr>
      <w:r w:rsidRPr="00FB6BB6">
        <w:rPr>
          <w:rFonts w:ascii="Book Antiqua" w:hAnsi="Book Antiqua"/>
          <w:i/>
        </w:rPr>
        <w:t>DECRÉTASE POR LA ASAMBLEA LEGISLATIVA DE PUERTO RICO</w:t>
      </w:r>
    </w:p>
    <w:p w14:paraId="1331261D" w14:textId="77777777" w:rsidR="00F8576D" w:rsidRDefault="00F8576D" w:rsidP="00F8576D">
      <w:pPr>
        <w:tabs>
          <w:tab w:val="left" w:pos="-1440"/>
          <w:tab w:val="left" w:pos="-720"/>
        </w:tabs>
        <w:suppressAutoHyphens/>
        <w:jc w:val="both"/>
        <w:rPr>
          <w:rFonts w:ascii="Book Antiqua" w:hAnsi="Book Antiqua"/>
          <w:i/>
        </w:rPr>
      </w:pPr>
    </w:p>
    <w:p w14:paraId="2C93E19D" w14:textId="7F0861DD" w:rsidR="00F8576D" w:rsidRPr="00F8576D" w:rsidRDefault="00F8576D" w:rsidP="00F8576D">
      <w:pPr>
        <w:tabs>
          <w:tab w:val="left" w:pos="-1440"/>
          <w:tab w:val="left" w:pos="-720"/>
        </w:tabs>
        <w:suppressAutoHyphens/>
        <w:jc w:val="both"/>
        <w:rPr>
          <w:rFonts w:ascii="Book Antiqua" w:hAnsi="Book Antiqua"/>
        </w:rPr>
        <w:sectPr w:rsidR="00F8576D" w:rsidRPr="00F8576D" w:rsidSect="00A53D4D">
          <w:footerReference w:type="even" r:id="rId7"/>
          <w:footerReference w:type="default" r:id="rId8"/>
          <w:type w:val="continuous"/>
          <w:pgSz w:w="12240" w:h="15840" w:code="1"/>
          <w:pgMar w:top="1440" w:right="1440" w:bottom="1440" w:left="1440" w:header="720" w:footer="720" w:gutter="0"/>
          <w:cols w:space="720"/>
          <w:titlePg/>
          <w:docGrid w:linePitch="326"/>
        </w:sectPr>
      </w:pPr>
    </w:p>
    <w:p w14:paraId="39D1F4CA" w14:textId="77777777" w:rsidR="00897989" w:rsidRPr="00FB6BB6" w:rsidRDefault="00897989" w:rsidP="00A53D4D">
      <w:pPr>
        <w:spacing w:line="480" w:lineRule="auto"/>
        <w:ind w:firstLine="720"/>
        <w:jc w:val="both"/>
        <w:rPr>
          <w:rFonts w:ascii="Book Antiqua" w:hAnsi="Book Antiqua"/>
        </w:rPr>
      </w:pPr>
      <w:r w:rsidRPr="00FB6BB6">
        <w:rPr>
          <w:rFonts w:ascii="Book Antiqua" w:hAnsi="Book Antiqua"/>
        </w:rPr>
        <w:t xml:space="preserve">Artículo </w:t>
      </w:r>
      <w:r w:rsidR="00A7373C" w:rsidRPr="00FB6BB6">
        <w:rPr>
          <w:rFonts w:ascii="Book Antiqua" w:hAnsi="Book Antiqua"/>
        </w:rPr>
        <w:t>1</w:t>
      </w:r>
      <w:r w:rsidRPr="00FB6BB6">
        <w:rPr>
          <w:rFonts w:ascii="Book Antiqua" w:hAnsi="Book Antiqua"/>
        </w:rPr>
        <w:t xml:space="preserve">.- Enmendar el Artículo </w:t>
      </w:r>
      <w:r w:rsidR="00BE7815" w:rsidRPr="00FB6BB6">
        <w:rPr>
          <w:rFonts w:ascii="Book Antiqua" w:hAnsi="Book Antiqua"/>
        </w:rPr>
        <w:t>1</w:t>
      </w:r>
      <w:r w:rsidRPr="00FB6BB6">
        <w:rPr>
          <w:rFonts w:ascii="Book Antiqua" w:hAnsi="Book Antiqua"/>
        </w:rPr>
        <w:t xml:space="preserve"> de la Ley Núm. </w:t>
      </w:r>
      <w:r w:rsidR="00BE7815" w:rsidRPr="00FB6BB6">
        <w:rPr>
          <w:rFonts w:ascii="Book Antiqua" w:hAnsi="Book Antiqua"/>
        </w:rPr>
        <w:t>18</w:t>
      </w:r>
      <w:r w:rsidRPr="00FB6BB6">
        <w:rPr>
          <w:rFonts w:ascii="Book Antiqua" w:hAnsi="Book Antiqua"/>
        </w:rPr>
        <w:t xml:space="preserve"> de </w:t>
      </w:r>
      <w:r w:rsidR="00BE7815" w:rsidRPr="00FB6BB6">
        <w:rPr>
          <w:rFonts w:ascii="Book Antiqua" w:hAnsi="Book Antiqua"/>
        </w:rPr>
        <w:t>30</w:t>
      </w:r>
      <w:r w:rsidRPr="00FB6BB6">
        <w:rPr>
          <w:rFonts w:ascii="Book Antiqua" w:hAnsi="Book Antiqua"/>
        </w:rPr>
        <w:t xml:space="preserve"> de o</w:t>
      </w:r>
      <w:r w:rsidR="00BE7815" w:rsidRPr="00FB6BB6">
        <w:rPr>
          <w:rFonts w:ascii="Book Antiqua" w:hAnsi="Book Antiqua"/>
        </w:rPr>
        <w:t>ctubre</w:t>
      </w:r>
      <w:r w:rsidRPr="00FB6BB6">
        <w:rPr>
          <w:rFonts w:ascii="Book Antiqua" w:hAnsi="Book Antiqua"/>
        </w:rPr>
        <w:t xml:space="preserve"> de 19</w:t>
      </w:r>
      <w:r w:rsidR="00BE7815" w:rsidRPr="00FB6BB6">
        <w:rPr>
          <w:rFonts w:ascii="Book Antiqua" w:hAnsi="Book Antiqua"/>
        </w:rPr>
        <w:t>7</w:t>
      </w:r>
      <w:r w:rsidRPr="00FB6BB6">
        <w:rPr>
          <w:rFonts w:ascii="Book Antiqua" w:hAnsi="Book Antiqua"/>
        </w:rPr>
        <w:t>5, según enmendada, para que lea:</w:t>
      </w:r>
    </w:p>
    <w:p w14:paraId="4F933EB4" w14:textId="77777777" w:rsidR="00897989" w:rsidRPr="00FB6BB6" w:rsidRDefault="005F3E01" w:rsidP="00A53D4D">
      <w:pPr>
        <w:spacing w:line="480" w:lineRule="auto"/>
        <w:ind w:firstLine="720"/>
        <w:jc w:val="both"/>
        <w:rPr>
          <w:rFonts w:ascii="Book Antiqua" w:hAnsi="Book Antiqua"/>
        </w:rPr>
      </w:pPr>
      <w:r w:rsidRPr="00FB6BB6">
        <w:rPr>
          <w:rFonts w:ascii="Book Antiqua" w:hAnsi="Book Antiqua"/>
        </w:rPr>
        <w:t>“</w:t>
      </w:r>
      <w:r w:rsidR="00897989" w:rsidRPr="00FB6BB6">
        <w:rPr>
          <w:rFonts w:ascii="Book Antiqua" w:hAnsi="Book Antiqua"/>
        </w:rPr>
        <w:t xml:space="preserve">Artículo </w:t>
      </w:r>
      <w:r w:rsidR="00BE7815" w:rsidRPr="00FB6BB6">
        <w:rPr>
          <w:rFonts w:ascii="Book Antiqua" w:hAnsi="Book Antiqua"/>
        </w:rPr>
        <w:t>1</w:t>
      </w:r>
      <w:r w:rsidR="00897989" w:rsidRPr="00FB6BB6">
        <w:rPr>
          <w:rFonts w:ascii="Book Antiqua" w:hAnsi="Book Antiqua"/>
        </w:rPr>
        <w:t xml:space="preserve">- </w:t>
      </w:r>
      <w:r w:rsidR="00AC7356" w:rsidRPr="00FB6BB6">
        <w:rPr>
          <w:rFonts w:ascii="Book Antiqua" w:hAnsi="Book Antiqua"/>
          <w:b/>
          <w:bCs/>
        </w:rPr>
        <w:t>[Copias de contratos, escritos y documentos]</w:t>
      </w:r>
      <w:r w:rsidR="00AC7356" w:rsidRPr="00FB6BB6">
        <w:rPr>
          <w:rFonts w:ascii="Book Antiqua" w:hAnsi="Book Antiqua"/>
        </w:rPr>
        <w:t xml:space="preserve"> </w:t>
      </w:r>
      <w:r w:rsidR="00AC7356" w:rsidRPr="00FB6BB6">
        <w:rPr>
          <w:rFonts w:ascii="Book Antiqua" w:hAnsi="Book Antiqua"/>
          <w:i/>
          <w:iCs/>
        </w:rPr>
        <w:t>Plataforma de contratos</w:t>
      </w:r>
    </w:p>
    <w:p w14:paraId="531B9FC9" w14:textId="77777777" w:rsidR="00781979" w:rsidRPr="00FB6BB6" w:rsidRDefault="008E0635" w:rsidP="00A53D4D">
      <w:pPr>
        <w:spacing w:line="480" w:lineRule="auto"/>
        <w:ind w:firstLine="720"/>
        <w:jc w:val="both"/>
        <w:rPr>
          <w:rFonts w:ascii="Book Antiqua" w:hAnsi="Book Antiqua"/>
          <w:i/>
          <w:iCs/>
        </w:rPr>
      </w:pPr>
      <w:r w:rsidRPr="00FB6BB6">
        <w:rPr>
          <w:rFonts w:ascii="Book Antiqua" w:hAnsi="Book Antiqua"/>
        </w:rPr>
        <w:t xml:space="preserve">(a) </w:t>
      </w:r>
      <w:r w:rsidR="00781979" w:rsidRPr="00FB6BB6">
        <w:rPr>
          <w:rFonts w:ascii="Book Antiqua" w:hAnsi="Book Antiqua"/>
          <w:i/>
          <w:iCs/>
        </w:rPr>
        <w:t xml:space="preserve">Todas las entidades gubernamentales pertenecientes a las tres (3) ramas de Gobierno, es decir, Ejecutiva, Legislativa y Judicial, utilizarán la plataforma </w:t>
      </w:r>
      <w:r w:rsidR="00617EF7" w:rsidRPr="00FB6BB6">
        <w:rPr>
          <w:rFonts w:ascii="Book Antiqua" w:hAnsi="Book Antiqua"/>
          <w:i/>
          <w:iCs/>
        </w:rPr>
        <w:t>de contratos</w:t>
      </w:r>
      <w:r w:rsidR="00781979" w:rsidRPr="00FB6BB6">
        <w:rPr>
          <w:rFonts w:ascii="Book Antiqua" w:hAnsi="Book Antiqua"/>
          <w:i/>
          <w:iCs/>
        </w:rPr>
        <w:t xml:space="preserve"> desarrollada por la Oficina del Contralor de Puerto Rica para generar sus contratos, desde su creación hasta su registro.</w:t>
      </w:r>
      <w:r w:rsidR="00A66D7F" w:rsidRPr="00FB6BB6">
        <w:rPr>
          <w:rFonts w:ascii="Book Antiqua" w:hAnsi="Book Antiqua"/>
          <w:i/>
          <w:iCs/>
        </w:rPr>
        <w:t xml:space="preserve"> Se advierte que lo expresado modifica cualquier disposición legal que sea incompatible con </w:t>
      </w:r>
      <w:r w:rsidR="00F05CDA" w:rsidRPr="00FB6BB6">
        <w:rPr>
          <w:rFonts w:ascii="Book Antiqua" w:hAnsi="Book Antiqua"/>
          <w:i/>
          <w:iCs/>
        </w:rPr>
        <w:t>la implementación de la plataforma de contratos.</w:t>
      </w:r>
    </w:p>
    <w:p w14:paraId="22E2FF1E" w14:textId="77777777" w:rsidR="008E0635" w:rsidRPr="00FB6BB6" w:rsidRDefault="008E0635" w:rsidP="00A53D4D">
      <w:pPr>
        <w:spacing w:line="480" w:lineRule="auto"/>
        <w:ind w:firstLine="720"/>
        <w:jc w:val="both"/>
        <w:rPr>
          <w:rFonts w:ascii="Book Antiqua" w:hAnsi="Book Antiqua"/>
        </w:rPr>
      </w:pPr>
      <w:r w:rsidRPr="00FB6BB6">
        <w:rPr>
          <w:rFonts w:ascii="Book Antiqua" w:hAnsi="Book Antiqua"/>
        </w:rPr>
        <w:t xml:space="preserve">Las entidades gubernamentales y las entidades municipales del Estado Libre Asociado de Puerto Rico, sin excepción alguna, mantendrán un registro de todos los </w:t>
      </w:r>
      <w:r w:rsidRPr="00FB6BB6">
        <w:rPr>
          <w:rFonts w:ascii="Book Antiqua" w:hAnsi="Book Antiqua"/>
        </w:rPr>
        <w:lastRenderedPageBreak/>
        <w:t xml:space="preserve">contratos que otorguen, incluyendo enmiendas a los mismos, y deberán remitir copia de éstos a la Oficina del Contralor dentro de los quince (15) días siguientes a la fecha de otorgamiento del contrato o la enmienda. Este período será extendido a treinta (30) días cuando el contrato se otorgue fuera de Puerto Rico. Cuando se otorguen escrituras sobre la adquisición o disposición de bienes raíces se le enviará también </w:t>
      </w:r>
      <w:proofErr w:type="gramStart"/>
      <w:r w:rsidRPr="00FB6BB6">
        <w:rPr>
          <w:rFonts w:ascii="Book Antiqua" w:hAnsi="Book Antiqua"/>
        </w:rPr>
        <w:t>al</w:t>
      </w:r>
      <w:r w:rsidR="00AF0632" w:rsidRPr="00FB6BB6">
        <w:rPr>
          <w:rFonts w:ascii="Book Antiqua" w:hAnsi="Book Antiqua"/>
          <w:i/>
          <w:iCs/>
        </w:rPr>
        <w:t>(</w:t>
      </w:r>
      <w:proofErr w:type="gramEnd"/>
      <w:r w:rsidR="00AF0632" w:rsidRPr="00FB6BB6">
        <w:rPr>
          <w:rFonts w:ascii="Book Antiqua" w:hAnsi="Book Antiqua"/>
          <w:i/>
          <w:iCs/>
        </w:rPr>
        <w:t>a la)</w:t>
      </w:r>
      <w:r w:rsidRPr="00FB6BB6">
        <w:rPr>
          <w:rFonts w:ascii="Book Antiqua" w:hAnsi="Book Antiqua"/>
        </w:rPr>
        <w:t xml:space="preserve"> Contralor</w:t>
      </w:r>
      <w:r w:rsidR="00AF0632" w:rsidRPr="00FB6BB6">
        <w:rPr>
          <w:rFonts w:ascii="Book Antiqua" w:hAnsi="Book Antiqua"/>
          <w:i/>
          <w:iCs/>
        </w:rPr>
        <w:t>(a)</w:t>
      </w:r>
      <w:r w:rsidRPr="00FB6BB6">
        <w:rPr>
          <w:rFonts w:ascii="Book Antiqua" w:hAnsi="Book Antiqua"/>
        </w:rPr>
        <w:t>, copia de todo escrito y documento relacionado con la negociación. Se extenderá el período de quince (15) o treinta (30) días, según aplique, por quince (15) días adicionales siempre que se demuestre causa justificada y así lo determine la Oficina del Contralor. Se entenderá que un contrato o una enmienda a un contrato es otorgado fuera de Puerto Rico cuando se otorgue por todos los comparecientes fuera de Puerto Rico o el último de éstos en firmar el documento lo haga fuera de Puerto Rico.</w:t>
      </w:r>
    </w:p>
    <w:p w14:paraId="3E037ED8" w14:textId="77777777" w:rsidR="008E0635" w:rsidRPr="00FB6BB6" w:rsidRDefault="008E0635" w:rsidP="00A53D4D">
      <w:pPr>
        <w:spacing w:line="480" w:lineRule="auto"/>
        <w:ind w:firstLine="720"/>
        <w:jc w:val="both"/>
        <w:rPr>
          <w:rFonts w:ascii="Book Antiqua" w:hAnsi="Book Antiqua"/>
        </w:rPr>
      </w:pPr>
      <w:r w:rsidRPr="00FB6BB6">
        <w:rPr>
          <w:rFonts w:ascii="Book Antiqua" w:hAnsi="Book Antiqua"/>
        </w:rPr>
        <w:t>En el caso donde el</w:t>
      </w:r>
      <w:r w:rsidR="003D58BD" w:rsidRPr="00FB6BB6">
        <w:rPr>
          <w:rFonts w:ascii="Book Antiqua" w:hAnsi="Book Antiqua"/>
          <w:i/>
          <w:iCs/>
        </w:rPr>
        <w:t>(la)</w:t>
      </w:r>
      <w:r w:rsidRPr="00FB6BB6">
        <w:rPr>
          <w:rFonts w:ascii="Book Antiqua" w:hAnsi="Book Antiqua"/>
        </w:rPr>
        <w:t xml:space="preserve"> Contralor</w:t>
      </w:r>
      <w:r w:rsidR="003D58BD" w:rsidRPr="00FB6BB6">
        <w:rPr>
          <w:rFonts w:ascii="Book Antiqua" w:hAnsi="Book Antiqua"/>
          <w:i/>
          <w:iCs/>
        </w:rPr>
        <w:t>(a)</w:t>
      </w:r>
      <w:r w:rsidRPr="00FB6BB6">
        <w:rPr>
          <w:rFonts w:ascii="Book Antiqua" w:hAnsi="Book Antiqua"/>
        </w:rPr>
        <w:t xml:space="preserve"> notifique algún reparo al contrato radicado, la entidad gubernamental tendrá un término de treinta (30) días para subsanar el señalamiento.</w:t>
      </w:r>
    </w:p>
    <w:p w14:paraId="7504CC1D" w14:textId="77777777" w:rsidR="002E1315" w:rsidRPr="00FB6BB6" w:rsidRDefault="008E0635" w:rsidP="00A53D4D">
      <w:pPr>
        <w:spacing w:line="480" w:lineRule="auto"/>
        <w:ind w:firstLine="720"/>
        <w:jc w:val="both"/>
        <w:rPr>
          <w:rFonts w:ascii="Book Antiqua" w:hAnsi="Book Antiqua"/>
        </w:rPr>
      </w:pPr>
      <w:r w:rsidRPr="00FB6BB6">
        <w:rPr>
          <w:rFonts w:ascii="Book Antiqua" w:hAnsi="Book Antiqua"/>
        </w:rPr>
        <w:t>(b) …</w:t>
      </w:r>
      <w:r w:rsidR="00A7384B" w:rsidRPr="00FB6BB6">
        <w:rPr>
          <w:rFonts w:ascii="Book Antiqua" w:hAnsi="Book Antiqua"/>
        </w:rPr>
        <w:t>”</w:t>
      </w:r>
    </w:p>
    <w:p w14:paraId="2125DC95" w14:textId="77777777" w:rsidR="00A7384B" w:rsidRPr="00FB6BB6" w:rsidRDefault="00A7384B" w:rsidP="00A53D4D">
      <w:pPr>
        <w:spacing w:line="480" w:lineRule="auto"/>
        <w:ind w:firstLine="720"/>
        <w:jc w:val="both"/>
        <w:rPr>
          <w:rFonts w:ascii="Book Antiqua" w:hAnsi="Book Antiqua"/>
        </w:rPr>
      </w:pPr>
      <w:r w:rsidRPr="00FB6BB6">
        <w:rPr>
          <w:rFonts w:ascii="Book Antiqua" w:hAnsi="Book Antiqua"/>
        </w:rPr>
        <w:t xml:space="preserve">Artículo 2.- Enmendar el Artículo </w:t>
      </w:r>
      <w:r w:rsidR="00DC4B44" w:rsidRPr="00FB6BB6">
        <w:rPr>
          <w:rFonts w:ascii="Book Antiqua" w:hAnsi="Book Antiqua"/>
        </w:rPr>
        <w:t>24</w:t>
      </w:r>
      <w:r w:rsidRPr="00FB6BB6">
        <w:rPr>
          <w:rFonts w:ascii="Book Antiqua" w:hAnsi="Book Antiqua"/>
        </w:rPr>
        <w:t xml:space="preserve"> de la </w:t>
      </w:r>
      <w:r w:rsidR="00DC4B44" w:rsidRPr="00FB6BB6">
        <w:rPr>
          <w:rFonts w:ascii="Book Antiqua" w:hAnsi="Book Antiqua"/>
        </w:rPr>
        <w:t>Ley Núm. 73-2019, según enmendada, conocida como “Ley de la Administración de Servicios Generales para la Centralización de las Compras del Gobierno de Puerto Rico de 2019”</w:t>
      </w:r>
      <w:r w:rsidRPr="00FB6BB6">
        <w:rPr>
          <w:rFonts w:ascii="Book Antiqua" w:hAnsi="Book Antiqua"/>
        </w:rPr>
        <w:t>, para que lea:</w:t>
      </w:r>
    </w:p>
    <w:p w14:paraId="4D62B58D" w14:textId="77777777" w:rsidR="00A7384B" w:rsidRPr="00FB6BB6" w:rsidRDefault="00A7384B" w:rsidP="00A53D4D">
      <w:pPr>
        <w:spacing w:line="480" w:lineRule="auto"/>
        <w:ind w:firstLine="720"/>
        <w:jc w:val="both"/>
        <w:rPr>
          <w:rFonts w:ascii="Book Antiqua" w:hAnsi="Book Antiqua"/>
          <w:i/>
          <w:iCs/>
        </w:rPr>
      </w:pPr>
      <w:r w:rsidRPr="00FB6BB6">
        <w:rPr>
          <w:rFonts w:ascii="Book Antiqua" w:hAnsi="Book Antiqua"/>
        </w:rPr>
        <w:t xml:space="preserve">“Artículo </w:t>
      </w:r>
      <w:r w:rsidR="00E32004" w:rsidRPr="00FB6BB6">
        <w:rPr>
          <w:rFonts w:ascii="Book Antiqua" w:hAnsi="Book Antiqua"/>
        </w:rPr>
        <w:t>24</w:t>
      </w:r>
      <w:r w:rsidRPr="00FB6BB6">
        <w:rPr>
          <w:rFonts w:ascii="Book Antiqua" w:hAnsi="Book Antiqua"/>
        </w:rPr>
        <w:t xml:space="preserve">- </w:t>
      </w:r>
      <w:r w:rsidR="00BA72AB" w:rsidRPr="00FB6BB6">
        <w:rPr>
          <w:rFonts w:ascii="Book Antiqua" w:hAnsi="Book Antiqua"/>
        </w:rPr>
        <w:t>Compras por la Administración</w:t>
      </w:r>
    </w:p>
    <w:p w14:paraId="2E93E5F1" w14:textId="77777777" w:rsidR="00456E88" w:rsidRPr="00FB6BB6" w:rsidRDefault="00413676" w:rsidP="00A53D4D">
      <w:pPr>
        <w:spacing w:line="480" w:lineRule="auto"/>
        <w:ind w:firstLine="720"/>
        <w:jc w:val="both"/>
        <w:rPr>
          <w:rFonts w:ascii="Book Antiqua" w:hAnsi="Book Antiqua"/>
        </w:rPr>
      </w:pPr>
      <w:r w:rsidRPr="00FB6BB6">
        <w:rPr>
          <w:rFonts w:ascii="Book Antiqua" w:hAnsi="Book Antiqua"/>
        </w:rPr>
        <w:t>…</w:t>
      </w:r>
    </w:p>
    <w:p w14:paraId="5DEA740F" w14:textId="77777777" w:rsidR="00413676" w:rsidRPr="00FB6BB6" w:rsidRDefault="00293098" w:rsidP="00A53D4D">
      <w:pPr>
        <w:spacing w:line="480" w:lineRule="auto"/>
        <w:ind w:firstLine="720"/>
        <w:jc w:val="both"/>
        <w:rPr>
          <w:rFonts w:ascii="Book Antiqua" w:hAnsi="Book Antiqua"/>
        </w:rPr>
      </w:pPr>
      <w:r w:rsidRPr="00FB6BB6">
        <w:rPr>
          <w:rFonts w:ascii="Book Antiqua" w:hAnsi="Book Antiqua"/>
        </w:rPr>
        <w:t xml:space="preserve">La Administración podrá hacer extensivo mediante acuerdo entre las partes, cualquiera de los Servicios Auxiliares contenidos en las secs. 9833 a 9833g de este título a </w:t>
      </w:r>
      <w:r w:rsidRPr="00FB6BB6">
        <w:rPr>
          <w:rFonts w:ascii="Book Antiqua" w:hAnsi="Book Antiqua"/>
        </w:rPr>
        <w:lastRenderedPageBreak/>
        <w:t>aquellos municipios que así lo soliciten; también a la Rama Judicial, la Universidad de Puerto Rico y a la Asamblea Legislativa.</w:t>
      </w:r>
    </w:p>
    <w:p w14:paraId="1030B878" w14:textId="77777777" w:rsidR="00293098" w:rsidRPr="00FB6BB6" w:rsidRDefault="00293098" w:rsidP="00A53D4D">
      <w:pPr>
        <w:spacing w:line="480" w:lineRule="auto"/>
        <w:ind w:firstLine="720"/>
        <w:jc w:val="both"/>
        <w:rPr>
          <w:rFonts w:ascii="Book Antiqua" w:hAnsi="Book Antiqua"/>
        </w:rPr>
      </w:pPr>
      <w:r w:rsidRPr="00FB6BB6">
        <w:rPr>
          <w:rFonts w:ascii="Book Antiqua" w:hAnsi="Book Antiqua"/>
          <w:i/>
          <w:iCs/>
        </w:rPr>
        <w:t>La Administración utilizará la plataforma de contratos desarrollada por la Oficina del Contralor de Puerto Rico para la adquisición de todos los servicios no profesionales.</w:t>
      </w:r>
      <w:r w:rsidR="003B55B7" w:rsidRPr="00FB6BB6">
        <w:rPr>
          <w:rFonts w:ascii="Book Antiqua" w:hAnsi="Book Antiqua"/>
        </w:rPr>
        <w:t>”</w:t>
      </w:r>
    </w:p>
    <w:p w14:paraId="38218CC4" w14:textId="77777777" w:rsidR="00897989" w:rsidRPr="00FB6BB6" w:rsidRDefault="00897989" w:rsidP="00A53D4D">
      <w:pPr>
        <w:spacing w:line="480" w:lineRule="auto"/>
        <w:ind w:firstLine="720"/>
        <w:jc w:val="both"/>
        <w:rPr>
          <w:rFonts w:ascii="Book Antiqua" w:hAnsi="Book Antiqua"/>
        </w:rPr>
      </w:pPr>
      <w:r w:rsidRPr="00FB6BB6">
        <w:rPr>
          <w:rFonts w:ascii="Book Antiqua" w:hAnsi="Book Antiqua"/>
        </w:rPr>
        <w:t xml:space="preserve">Artículo </w:t>
      </w:r>
      <w:r w:rsidR="00454197" w:rsidRPr="00FB6BB6">
        <w:rPr>
          <w:rFonts w:ascii="Book Antiqua" w:hAnsi="Book Antiqua"/>
        </w:rPr>
        <w:t>3</w:t>
      </w:r>
      <w:r w:rsidRPr="00FB6BB6">
        <w:rPr>
          <w:rFonts w:ascii="Book Antiqua" w:hAnsi="Book Antiqua"/>
        </w:rPr>
        <w:t>. – Normas de Interpretación</w:t>
      </w:r>
    </w:p>
    <w:p w14:paraId="063553B3" w14:textId="77777777" w:rsidR="00897989" w:rsidRPr="00FB6BB6" w:rsidRDefault="00897989" w:rsidP="00A53D4D">
      <w:pPr>
        <w:spacing w:line="480" w:lineRule="auto"/>
        <w:ind w:firstLine="720"/>
        <w:jc w:val="both"/>
        <w:rPr>
          <w:rFonts w:ascii="Book Antiqua" w:hAnsi="Book Antiqua"/>
        </w:rPr>
      </w:pPr>
      <w:r w:rsidRPr="00FB6BB6">
        <w:rPr>
          <w:rFonts w:ascii="Book Antiqua" w:hAnsi="Book Antiqua"/>
        </w:rPr>
        <w:t>Las disposiciones de esta Ley se interpretarán liberalmente de forma tal que se logren sus propósitos.</w:t>
      </w:r>
    </w:p>
    <w:p w14:paraId="040EA250" w14:textId="77777777" w:rsidR="00897989" w:rsidRPr="00FB6BB6" w:rsidRDefault="00897989" w:rsidP="00A53D4D">
      <w:pPr>
        <w:spacing w:line="480" w:lineRule="auto"/>
        <w:ind w:firstLine="720"/>
        <w:jc w:val="both"/>
        <w:rPr>
          <w:rFonts w:ascii="Book Antiqua" w:hAnsi="Book Antiqua"/>
        </w:rPr>
      </w:pPr>
      <w:r w:rsidRPr="00FB6BB6">
        <w:rPr>
          <w:rFonts w:ascii="Book Antiqua" w:hAnsi="Book Antiqua"/>
        </w:rPr>
        <w:t xml:space="preserve">Artículo </w:t>
      </w:r>
      <w:r w:rsidR="00454197" w:rsidRPr="00FB6BB6">
        <w:rPr>
          <w:rFonts w:ascii="Book Antiqua" w:hAnsi="Book Antiqua"/>
        </w:rPr>
        <w:t>4</w:t>
      </w:r>
      <w:r w:rsidRPr="00FB6BB6">
        <w:rPr>
          <w:rFonts w:ascii="Book Antiqua" w:hAnsi="Book Antiqua"/>
        </w:rPr>
        <w:t>.- Salvedad</w:t>
      </w:r>
    </w:p>
    <w:p w14:paraId="76A734F1" w14:textId="77777777" w:rsidR="00897989" w:rsidRPr="00FB6BB6" w:rsidRDefault="00897989" w:rsidP="00A53D4D">
      <w:pPr>
        <w:spacing w:line="480" w:lineRule="auto"/>
        <w:ind w:firstLine="720"/>
        <w:jc w:val="both"/>
        <w:rPr>
          <w:rFonts w:ascii="Book Antiqua" w:hAnsi="Book Antiqua"/>
        </w:rPr>
      </w:pPr>
      <w:r w:rsidRPr="00FB6BB6">
        <w:rPr>
          <w:rFonts w:ascii="Book Antiqua" w:hAnsi="Book Antiqua"/>
        </w:rPr>
        <w:t>Si cualquier palabra, frase, oración, inciso, sección, artículo o parte de la presente Ley fuese impugnada por cualquier razón, declarada inconstitucional o nula por un tribunal con jurisdicción</w:t>
      </w:r>
      <w:r w:rsidR="00EB5F9D" w:rsidRPr="00FB6BB6">
        <w:rPr>
          <w:rFonts w:ascii="Book Antiqua" w:hAnsi="Book Antiqua"/>
        </w:rPr>
        <w:t xml:space="preserve"> competente</w:t>
      </w:r>
      <w:r w:rsidRPr="00FB6BB6">
        <w:rPr>
          <w:rFonts w:ascii="Book Antiqua" w:hAnsi="Book Antiqua"/>
        </w:rPr>
        <w:t xml:space="preserve">, tal determinación no afectará las restantes disposiciones de </w:t>
      </w:r>
      <w:r w:rsidR="009D1A02" w:rsidRPr="00FB6BB6">
        <w:rPr>
          <w:rFonts w:ascii="Book Antiqua" w:hAnsi="Book Antiqua"/>
        </w:rPr>
        <w:t>esta.</w:t>
      </w:r>
    </w:p>
    <w:p w14:paraId="2C54625D" w14:textId="77777777" w:rsidR="00897989" w:rsidRPr="00FB6BB6" w:rsidRDefault="00897989" w:rsidP="00A53D4D">
      <w:pPr>
        <w:spacing w:line="480" w:lineRule="auto"/>
        <w:ind w:firstLine="720"/>
        <w:jc w:val="both"/>
        <w:rPr>
          <w:rFonts w:ascii="Book Antiqua" w:hAnsi="Book Antiqua"/>
        </w:rPr>
      </w:pPr>
      <w:r w:rsidRPr="00FB6BB6">
        <w:rPr>
          <w:rFonts w:ascii="Book Antiqua" w:hAnsi="Book Antiqua"/>
        </w:rPr>
        <w:t>Artículo 5.- Vigencia</w:t>
      </w:r>
    </w:p>
    <w:p w14:paraId="44DCE911" w14:textId="0BE3F322" w:rsidR="00816BE7" w:rsidRPr="00FB6BB6" w:rsidRDefault="00897989" w:rsidP="00F8576D">
      <w:pPr>
        <w:spacing w:line="480" w:lineRule="auto"/>
        <w:ind w:firstLine="720"/>
        <w:jc w:val="both"/>
        <w:rPr>
          <w:rFonts w:ascii="Book Antiqua" w:hAnsi="Book Antiqua"/>
        </w:rPr>
      </w:pPr>
      <w:r w:rsidRPr="00FB6BB6">
        <w:rPr>
          <w:rFonts w:ascii="Book Antiqua" w:hAnsi="Book Antiqua"/>
        </w:rPr>
        <w:t>Esta Ley entrará en vigor inmediatamente después de su aprobación.</w:t>
      </w:r>
    </w:p>
    <w:sectPr w:rsidR="00816BE7" w:rsidRPr="00FB6BB6" w:rsidSect="00FA186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5617C" w14:textId="77777777" w:rsidR="00E438AF" w:rsidRDefault="00E438AF">
      <w:r>
        <w:separator/>
      </w:r>
    </w:p>
  </w:endnote>
  <w:endnote w:type="continuationSeparator" w:id="0">
    <w:p w14:paraId="12E2694C" w14:textId="77777777" w:rsidR="00E438AF" w:rsidRDefault="00E43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F146B" w14:textId="77777777" w:rsidR="00350B01" w:rsidRDefault="00350B01" w:rsidP="0089798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9EF1087" w14:textId="77777777" w:rsidR="00350B01" w:rsidRDefault="00350B01" w:rsidP="0089798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DE04A" w14:textId="77777777" w:rsidR="00350B01" w:rsidRDefault="00350B01" w:rsidP="0089798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2DE230E1" w14:textId="77777777" w:rsidR="00350B01" w:rsidRDefault="00350B01" w:rsidP="00897989">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A9691" w14:textId="77777777" w:rsidR="00E438AF" w:rsidRDefault="00E438AF">
      <w:r>
        <w:separator/>
      </w:r>
    </w:p>
  </w:footnote>
  <w:footnote w:type="continuationSeparator" w:id="0">
    <w:p w14:paraId="635747E4" w14:textId="77777777" w:rsidR="00E438AF" w:rsidRDefault="00E438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989"/>
    <w:rsid w:val="00007E4B"/>
    <w:rsid w:val="00010EAA"/>
    <w:rsid w:val="000123D9"/>
    <w:rsid w:val="00017831"/>
    <w:rsid w:val="00032BBD"/>
    <w:rsid w:val="0003342F"/>
    <w:rsid w:val="00040B65"/>
    <w:rsid w:val="000505EB"/>
    <w:rsid w:val="00063328"/>
    <w:rsid w:val="00070FE6"/>
    <w:rsid w:val="000745FB"/>
    <w:rsid w:val="00077F20"/>
    <w:rsid w:val="00082F82"/>
    <w:rsid w:val="000837BF"/>
    <w:rsid w:val="00084D87"/>
    <w:rsid w:val="00085C62"/>
    <w:rsid w:val="00092038"/>
    <w:rsid w:val="00092157"/>
    <w:rsid w:val="00094D17"/>
    <w:rsid w:val="000959C3"/>
    <w:rsid w:val="000A2582"/>
    <w:rsid w:val="000A7DE7"/>
    <w:rsid w:val="000C6B66"/>
    <w:rsid w:val="000D37A4"/>
    <w:rsid w:val="000D497F"/>
    <w:rsid w:val="000D5538"/>
    <w:rsid w:val="000D6990"/>
    <w:rsid w:val="000E2F48"/>
    <w:rsid w:val="000E529B"/>
    <w:rsid w:val="000F293E"/>
    <w:rsid w:val="000F72D2"/>
    <w:rsid w:val="0011118B"/>
    <w:rsid w:val="00115A2D"/>
    <w:rsid w:val="00123F8A"/>
    <w:rsid w:val="001307B9"/>
    <w:rsid w:val="00143651"/>
    <w:rsid w:val="00165858"/>
    <w:rsid w:val="00171C7F"/>
    <w:rsid w:val="00192103"/>
    <w:rsid w:val="001A63A6"/>
    <w:rsid w:val="001A6507"/>
    <w:rsid w:val="001B4863"/>
    <w:rsid w:val="001C293B"/>
    <w:rsid w:val="001C6B68"/>
    <w:rsid w:val="001D0264"/>
    <w:rsid w:val="001D2E78"/>
    <w:rsid w:val="001D3F03"/>
    <w:rsid w:val="001E2C5C"/>
    <w:rsid w:val="001E335C"/>
    <w:rsid w:val="001F65FD"/>
    <w:rsid w:val="00201907"/>
    <w:rsid w:val="00226B48"/>
    <w:rsid w:val="002338C0"/>
    <w:rsid w:val="00236795"/>
    <w:rsid w:val="00236B6E"/>
    <w:rsid w:val="00241C48"/>
    <w:rsid w:val="00241CB8"/>
    <w:rsid w:val="00262633"/>
    <w:rsid w:val="00273216"/>
    <w:rsid w:val="002776D5"/>
    <w:rsid w:val="00282AC6"/>
    <w:rsid w:val="00286117"/>
    <w:rsid w:val="00290ECA"/>
    <w:rsid w:val="00293098"/>
    <w:rsid w:val="00293CB7"/>
    <w:rsid w:val="00297BE8"/>
    <w:rsid w:val="002A1F48"/>
    <w:rsid w:val="002A5FBA"/>
    <w:rsid w:val="002B0270"/>
    <w:rsid w:val="002B1EE0"/>
    <w:rsid w:val="002B3568"/>
    <w:rsid w:val="002C5B6A"/>
    <w:rsid w:val="002D79A4"/>
    <w:rsid w:val="002E1315"/>
    <w:rsid w:val="002E1A25"/>
    <w:rsid w:val="002E72A3"/>
    <w:rsid w:val="002F7207"/>
    <w:rsid w:val="00310FF2"/>
    <w:rsid w:val="00313CAE"/>
    <w:rsid w:val="003158C3"/>
    <w:rsid w:val="0032229D"/>
    <w:rsid w:val="00324C1B"/>
    <w:rsid w:val="0034021B"/>
    <w:rsid w:val="00346696"/>
    <w:rsid w:val="00350B01"/>
    <w:rsid w:val="003571A0"/>
    <w:rsid w:val="00360C5B"/>
    <w:rsid w:val="00364022"/>
    <w:rsid w:val="00375298"/>
    <w:rsid w:val="00383A7D"/>
    <w:rsid w:val="00387D05"/>
    <w:rsid w:val="00391A9B"/>
    <w:rsid w:val="003931A8"/>
    <w:rsid w:val="003A64DD"/>
    <w:rsid w:val="003A69A7"/>
    <w:rsid w:val="003B3596"/>
    <w:rsid w:val="003B55B7"/>
    <w:rsid w:val="003B5D71"/>
    <w:rsid w:val="003D34ED"/>
    <w:rsid w:val="003D58BD"/>
    <w:rsid w:val="003E5DF0"/>
    <w:rsid w:val="003F37F7"/>
    <w:rsid w:val="003F3C7E"/>
    <w:rsid w:val="004067A9"/>
    <w:rsid w:val="00413676"/>
    <w:rsid w:val="0041385C"/>
    <w:rsid w:val="004471E1"/>
    <w:rsid w:val="004473D2"/>
    <w:rsid w:val="00453301"/>
    <w:rsid w:val="00453D2A"/>
    <w:rsid w:val="00454197"/>
    <w:rsid w:val="004564D5"/>
    <w:rsid w:val="00456E88"/>
    <w:rsid w:val="004579CA"/>
    <w:rsid w:val="00470C72"/>
    <w:rsid w:val="00472F7F"/>
    <w:rsid w:val="0047463E"/>
    <w:rsid w:val="004747C2"/>
    <w:rsid w:val="004876C3"/>
    <w:rsid w:val="004A2F4D"/>
    <w:rsid w:val="004A41D4"/>
    <w:rsid w:val="004A76AA"/>
    <w:rsid w:val="004B3D34"/>
    <w:rsid w:val="004B4855"/>
    <w:rsid w:val="004D44A3"/>
    <w:rsid w:val="004E558F"/>
    <w:rsid w:val="004F3C49"/>
    <w:rsid w:val="00505FAA"/>
    <w:rsid w:val="00506EBE"/>
    <w:rsid w:val="005178F7"/>
    <w:rsid w:val="00521AB8"/>
    <w:rsid w:val="00536573"/>
    <w:rsid w:val="00543CD7"/>
    <w:rsid w:val="00556EC6"/>
    <w:rsid w:val="00557D86"/>
    <w:rsid w:val="00557EB5"/>
    <w:rsid w:val="00560D05"/>
    <w:rsid w:val="00564E3D"/>
    <w:rsid w:val="005670D2"/>
    <w:rsid w:val="00570FEE"/>
    <w:rsid w:val="00571A77"/>
    <w:rsid w:val="00572A8A"/>
    <w:rsid w:val="00575CCC"/>
    <w:rsid w:val="005A425A"/>
    <w:rsid w:val="005D4310"/>
    <w:rsid w:val="005E1F2F"/>
    <w:rsid w:val="005E2DCB"/>
    <w:rsid w:val="005E354F"/>
    <w:rsid w:val="005E423D"/>
    <w:rsid w:val="005F3E01"/>
    <w:rsid w:val="00617EF7"/>
    <w:rsid w:val="00622B50"/>
    <w:rsid w:val="00623BA2"/>
    <w:rsid w:val="00635899"/>
    <w:rsid w:val="00636887"/>
    <w:rsid w:val="006406A6"/>
    <w:rsid w:val="00647FD5"/>
    <w:rsid w:val="00665691"/>
    <w:rsid w:val="00667F0C"/>
    <w:rsid w:val="0067326F"/>
    <w:rsid w:val="00674045"/>
    <w:rsid w:val="00680F4C"/>
    <w:rsid w:val="006817E1"/>
    <w:rsid w:val="00685563"/>
    <w:rsid w:val="0069220C"/>
    <w:rsid w:val="00693C2E"/>
    <w:rsid w:val="006A478C"/>
    <w:rsid w:val="006A73F9"/>
    <w:rsid w:val="006C30CE"/>
    <w:rsid w:val="006C4F25"/>
    <w:rsid w:val="006C737F"/>
    <w:rsid w:val="006C7935"/>
    <w:rsid w:val="006D08EC"/>
    <w:rsid w:val="006D0928"/>
    <w:rsid w:val="006D5D1D"/>
    <w:rsid w:val="006E5A13"/>
    <w:rsid w:val="006F057E"/>
    <w:rsid w:val="007003EF"/>
    <w:rsid w:val="00706138"/>
    <w:rsid w:val="007113C5"/>
    <w:rsid w:val="007172F2"/>
    <w:rsid w:val="00720830"/>
    <w:rsid w:val="007229AE"/>
    <w:rsid w:val="0073299B"/>
    <w:rsid w:val="00741058"/>
    <w:rsid w:val="00741FE8"/>
    <w:rsid w:val="00760145"/>
    <w:rsid w:val="00760AF4"/>
    <w:rsid w:val="00767D58"/>
    <w:rsid w:val="0077349E"/>
    <w:rsid w:val="00781979"/>
    <w:rsid w:val="007A1529"/>
    <w:rsid w:val="007A2B7E"/>
    <w:rsid w:val="007D1BAD"/>
    <w:rsid w:val="007D2B9E"/>
    <w:rsid w:val="007D44F4"/>
    <w:rsid w:val="007F30A7"/>
    <w:rsid w:val="007F4A61"/>
    <w:rsid w:val="00815587"/>
    <w:rsid w:val="00816BE7"/>
    <w:rsid w:val="00832045"/>
    <w:rsid w:val="00833338"/>
    <w:rsid w:val="00840AC6"/>
    <w:rsid w:val="00843C4A"/>
    <w:rsid w:val="00853D1D"/>
    <w:rsid w:val="008773D4"/>
    <w:rsid w:val="008804CC"/>
    <w:rsid w:val="00897989"/>
    <w:rsid w:val="008A44B0"/>
    <w:rsid w:val="008B00A4"/>
    <w:rsid w:val="008B0134"/>
    <w:rsid w:val="008B6F52"/>
    <w:rsid w:val="008C6A25"/>
    <w:rsid w:val="008D42C8"/>
    <w:rsid w:val="008D6C25"/>
    <w:rsid w:val="008E0635"/>
    <w:rsid w:val="008E4F54"/>
    <w:rsid w:val="008E5B32"/>
    <w:rsid w:val="008E65AB"/>
    <w:rsid w:val="008F0A1E"/>
    <w:rsid w:val="008F57DD"/>
    <w:rsid w:val="008F6096"/>
    <w:rsid w:val="0090413A"/>
    <w:rsid w:val="0090766E"/>
    <w:rsid w:val="00911DB6"/>
    <w:rsid w:val="00914B68"/>
    <w:rsid w:val="009162FE"/>
    <w:rsid w:val="00920895"/>
    <w:rsid w:val="0094112C"/>
    <w:rsid w:val="00945242"/>
    <w:rsid w:val="009474EB"/>
    <w:rsid w:val="00953DAC"/>
    <w:rsid w:val="009670E9"/>
    <w:rsid w:val="00972C08"/>
    <w:rsid w:val="00976DF4"/>
    <w:rsid w:val="00995494"/>
    <w:rsid w:val="009A48C4"/>
    <w:rsid w:val="009B6904"/>
    <w:rsid w:val="009C06A2"/>
    <w:rsid w:val="009D0CCF"/>
    <w:rsid w:val="009D1A02"/>
    <w:rsid w:val="009E12ED"/>
    <w:rsid w:val="009E5043"/>
    <w:rsid w:val="00A150F0"/>
    <w:rsid w:val="00A34F01"/>
    <w:rsid w:val="00A40F9D"/>
    <w:rsid w:val="00A53D4D"/>
    <w:rsid w:val="00A626AD"/>
    <w:rsid w:val="00A66D7F"/>
    <w:rsid w:val="00A67CF1"/>
    <w:rsid w:val="00A73272"/>
    <w:rsid w:val="00A7373C"/>
    <w:rsid w:val="00A7384B"/>
    <w:rsid w:val="00A7644F"/>
    <w:rsid w:val="00A811D0"/>
    <w:rsid w:val="00A90953"/>
    <w:rsid w:val="00A95030"/>
    <w:rsid w:val="00AA3D00"/>
    <w:rsid w:val="00AA7EDE"/>
    <w:rsid w:val="00AB5749"/>
    <w:rsid w:val="00AC7356"/>
    <w:rsid w:val="00AD3620"/>
    <w:rsid w:val="00AE015D"/>
    <w:rsid w:val="00AE5649"/>
    <w:rsid w:val="00AF0632"/>
    <w:rsid w:val="00AF4035"/>
    <w:rsid w:val="00AF53FD"/>
    <w:rsid w:val="00B129A7"/>
    <w:rsid w:val="00B1750D"/>
    <w:rsid w:val="00B22A09"/>
    <w:rsid w:val="00B30355"/>
    <w:rsid w:val="00B338D4"/>
    <w:rsid w:val="00B366BB"/>
    <w:rsid w:val="00B457D2"/>
    <w:rsid w:val="00B52928"/>
    <w:rsid w:val="00B6284E"/>
    <w:rsid w:val="00BA588D"/>
    <w:rsid w:val="00BA59B1"/>
    <w:rsid w:val="00BA72AB"/>
    <w:rsid w:val="00BD081D"/>
    <w:rsid w:val="00BE059E"/>
    <w:rsid w:val="00BE1236"/>
    <w:rsid w:val="00BE7815"/>
    <w:rsid w:val="00BF478D"/>
    <w:rsid w:val="00BF6C2C"/>
    <w:rsid w:val="00BF7357"/>
    <w:rsid w:val="00C02B05"/>
    <w:rsid w:val="00C04071"/>
    <w:rsid w:val="00C111A9"/>
    <w:rsid w:val="00C21AF1"/>
    <w:rsid w:val="00C32B5D"/>
    <w:rsid w:val="00C37CE5"/>
    <w:rsid w:val="00C402DE"/>
    <w:rsid w:val="00C4285F"/>
    <w:rsid w:val="00C44598"/>
    <w:rsid w:val="00C475FF"/>
    <w:rsid w:val="00C56893"/>
    <w:rsid w:val="00C66AD2"/>
    <w:rsid w:val="00C719B1"/>
    <w:rsid w:val="00C728B3"/>
    <w:rsid w:val="00C76840"/>
    <w:rsid w:val="00C76951"/>
    <w:rsid w:val="00C91CEF"/>
    <w:rsid w:val="00C91E75"/>
    <w:rsid w:val="00C92491"/>
    <w:rsid w:val="00CB3D74"/>
    <w:rsid w:val="00CC3553"/>
    <w:rsid w:val="00CC617B"/>
    <w:rsid w:val="00CE3450"/>
    <w:rsid w:val="00CF2DFE"/>
    <w:rsid w:val="00D00AB6"/>
    <w:rsid w:val="00D14845"/>
    <w:rsid w:val="00D153A1"/>
    <w:rsid w:val="00D30201"/>
    <w:rsid w:val="00D3459D"/>
    <w:rsid w:val="00D3653E"/>
    <w:rsid w:val="00D43F38"/>
    <w:rsid w:val="00D53E20"/>
    <w:rsid w:val="00D5432C"/>
    <w:rsid w:val="00D54461"/>
    <w:rsid w:val="00D556B6"/>
    <w:rsid w:val="00D61224"/>
    <w:rsid w:val="00D631C6"/>
    <w:rsid w:val="00D740EE"/>
    <w:rsid w:val="00D93217"/>
    <w:rsid w:val="00DA32BA"/>
    <w:rsid w:val="00DB4097"/>
    <w:rsid w:val="00DC4946"/>
    <w:rsid w:val="00DC4B44"/>
    <w:rsid w:val="00DD0485"/>
    <w:rsid w:val="00E029F5"/>
    <w:rsid w:val="00E03547"/>
    <w:rsid w:val="00E044F4"/>
    <w:rsid w:val="00E25945"/>
    <w:rsid w:val="00E32004"/>
    <w:rsid w:val="00E349BB"/>
    <w:rsid w:val="00E373B1"/>
    <w:rsid w:val="00E42C7D"/>
    <w:rsid w:val="00E438AF"/>
    <w:rsid w:val="00E50325"/>
    <w:rsid w:val="00E504F7"/>
    <w:rsid w:val="00E73973"/>
    <w:rsid w:val="00E83CAE"/>
    <w:rsid w:val="00E940FE"/>
    <w:rsid w:val="00EB2962"/>
    <w:rsid w:val="00EB5F9D"/>
    <w:rsid w:val="00EC3CCB"/>
    <w:rsid w:val="00EC3E3D"/>
    <w:rsid w:val="00EC4314"/>
    <w:rsid w:val="00ED0DCC"/>
    <w:rsid w:val="00EE5542"/>
    <w:rsid w:val="00EE5908"/>
    <w:rsid w:val="00EE5B20"/>
    <w:rsid w:val="00EF3BEA"/>
    <w:rsid w:val="00EF53CB"/>
    <w:rsid w:val="00F02848"/>
    <w:rsid w:val="00F05CDA"/>
    <w:rsid w:val="00F066E8"/>
    <w:rsid w:val="00F32B68"/>
    <w:rsid w:val="00F375AA"/>
    <w:rsid w:val="00F423DD"/>
    <w:rsid w:val="00F4268B"/>
    <w:rsid w:val="00F46CBB"/>
    <w:rsid w:val="00F570E0"/>
    <w:rsid w:val="00F6560C"/>
    <w:rsid w:val="00F748BE"/>
    <w:rsid w:val="00F7568D"/>
    <w:rsid w:val="00F8299E"/>
    <w:rsid w:val="00F82AB2"/>
    <w:rsid w:val="00F8576D"/>
    <w:rsid w:val="00F93F8F"/>
    <w:rsid w:val="00FA1868"/>
    <w:rsid w:val="00FA4D2C"/>
    <w:rsid w:val="00FB19DD"/>
    <w:rsid w:val="00FB5176"/>
    <w:rsid w:val="00FB6BB6"/>
    <w:rsid w:val="00FD6F32"/>
    <w:rsid w:val="00FE3A9F"/>
    <w:rsid w:val="00FE43E1"/>
    <w:rsid w:val="00FE44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2D18E8"/>
  <w15:chartTrackingRefBased/>
  <w15:docId w15:val="{AF91C2D9-C0A5-43F4-B5BF-BBB77613F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97989"/>
    <w:rPr>
      <w:sz w:val="24"/>
      <w:szCs w:val="24"/>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rsid w:val="00897989"/>
    <w:pPr>
      <w:tabs>
        <w:tab w:val="center" w:pos="4320"/>
        <w:tab w:val="right" w:pos="8640"/>
      </w:tabs>
    </w:pPr>
  </w:style>
  <w:style w:type="character" w:styleId="Nmerodepgina">
    <w:name w:val="page number"/>
    <w:basedOn w:val="Fuentedeprrafopredeter"/>
    <w:rsid w:val="00897989"/>
  </w:style>
  <w:style w:type="paragraph" w:customStyle="1" w:styleId="sectext">
    <w:name w:val="sectext"/>
    <w:rsid w:val="00897989"/>
    <w:pPr>
      <w:widowControl w:val="0"/>
      <w:autoSpaceDE w:val="0"/>
      <w:autoSpaceDN w:val="0"/>
      <w:adjustRightInd w:val="0"/>
    </w:pPr>
    <w:rPr>
      <w:szCs w:val="24"/>
    </w:rPr>
  </w:style>
  <w:style w:type="character" w:styleId="Nmerodelnea">
    <w:name w:val="line number"/>
    <w:basedOn w:val="Fuentedeprrafopredeter"/>
    <w:rsid w:val="00897989"/>
  </w:style>
  <w:style w:type="paragraph" w:styleId="NormalWeb">
    <w:name w:val="Normal (Web)"/>
    <w:basedOn w:val="Normal"/>
    <w:rsid w:val="007D44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05463-5978-42C6-8DB8-03DFCA3EB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981</Words>
  <Characters>5595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ocpr</Company>
  <LinksUpToDate>false</LinksUpToDate>
  <CharactersWithSpaces>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GOBIERNO DE PUERTO RICO</dc:title>
  <dc:subject/>
  <dc:creator>mbarroso;Lcdo Armando L Jimenez Laureano</dc:creator>
  <cp:keywords/>
  <dc:description/>
  <cp:lastModifiedBy>Rocío Alayón Morell</cp:lastModifiedBy>
  <cp:revision>3</cp:revision>
  <dcterms:created xsi:type="dcterms:W3CDTF">2026-05-08T19:37:00Z</dcterms:created>
  <dcterms:modified xsi:type="dcterms:W3CDTF">2026-05-11T15:05:00Z</dcterms:modified>
</cp:coreProperties>
</file>