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D8BA5" w14:textId="421B60D4" w:rsidR="00782657" w:rsidRPr="00903212" w:rsidRDefault="00BD7BDE" w:rsidP="003C18A8">
      <w:pPr>
        <w:suppressLineNumbers/>
        <w:spacing w:after="0" w:line="240" w:lineRule="auto"/>
        <w:jc w:val="center"/>
        <w:rPr>
          <w:rFonts w:ascii="Book Antiqua" w:eastAsia="Times New Roman" w:hAnsi="Book Antiqua" w:cs="Times New Roman"/>
          <w:sz w:val="28"/>
          <w:szCs w:val="20"/>
          <w:lang w:val="es-ES_tradnl"/>
        </w:rPr>
      </w:pPr>
      <w:r w:rsidRPr="00903212">
        <w:rPr>
          <w:rFonts w:ascii="Book Antiqua" w:eastAsia="Times New Roman" w:hAnsi="Book Antiqua" w:cs="Times New Roman"/>
          <w:sz w:val="28"/>
          <w:szCs w:val="20"/>
          <w:lang w:val="es-ES_tradnl"/>
        </w:rPr>
        <w:t>GOBIERNO</w:t>
      </w:r>
      <w:r w:rsidR="00782657" w:rsidRPr="00903212">
        <w:rPr>
          <w:rFonts w:ascii="Book Antiqua" w:eastAsia="Times New Roman" w:hAnsi="Book Antiqua" w:cs="Times New Roman"/>
          <w:sz w:val="28"/>
          <w:szCs w:val="20"/>
          <w:lang w:val="es-ES_tradnl"/>
        </w:rPr>
        <w:t xml:space="preserve"> DE PUERTO RICO</w:t>
      </w:r>
    </w:p>
    <w:p w14:paraId="38D313AE" w14:textId="77777777" w:rsidR="00782657" w:rsidRPr="003C18A8" w:rsidRDefault="00782657" w:rsidP="003C18A8">
      <w:pPr>
        <w:suppressLineNumbers/>
        <w:spacing w:after="0" w:line="240" w:lineRule="auto"/>
        <w:jc w:val="center"/>
        <w:rPr>
          <w:rFonts w:ascii="Book Antiqua" w:eastAsia="Times New Roman" w:hAnsi="Book Antiqua" w:cs="Times New Roman"/>
          <w:sz w:val="24"/>
          <w:szCs w:val="24"/>
          <w:lang w:val="es-ES_tradnl"/>
        </w:rPr>
      </w:pPr>
    </w:p>
    <w:p w14:paraId="14A6D2C7" w14:textId="581FE5FC" w:rsidR="00782657" w:rsidRPr="00903212" w:rsidRDefault="00BD7BDE" w:rsidP="003C18A8">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20m</w:t>
      </w:r>
      <w:r w:rsidR="00782657" w:rsidRPr="00903212">
        <w:rPr>
          <w:rFonts w:ascii="Book Antiqua" w:eastAsia="Times New Roman" w:hAnsi="Book Antiqua" w:cs="Times New Roman"/>
          <w:sz w:val="24"/>
          <w:szCs w:val="20"/>
          <w:lang w:val="es-ES_tradnl"/>
        </w:rPr>
        <w:t>a.</w:t>
      </w:r>
      <w:r w:rsidR="00782657" w:rsidRPr="00903212">
        <w:rPr>
          <w:rFonts w:ascii="Book Antiqua" w:eastAsia="Times New Roman" w:hAnsi="Book Antiqua" w:cs="Times New Roman"/>
          <w:sz w:val="24"/>
          <w:szCs w:val="20"/>
          <w:lang w:val="es-ES_tradnl"/>
        </w:rPr>
        <w:tab/>
        <w:t>Asamblea</w:t>
      </w:r>
      <w:r w:rsidR="00782657" w:rsidRPr="00903212">
        <w:rPr>
          <w:rFonts w:ascii="Book Antiqua" w:eastAsia="Times New Roman" w:hAnsi="Book Antiqua" w:cs="Times New Roman"/>
          <w:sz w:val="24"/>
          <w:szCs w:val="20"/>
          <w:lang w:val="es-ES_tradnl"/>
        </w:rPr>
        <w:tab/>
      </w:r>
      <w:r w:rsidR="00532D26">
        <w:rPr>
          <w:rFonts w:ascii="Book Antiqua" w:eastAsia="Times New Roman" w:hAnsi="Book Antiqua" w:cs="Times New Roman"/>
          <w:sz w:val="24"/>
          <w:szCs w:val="20"/>
          <w:lang w:val="es-ES_tradnl"/>
        </w:rPr>
        <w:t>3</w:t>
      </w:r>
      <w:r w:rsidRPr="00903212">
        <w:rPr>
          <w:rFonts w:ascii="Book Antiqua" w:eastAsia="Times New Roman" w:hAnsi="Book Antiqua" w:cs="Times New Roman"/>
          <w:sz w:val="24"/>
          <w:szCs w:val="20"/>
          <w:lang w:val="es-ES_tradnl"/>
        </w:rPr>
        <w:t>r</w:t>
      </w:r>
      <w:r w:rsidR="00782657" w:rsidRPr="00903212">
        <w:rPr>
          <w:rFonts w:ascii="Book Antiqua" w:eastAsia="Times New Roman" w:hAnsi="Book Antiqua" w:cs="Times New Roman"/>
          <w:sz w:val="24"/>
          <w:szCs w:val="20"/>
          <w:lang w:val="es-ES_tradnl"/>
        </w:rPr>
        <w:t>a.</w:t>
      </w:r>
      <w:r w:rsidR="00782657" w:rsidRPr="00903212">
        <w:rPr>
          <w:rFonts w:ascii="Book Antiqua" w:eastAsia="Times New Roman" w:hAnsi="Book Antiqua" w:cs="Times New Roman"/>
          <w:sz w:val="24"/>
          <w:szCs w:val="20"/>
          <w:lang w:val="es-ES_tradnl"/>
        </w:rPr>
        <w:tab/>
        <w:t>Sesión</w:t>
      </w:r>
    </w:p>
    <w:p w14:paraId="5EF0EA97" w14:textId="77777777" w:rsidR="00782657" w:rsidRPr="00903212" w:rsidRDefault="00782657" w:rsidP="003C18A8">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ab/>
        <w:t>Legislativa</w:t>
      </w:r>
      <w:r w:rsidRPr="00903212">
        <w:rPr>
          <w:rFonts w:ascii="Book Antiqua" w:eastAsia="Times New Roman" w:hAnsi="Book Antiqua" w:cs="Times New Roman"/>
          <w:sz w:val="24"/>
          <w:szCs w:val="20"/>
          <w:lang w:val="es-ES_tradnl"/>
        </w:rPr>
        <w:tab/>
      </w:r>
      <w:r w:rsidRPr="00903212">
        <w:rPr>
          <w:rFonts w:ascii="Book Antiqua" w:eastAsia="Times New Roman" w:hAnsi="Book Antiqua" w:cs="Times New Roman"/>
          <w:sz w:val="24"/>
          <w:szCs w:val="20"/>
          <w:lang w:val="es-ES_tradnl"/>
        </w:rPr>
        <w:tab/>
        <w:t>Ordinaria</w:t>
      </w:r>
    </w:p>
    <w:p w14:paraId="5B649BF0" w14:textId="77777777" w:rsidR="00782657" w:rsidRPr="00903212" w:rsidRDefault="00782657" w:rsidP="003C18A8">
      <w:pPr>
        <w:suppressLineNumbers/>
        <w:spacing w:after="0" w:line="240" w:lineRule="auto"/>
        <w:rPr>
          <w:rFonts w:ascii="Book Antiqua" w:eastAsia="Times New Roman" w:hAnsi="Book Antiqua" w:cs="Times New Roman"/>
          <w:sz w:val="24"/>
          <w:szCs w:val="20"/>
          <w:lang w:val="es-ES_tradnl"/>
        </w:rPr>
      </w:pPr>
    </w:p>
    <w:p w14:paraId="3DBF3468" w14:textId="77777777" w:rsidR="00782657" w:rsidRDefault="00782657" w:rsidP="003C18A8">
      <w:pPr>
        <w:suppressLineNumbers/>
        <w:spacing w:after="0" w:line="240" w:lineRule="auto"/>
        <w:jc w:val="center"/>
        <w:rPr>
          <w:rFonts w:ascii="Book Antiqua" w:eastAsia="Times New Roman" w:hAnsi="Book Antiqua" w:cs="Times New Roman"/>
          <w:b/>
          <w:sz w:val="36"/>
          <w:szCs w:val="20"/>
          <w:lang w:val="es-ES_tradnl"/>
        </w:rPr>
      </w:pPr>
      <w:r w:rsidRPr="00903212">
        <w:rPr>
          <w:rFonts w:ascii="Book Antiqua" w:eastAsia="Times New Roman" w:hAnsi="Book Antiqua" w:cs="Times New Roman"/>
          <w:b/>
          <w:sz w:val="36"/>
          <w:szCs w:val="20"/>
          <w:lang w:val="es-ES_tradnl"/>
        </w:rPr>
        <w:t>CÁMARA DE REPRESENTANTES</w:t>
      </w:r>
    </w:p>
    <w:p w14:paraId="6DACFFF8" w14:textId="77777777" w:rsidR="003C18A8" w:rsidRPr="003C18A8" w:rsidRDefault="003C18A8" w:rsidP="003C18A8">
      <w:pPr>
        <w:suppressLineNumbers/>
        <w:spacing w:after="0" w:line="240" w:lineRule="auto"/>
        <w:jc w:val="center"/>
        <w:rPr>
          <w:rFonts w:ascii="Book Antiqua" w:eastAsia="Times New Roman" w:hAnsi="Book Antiqua" w:cs="Times New Roman"/>
          <w:b/>
          <w:sz w:val="24"/>
          <w:szCs w:val="24"/>
          <w:lang w:val="es-ES_tradnl"/>
        </w:rPr>
      </w:pPr>
    </w:p>
    <w:p w14:paraId="1E935FA2" w14:textId="2175A239" w:rsidR="00782657" w:rsidRPr="00903212" w:rsidRDefault="004511E2" w:rsidP="003C18A8">
      <w:pPr>
        <w:suppressLineNumbers/>
        <w:spacing w:after="0" w:line="240" w:lineRule="auto"/>
        <w:jc w:val="center"/>
        <w:rPr>
          <w:rFonts w:ascii="Book Antiqua" w:eastAsia="Times New Roman" w:hAnsi="Book Antiqua" w:cs="Times New Roman"/>
          <w:b/>
          <w:sz w:val="52"/>
          <w:szCs w:val="20"/>
          <w:lang w:val="es-ES_tradnl"/>
        </w:rPr>
      </w:pPr>
      <w:r w:rsidRPr="00903212">
        <w:rPr>
          <w:rFonts w:ascii="Book Antiqua" w:eastAsia="Times New Roman" w:hAnsi="Book Antiqua" w:cs="Times New Roman"/>
          <w:b/>
          <w:sz w:val="52"/>
          <w:szCs w:val="20"/>
          <w:lang w:val="es-ES_tradnl"/>
        </w:rPr>
        <w:t>P</w:t>
      </w:r>
      <w:r w:rsidR="00782657" w:rsidRPr="00903212">
        <w:rPr>
          <w:rFonts w:ascii="Book Antiqua" w:eastAsia="Times New Roman" w:hAnsi="Book Antiqua" w:cs="Times New Roman"/>
          <w:b/>
          <w:sz w:val="52"/>
          <w:szCs w:val="20"/>
          <w:lang w:val="es-ES_tradnl"/>
        </w:rPr>
        <w:t xml:space="preserve">. de la C. </w:t>
      </w:r>
      <w:r w:rsidR="00147FAB">
        <w:rPr>
          <w:rFonts w:ascii="Book Antiqua" w:eastAsia="Times New Roman" w:hAnsi="Book Antiqua" w:cs="Times New Roman"/>
          <w:b/>
          <w:sz w:val="52"/>
          <w:szCs w:val="20"/>
          <w:lang w:val="es-ES_tradnl"/>
        </w:rPr>
        <w:t>1267</w:t>
      </w:r>
    </w:p>
    <w:p w14:paraId="16C88AF8" w14:textId="77777777" w:rsidR="00782657" w:rsidRPr="00903212" w:rsidRDefault="00782657" w:rsidP="003C18A8">
      <w:pPr>
        <w:suppressLineNumbers/>
        <w:spacing w:after="0" w:line="240" w:lineRule="auto"/>
        <w:jc w:val="center"/>
        <w:rPr>
          <w:rFonts w:ascii="Book Antiqua" w:eastAsia="Times New Roman" w:hAnsi="Book Antiqua" w:cs="Times New Roman"/>
          <w:sz w:val="24"/>
          <w:szCs w:val="20"/>
          <w:lang w:val="es-ES_tradnl"/>
        </w:rPr>
      </w:pPr>
    </w:p>
    <w:p w14:paraId="2687F9A7" w14:textId="763DB3DB" w:rsidR="00782657" w:rsidRPr="00903212" w:rsidRDefault="00147FAB" w:rsidP="003C18A8">
      <w:pPr>
        <w:suppressLineNumbers/>
        <w:spacing w:after="0" w:line="240" w:lineRule="auto"/>
        <w:jc w:val="center"/>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11</w:t>
      </w:r>
      <w:r w:rsidR="00FC531A" w:rsidRPr="00903212">
        <w:rPr>
          <w:rFonts w:ascii="Book Antiqua" w:eastAsia="Times New Roman" w:hAnsi="Book Antiqua" w:cs="Times New Roman"/>
          <w:sz w:val="24"/>
          <w:szCs w:val="20"/>
          <w:lang w:val="es-ES_tradnl"/>
        </w:rPr>
        <w:t xml:space="preserve"> </w:t>
      </w:r>
      <w:r w:rsidR="00782657" w:rsidRPr="00903212">
        <w:rPr>
          <w:rFonts w:ascii="Book Antiqua" w:eastAsia="Times New Roman" w:hAnsi="Book Antiqua" w:cs="Times New Roman"/>
          <w:sz w:val="24"/>
          <w:szCs w:val="20"/>
          <w:lang w:val="es-ES_tradnl"/>
        </w:rPr>
        <w:t xml:space="preserve">DE </w:t>
      </w:r>
      <w:r w:rsidR="00A37EA0">
        <w:rPr>
          <w:rFonts w:ascii="Book Antiqua" w:eastAsia="Times New Roman" w:hAnsi="Book Antiqua" w:cs="Times New Roman"/>
          <w:sz w:val="24"/>
          <w:szCs w:val="20"/>
          <w:lang w:val="es-ES_tradnl"/>
        </w:rPr>
        <w:t>MAYO</w:t>
      </w:r>
      <w:r w:rsidR="00782657" w:rsidRPr="00903212">
        <w:rPr>
          <w:rFonts w:ascii="Book Antiqua" w:eastAsia="Times New Roman" w:hAnsi="Book Antiqua" w:cs="Times New Roman"/>
          <w:sz w:val="24"/>
          <w:szCs w:val="20"/>
          <w:lang w:val="es-ES_tradnl"/>
        </w:rPr>
        <w:t xml:space="preserve"> DE 202</w:t>
      </w:r>
      <w:r w:rsidR="00532D26">
        <w:rPr>
          <w:rFonts w:ascii="Book Antiqua" w:eastAsia="Times New Roman" w:hAnsi="Book Antiqua" w:cs="Times New Roman"/>
          <w:sz w:val="24"/>
          <w:szCs w:val="20"/>
          <w:lang w:val="es-ES_tradnl"/>
        </w:rPr>
        <w:t>6</w:t>
      </w:r>
    </w:p>
    <w:p w14:paraId="49813FED" w14:textId="77777777" w:rsidR="00782657" w:rsidRPr="00903212" w:rsidRDefault="00782657" w:rsidP="003C18A8">
      <w:pPr>
        <w:suppressLineNumbers/>
        <w:spacing w:after="0" w:line="240" w:lineRule="auto"/>
        <w:jc w:val="center"/>
        <w:rPr>
          <w:rFonts w:ascii="Book Antiqua" w:eastAsia="Times New Roman" w:hAnsi="Book Antiqua" w:cs="Times New Roman"/>
          <w:sz w:val="24"/>
          <w:szCs w:val="20"/>
          <w:lang w:val="es-ES_tradnl"/>
        </w:rPr>
      </w:pPr>
    </w:p>
    <w:p w14:paraId="178FFBB1" w14:textId="6D120F73" w:rsidR="003C18A8" w:rsidRPr="0058418B" w:rsidRDefault="003C18A8" w:rsidP="00532D26">
      <w:pPr>
        <w:widowControl w:val="0"/>
        <w:suppressLineNumbers/>
        <w:spacing w:after="0" w:line="240" w:lineRule="auto"/>
        <w:ind w:left="450" w:hanging="450"/>
        <w:jc w:val="center"/>
        <w:rPr>
          <w:rFonts w:ascii="Book Antiqua" w:hAnsi="Book Antiqua"/>
          <w:i/>
          <w:sz w:val="24"/>
          <w:szCs w:val="24"/>
          <w:lang w:val="es-ES_tradnl"/>
        </w:rPr>
      </w:pPr>
      <w:r w:rsidRPr="0058418B">
        <w:rPr>
          <w:rFonts w:ascii="Book Antiqua" w:hAnsi="Book Antiqua"/>
          <w:sz w:val="24"/>
          <w:szCs w:val="24"/>
          <w:lang w:val="es-ES_tradnl"/>
        </w:rPr>
        <w:t xml:space="preserve">Presentado por </w:t>
      </w:r>
      <w:r w:rsidR="00532D26">
        <w:rPr>
          <w:rFonts w:ascii="Book Antiqua" w:hAnsi="Book Antiqua"/>
          <w:sz w:val="24"/>
          <w:szCs w:val="24"/>
          <w:lang w:val="es-ES_tradnl"/>
        </w:rPr>
        <w:t>el</w:t>
      </w:r>
      <w:r w:rsidRPr="0058418B">
        <w:rPr>
          <w:rFonts w:ascii="Book Antiqua" w:hAnsi="Book Antiqua"/>
          <w:sz w:val="24"/>
          <w:szCs w:val="24"/>
          <w:lang w:val="es-ES_tradnl"/>
        </w:rPr>
        <w:t xml:space="preserve"> representante</w:t>
      </w:r>
      <w:r w:rsidRPr="0058418B">
        <w:rPr>
          <w:rFonts w:ascii="Book Antiqua" w:hAnsi="Book Antiqua"/>
          <w:i/>
          <w:sz w:val="24"/>
          <w:szCs w:val="24"/>
          <w:lang w:val="es-ES_tradnl"/>
        </w:rPr>
        <w:t xml:space="preserve"> Rivera Ruiz de Porras</w:t>
      </w:r>
    </w:p>
    <w:p w14:paraId="4F48896F" w14:textId="77777777" w:rsidR="00782657" w:rsidRPr="00903212" w:rsidRDefault="00782657" w:rsidP="003C18A8">
      <w:pPr>
        <w:suppressLineNumbers/>
        <w:spacing w:after="0" w:line="240" w:lineRule="auto"/>
        <w:rPr>
          <w:rFonts w:ascii="Book Antiqua" w:eastAsia="Times New Roman" w:hAnsi="Book Antiqua" w:cs="Times New Roman"/>
          <w:sz w:val="24"/>
          <w:szCs w:val="20"/>
          <w:lang w:val="es-ES_tradnl"/>
        </w:rPr>
      </w:pPr>
    </w:p>
    <w:p w14:paraId="2CCD3CD2" w14:textId="7609CF2B" w:rsidR="00782657" w:rsidRPr="00903212" w:rsidRDefault="00782657" w:rsidP="003C18A8">
      <w:pPr>
        <w:suppressLineNumbers/>
        <w:spacing w:after="0" w:line="240" w:lineRule="auto"/>
        <w:jc w:val="center"/>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 xml:space="preserve">Referido a </w:t>
      </w:r>
      <w:r w:rsidR="00E71CA5">
        <w:rPr>
          <w:rFonts w:ascii="Book Antiqua" w:eastAsia="Times New Roman" w:hAnsi="Book Antiqua" w:cs="Times New Roman"/>
          <w:sz w:val="24"/>
          <w:szCs w:val="20"/>
          <w:lang w:val="es-ES_tradnl"/>
        </w:rPr>
        <w:t xml:space="preserve">la Comisión de </w:t>
      </w:r>
      <w:r w:rsidR="00C30DB5">
        <w:rPr>
          <w:rFonts w:ascii="Book Antiqua" w:eastAsia="Times New Roman" w:hAnsi="Book Antiqua" w:cs="Times New Roman"/>
          <w:sz w:val="24"/>
          <w:szCs w:val="20"/>
          <w:lang w:val="es-ES_tradnl"/>
        </w:rPr>
        <w:t>Transportación e Infraestructura</w:t>
      </w:r>
    </w:p>
    <w:p w14:paraId="58A3016E" w14:textId="77777777" w:rsidR="00782657" w:rsidRPr="00903212" w:rsidRDefault="00782657" w:rsidP="003C18A8">
      <w:pPr>
        <w:suppressLineNumbers/>
        <w:spacing w:after="0" w:line="240" w:lineRule="auto"/>
        <w:jc w:val="both"/>
        <w:rPr>
          <w:rFonts w:ascii="Book Antiqua" w:eastAsia="Times New Roman" w:hAnsi="Book Antiqua" w:cs="Times New Roman"/>
          <w:sz w:val="24"/>
          <w:szCs w:val="20"/>
          <w:lang w:val="es-ES_tradnl"/>
        </w:rPr>
      </w:pPr>
    </w:p>
    <w:p w14:paraId="007ABB32" w14:textId="77777777" w:rsidR="00782657" w:rsidRPr="00903212" w:rsidRDefault="00782657" w:rsidP="003C18A8">
      <w:pPr>
        <w:suppressLineNumbers/>
        <w:spacing w:after="0" w:line="240" w:lineRule="auto"/>
        <w:jc w:val="center"/>
        <w:rPr>
          <w:rFonts w:ascii="Book Antiqua" w:eastAsia="Times New Roman" w:hAnsi="Book Antiqua" w:cs="Times New Roman"/>
          <w:b/>
          <w:sz w:val="28"/>
          <w:szCs w:val="20"/>
          <w:lang w:val="es-ES_tradnl"/>
        </w:rPr>
      </w:pPr>
      <w:r w:rsidRPr="00903212">
        <w:rPr>
          <w:rFonts w:ascii="Book Antiqua" w:eastAsia="Times New Roman" w:hAnsi="Book Antiqua" w:cs="Times New Roman"/>
          <w:b/>
          <w:sz w:val="28"/>
          <w:szCs w:val="20"/>
          <w:lang w:val="es-ES_tradnl"/>
        </w:rPr>
        <w:t>LEY</w:t>
      </w:r>
    </w:p>
    <w:p w14:paraId="7F6C25A8" w14:textId="77777777" w:rsidR="00782657" w:rsidRPr="00903212" w:rsidRDefault="00782657" w:rsidP="003C18A8">
      <w:pPr>
        <w:suppressLineNumbers/>
        <w:spacing w:after="0" w:line="240" w:lineRule="auto"/>
        <w:jc w:val="both"/>
        <w:rPr>
          <w:rFonts w:ascii="Book Antiqua" w:eastAsia="Times New Roman" w:hAnsi="Book Antiqua" w:cs="Times New Roman"/>
          <w:sz w:val="24"/>
          <w:szCs w:val="20"/>
          <w:lang w:val="es-ES_tradnl"/>
        </w:rPr>
      </w:pPr>
    </w:p>
    <w:p w14:paraId="677E3D21" w14:textId="66CFD3AC" w:rsidR="00FC531A" w:rsidRPr="00903212" w:rsidRDefault="00782657" w:rsidP="003C18A8">
      <w:pPr>
        <w:suppressLineNumbers/>
        <w:spacing w:after="0" w:line="240" w:lineRule="auto"/>
        <w:ind w:left="720" w:hanging="720"/>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lang w:val="es-ES_tradnl"/>
        </w:rPr>
        <w:t xml:space="preserve">Para </w:t>
      </w:r>
      <w:r w:rsidR="00532D26">
        <w:rPr>
          <w:rFonts w:ascii="Book Antiqua" w:eastAsia="Times New Roman" w:hAnsi="Book Antiqua" w:cs="Times New Roman"/>
          <w:sz w:val="24"/>
          <w:szCs w:val="24"/>
          <w:lang w:val="es-ES_tradnl"/>
        </w:rPr>
        <w:t>enmendar</w:t>
      </w:r>
      <w:r w:rsidR="00FC531A" w:rsidRPr="00903212">
        <w:rPr>
          <w:rFonts w:ascii="Book Antiqua" w:eastAsia="Times New Roman" w:hAnsi="Book Antiqua" w:cs="Times New Roman"/>
          <w:sz w:val="24"/>
          <w:szCs w:val="24"/>
          <w:lang w:val="es-ES_tradnl"/>
        </w:rPr>
        <w:t xml:space="preserve"> el Artículo 2 </w:t>
      </w:r>
      <w:r w:rsidR="00532D26">
        <w:rPr>
          <w:rFonts w:ascii="Book Antiqua" w:eastAsia="Times New Roman" w:hAnsi="Book Antiqua" w:cs="Times New Roman"/>
          <w:sz w:val="24"/>
          <w:szCs w:val="24"/>
          <w:lang w:val="es-ES_tradnl"/>
        </w:rPr>
        <w:t>de</w:t>
      </w:r>
      <w:r w:rsidR="00FC531A" w:rsidRPr="00903212">
        <w:rPr>
          <w:rFonts w:ascii="Book Antiqua" w:eastAsia="Times New Roman" w:hAnsi="Book Antiqua" w:cs="Times New Roman"/>
          <w:sz w:val="24"/>
          <w:szCs w:val="24"/>
          <w:lang w:val="es-ES_tradnl"/>
        </w:rPr>
        <w:t xml:space="preserve"> la Ley </w:t>
      </w:r>
      <w:r w:rsidR="00DA689A">
        <w:rPr>
          <w:rFonts w:ascii="Book Antiqua" w:eastAsia="Times New Roman" w:hAnsi="Book Antiqua" w:cs="Times New Roman"/>
          <w:sz w:val="24"/>
          <w:szCs w:val="24"/>
          <w:lang w:val="es-ES_tradnl"/>
        </w:rPr>
        <w:t xml:space="preserve">Núm. </w:t>
      </w:r>
      <w:r w:rsidR="00FC531A" w:rsidRPr="00903212">
        <w:rPr>
          <w:rFonts w:ascii="Book Antiqua" w:eastAsia="Times New Roman" w:hAnsi="Book Antiqua" w:cs="Times New Roman"/>
          <w:sz w:val="24"/>
          <w:szCs w:val="24"/>
          <w:lang w:val="es-ES_tradnl"/>
        </w:rPr>
        <w:t>55-2021,</w:t>
      </w:r>
      <w:r w:rsidR="00231EAC">
        <w:rPr>
          <w:rFonts w:ascii="Book Antiqua" w:eastAsia="Times New Roman" w:hAnsi="Book Antiqua" w:cs="Times New Roman"/>
          <w:sz w:val="24"/>
          <w:szCs w:val="24"/>
          <w:lang w:val="es-ES_tradnl"/>
        </w:rPr>
        <w:t xml:space="preserve"> conocida como “Ley de los Nombres de las Estructuras y Vías Públicas de Puerto Rico”,</w:t>
      </w:r>
      <w:r w:rsidR="00FC531A" w:rsidRPr="00903212">
        <w:rPr>
          <w:rFonts w:ascii="Book Antiqua" w:eastAsia="Times New Roman" w:hAnsi="Book Antiqua" w:cs="Times New Roman"/>
          <w:sz w:val="24"/>
          <w:szCs w:val="24"/>
          <w:lang w:val="es-ES_tradnl"/>
        </w:rPr>
        <w:t xml:space="preserve"> con el fin de que toda vía pública, estructura o bien inmueble a la cual se le </w:t>
      </w:r>
      <w:r w:rsidR="00532D26">
        <w:rPr>
          <w:rFonts w:ascii="Book Antiqua" w:eastAsia="Times New Roman" w:hAnsi="Book Antiqua" w:cs="Times New Roman"/>
          <w:sz w:val="24"/>
          <w:szCs w:val="24"/>
          <w:lang w:val="es-ES_tradnl"/>
        </w:rPr>
        <w:t xml:space="preserve">ha </w:t>
      </w:r>
      <w:r w:rsidR="00FC531A" w:rsidRPr="00903212">
        <w:rPr>
          <w:rFonts w:ascii="Book Antiqua" w:eastAsia="Times New Roman" w:hAnsi="Book Antiqua" w:cs="Times New Roman"/>
          <w:sz w:val="24"/>
          <w:szCs w:val="24"/>
          <w:lang w:val="es-ES_tradnl"/>
        </w:rPr>
        <w:t>denomin</w:t>
      </w:r>
      <w:r w:rsidR="00532D26">
        <w:rPr>
          <w:rFonts w:ascii="Book Antiqua" w:eastAsia="Times New Roman" w:hAnsi="Book Antiqua" w:cs="Times New Roman"/>
          <w:sz w:val="24"/>
          <w:szCs w:val="24"/>
          <w:lang w:val="es-ES_tradnl"/>
        </w:rPr>
        <w:t>ado</w:t>
      </w:r>
      <w:r w:rsidR="00FC531A" w:rsidRPr="00903212">
        <w:rPr>
          <w:rFonts w:ascii="Book Antiqua" w:eastAsia="Times New Roman" w:hAnsi="Book Antiqua" w:cs="Times New Roman"/>
          <w:sz w:val="24"/>
          <w:szCs w:val="24"/>
          <w:lang w:val="es-ES_tradnl"/>
        </w:rPr>
        <w:t xml:space="preserve"> con </w:t>
      </w:r>
      <w:r w:rsidR="00532D26">
        <w:rPr>
          <w:rFonts w:ascii="Book Antiqua" w:eastAsia="Times New Roman" w:hAnsi="Book Antiqua" w:cs="Times New Roman"/>
          <w:sz w:val="24"/>
          <w:szCs w:val="24"/>
          <w:lang w:val="es-ES_tradnl"/>
        </w:rPr>
        <w:t>el</w:t>
      </w:r>
      <w:r w:rsidR="00FC531A" w:rsidRPr="00903212">
        <w:rPr>
          <w:rFonts w:ascii="Book Antiqua" w:eastAsia="Times New Roman" w:hAnsi="Book Antiqua" w:cs="Times New Roman"/>
          <w:sz w:val="24"/>
          <w:szCs w:val="24"/>
          <w:lang w:val="es-ES_tradnl"/>
        </w:rPr>
        <w:t xml:space="preserve"> nombre</w:t>
      </w:r>
      <w:r w:rsidR="00532D26">
        <w:rPr>
          <w:rFonts w:ascii="Book Antiqua" w:eastAsia="Times New Roman" w:hAnsi="Book Antiqua" w:cs="Times New Roman"/>
          <w:sz w:val="24"/>
          <w:szCs w:val="24"/>
          <w:lang w:val="es-ES_tradnl"/>
        </w:rPr>
        <w:t xml:space="preserve"> de alguna persona</w:t>
      </w:r>
      <w:r w:rsidR="00231EAC">
        <w:rPr>
          <w:rFonts w:ascii="Book Antiqua" w:eastAsia="Times New Roman" w:hAnsi="Book Antiqua" w:cs="Times New Roman"/>
          <w:sz w:val="24"/>
          <w:szCs w:val="24"/>
          <w:lang w:val="es-ES_tradnl"/>
        </w:rPr>
        <w:t>,</w:t>
      </w:r>
      <w:r w:rsidR="00FC531A" w:rsidRPr="00903212">
        <w:rPr>
          <w:rFonts w:ascii="Book Antiqua" w:eastAsia="Times New Roman" w:hAnsi="Book Antiqua" w:cs="Times New Roman"/>
          <w:sz w:val="24"/>
          <w:szCs w:val="24"/>
          <w:lang w:val="es-ES_tradnl"/>
        </w:rPr>
        <w:t xml:space="preserve"> </w:t>
      </w:r>
      <w:r w:rsidR="00532D26">
        <w:rPr>
          <w:rFonts w:ascii="Book Antiqua" w:eastAsia="Times New Roman" w:hAnsi="Book Antiqua" w:cs="Times New Roman"/>
          <w:sz w:val="24"/>
          <w:szCs w:val="24"/>
          <w:lang w:val="es-ES_tradnl"/>
        </w:rPr>
        <w:t xml:space="preserve">para </w:t>
      </w:r>
      <w:r w:rsidR="00FC531A" w:rsidRPr="00903212">
        <w:rPr>
          <w:rFonts w:ascii="Book Antiqua" w:eastAsia="Times New Roman" w:hAnsi="Book Antiqua" w:cs="Times New Roman"/>
          <w:sz w:val="24"/>
          <w:szCs w:val="24"/>
          <w:lang w:val="es-ES_tradnl"/>
        </w:rPr>
        <w:t>reconoc</w:t>
      </w:r>
      <w:r w:rsidR="00532D26">
        <w:rPr>
          <w:rFonts w:ascii="Book Antiqua" w:eastAsia="Times New Roman" w:hAnsi="Book Antiqua" w:cs="Times New Roman"/>
          <w:sz w:val="24"/>
          <w:szCs w:val="24"/>
          <w:lang w:val="es-ES_tradnl"/>
        </w:rPr>
        <w:t>er</w:t>
      </w:r>
      <w:r w:rsidR="00FC531A" w:rsidRPr="00903212">
        <w:rPr>
          <w:rFonts w:ascii="Book Antiqua" w:eastAsia="Times New Roman" w:hAnsi="Book Antiqua" w:cs="Times New Roman"/>
          <w:sz w:val="24"/>
          <w:szCs w:val="24"/>
          <w:lang w:val="es-ES_tradnl"/>
        </w:rPr>
        <w:t xml:space="preserve"> su gesta y</w:t>
      </w:r>
      <w:r w:rsidR="00532D26">
        <w:rPr>
          <w:rFonts w:ascii="Book Antiqua" w:eastAsia="Times New Roman" w:hAnsi="Book Antiqua" w:cs="Times New Roman"/>
          <w:sz w:val="24"/>
          <w:szCs w:val="24"/>
          <w:lang w:val="es-ES_tradnl"/>
        </w:rPr>
        <w:t xml:space="preserve"> </w:t>
      </w:r>
      <w:r w:rsidR="00FC531A" w:rsidRPr="00903212">
        <w:rPr>
          <w:rFonts w:ascii="Book Antiqua" w:eastAsia="Times New Roman" w:hAnsi="Book Antiqua" w:cs="Times New Roman"/>
          <w:sz w:val="24"/>
          <w:szCs w:val="24"/>
          <w:lang w:val="es-ES_tradnl"/>
        </w:rPr>
        <w:t>aportación a Puerto Ric</w:t>
      </w:r>
      <w:r w:rsidR="00532D26">
        <w:rPr>
          <w:rFonts w:ascii="Book Antiqua" w:eastAsia="Times New Roman" w:hAnsi="Book Antiqua" w:cs="Times New Roman"/>
          <w:sz w:val="24"/>
          <w:szCs w:val="24"/>
          <w:lang w:val="es-ES_tradnl"/>
        </w:rPr>
        <w:t xml:space="preserve">o, </w:t>
      </w:r>
      <w:r w:rsidR="00231EAC">
        <w:rPr>
          <w:rFonts w:ascii="Book Antiqua" w:eastAsia="Times New Roman" w:hAnsi="Book Antiqua" w:cs="Times New Roman"/>
          <w:sz w:val="24"/>
          <w:szCs w:val="24"/>
          <w:lang w:val="es-ES_tradnl"/>
        </w:rPr>
        <w:t xml:space="preserve">y </w:t>
      </w:r>
      <w:r w:rsidR="00532D26">
        <w:rPr>
          <w:rFonts w:ascii="Book Antiqua" w:eastAsia="Times New Roman" w:hAnsi="Book Antiqua" w:cs="Times New Roman"/>
          <w:sz w:val="24"/>
          <w:szCs w:val="24"/>
          <w:lang w:val="es-ES_tradnl"/>
        </w:rPr>
        <w:t>se haya realizado bajo la Comisión Denominadora de Estructuras y Vías Públicas o bajo la Ley 55-2021, no pueda ser eliminado</w:t>
      </w:r>
      <w:r w:rsidR="007655B0">
        <w:rPr>
          <w:rFonts w:ascii="Book Antiqua" w:eastAsia="Times New Roman" w:hAnsi="Book Antiqua" w:cs="Times New Roman"/>
          <w:sz w:val="24"/>
          <w:szCs w:val="24"/>
          <w:lang w:val="es-ES_tradnl"/>
        </w:rPr>
        <w:t xml:space="preserve">, </w:t>
      </w:r>
      <w:r w:rsidR="00532D26">
        <w:rPr>
          <w:rFonts w:ascii="Book Antiqua" w:eastAsia="Times New Roman" w:hAnsi="Book Antiqua" w:cs="Times New Roman"/>
          <w:sz w:val="24"/>
          <w:szCs w:val="24"/>
          <w:lang w:val="es-ES_tradnl"/>
        </w:rPr>
        <w:t>cambiado</w:t>
      </w:r>
      <w:r w:rsidR="007655B0">
        <w:rPr>
          <w:rFonts w:ascii="Book Antiqua" w:eastAsia="Times New Roman" w:hAnsi="Book Antiqua" w:cs="Times New Roman"/>
          <w:sz w:val="24"/>
          <w:szCs w:val="24"/>
          <w:lang w:val="es-ES_tradnl"/>
        </w:rPr>
        <w:t xml:space="preserve"> o fragmentado</w:t>
      </w:r>
      <w:r w:rsidR="00532D26">
        <w:rPr>
          <w:rFonts w:ascii="Book Antiqua" w:eastAsia="Times New Roman" w:hAnsi="Book Antiqua" w:cs="Times New Roman"/>
          <w:sz w:val="24"/>
          <w:szCs w:val="24"/>
          <w:lang w:val="es-ES_tradnl"/>
        </w:rPr>
        <w:t xml:space="preserve"> por el nombre de otra persona</w:t>
      </w:r>
      <w:r w:rsidR="004059CE">
        <w:rPr>
          <w:rFonts w:ascii="Book Antiqua" w:eastAsia="Times New Roman" w:hAnsi="Book Antiqua" w:cs="Times New Roman"/>
          <w:i/>
          <w:iCs/>
          <w:sz w:val="24"/>
          <w:szCs w:val="24"/>
        </w:rPr>
        <w:t xml:space="preserve">, </w:t>
      </w:r>
      <w:r w:rsidR="004059CE" w:rsidRPr="004059CE">
        <w:rPr>
          <w:rFonts w:ascii="Book Antiqua" w:eastAsia="Times New Roman" w:hAnsi="Book Antiqua" w:cs="Times New Roman"/>
          <w:sz w:val="24"/>
          <w:szCs w:val="24"/>
        </w:rPr>
        <w:t>aunque ésta también tenga una contribución al País</w:t>
      </w:r>
      <w:r w:rsidR="00FC531A" w:rsidRPr="00903212">
        <w:rPr>
          <w:rFonts w:ascii="Book Antiqua" w:eastAsia="Times New Roman" w:hAnsi="Book Antiqua" w:cs="Times New Roman"/>
          <w:sz w:val="24"/>
          <w:szCs w:val="24"/>
          <w:lang w:val="es-ES_tradnl"/>
        </w:rPr>
        <w:t>; y para otros fines relacionados.</w:t>
      </w:r>
    </w:p>
    <w:p w14:paraId="209D03EE" w14:textId="77777777" w:rsidR="00782657" w:rsidRPr="00903212" w:rsidRDefault="00782657" w:rsidP="003C18A8">
      <w:pPr>
        <w:suppressLineNumbers/>
        <w:spacing w:after="0" w:line="240" w:lineRule="auto"/>
        <w:ind w:left="720" w:hanging="720"/>
        <w:jc w:val="both"/>
        <w:rPr>
          <w:rFonts w:ascii="Book Antiqua" w:eastAsia="Times New Roman" w:hAnsi="Book Antiqua" w:cs="Times New Roman"/>
          <w:sz w:val="24"/>
          <w:szCs w:val="20"/>
          <w:lang w:val="es-ES_tradnl"/>
        </w:rPr>
      </w:pPr>
    </w:p>
    <w:p w14:paraId="42AC886B" w14:textId="038B9182" w:rsidR="00782657" w:rsidRPr="00903212" w:rsidRDefault="00782657" w:rsidP="003C18A8">
      <w:pPr>
        <w:suppressLineNumbers/>
        <w:spacing w:after="0" w:line="240" w:lineRule="auto"/>
        <w:ind w:firstLine="360"/>
        <w:jc w:val="center"/>
        <w:rPr>
          <w:rFonts w:ascii="Book Antiqua" w:eastAsia="Times New Roman" w:hAnsi="Book Antiqua" w:cs="Times New Roman"/>
          <w:sz w:val="24"/>
          <w:szCs w:val="20"/>
          <w:lang w:val="es-ES_tradnl"/>
        </w:rPr>
      </w:pPr>
      <w:r w:rsidRPr="00903212">
        <w:rPr>
          <w:rFonts w:ascii="Book Antiqua" w:eastAsia="Times New Roman" w:hAnsi="Book Antiqua" w:cs="Times New Roman"/>
          <w:sz w:val="24"/>
          <w:szCs w:val="20"/>
          <w:lang w:val="es-ES_tradnl"/>
        </w:rPr>
        <w:t>EXPOSICIÓN DE MOTIVOS</w:t>
      </w:r>
    </w:p>
    <w:p w14:paraId="1C59DCFB" w14:textId="77777777" w:rsidR="005B5019" w:rsidRPr="00903212" w:rsidRDefault="005B5019" w:rsidP="003C18A8">
      <w:pPr>
        <w:suppressLineNumbers/>
        <w:spacing w:after="0" w:line="240" w:lineRule="auto"/>
        <w:ind w:firstLine="360"/>
        <w:jc w:val="center"/>
        <w:rPr>
          <w:rFonts w:ascii="Book Antiqua" w:eastAsia="Times New Roman" w:hAnsi="Book Antiqua" w:cs="Times New Roman"/>
          <w:sz w:val="24"/>
          <w:szCs w:val="20"/>
          <w:lang w:val="es-ES_tradnl"/>
        </w:rPr>
      </w:pPr>
    </w:p>
    <w:p w14:paraId="1519C7D5" w14:textId="3E73AD1A" w:rsidR="00F70F6D" w:rsidRDefault="00F70F6D" w:rsidP="00F70F6D">
      <w:pPr>
        <w:suppressLineNumbers/>
        <w:spacing w:after="0" w:line="240" w:lineRule="auto"/>
        <w:ind w:firstLine="720"/>
        <w:jc w:val="both"/>
        <w:rPr>
          <w:rFonts w:ascii="Book Antiqua" w:eastAsia="Times New Roman" w:hAnsi="Book Antiqua" w:cs="Times New Roman"/>
          <w:sz w:val="24"/>
          <w:szCs w:val="24"/>
        </w:rPr>
      </w:pPr>
      <w:r w:rsidRPr="00F70F6D">
        <w:rPr>
          <w:rFonts w:ascii="Book Antiqua" w:eastAsia="Times New Roman" w:hAnsi="Book Antiqua" w:cs="Times New Roman"/>
          <w:sz w:val="24"/>
          <w:szCs w:val="24"/>
        </w:rPr>
        <w:t>La Asamblea Legislativa de Puerto Rico, en el ejercicio de sus facultades constitucionales establecidas en el Artículo III de la Constitución del Estado Libre Asociado, tiene la responsabilidad de legislar en beneficio del interés público, promoviendo la preservación de nuestra herencia cultural, histórica y social. En este contexto, la Ley Núm. 55</w:t>
      </w:r>
      <w:r>
        <w:rPr>
          <w:rFonts w:ascii="Book Antiqua" w:eastAsia="Times New Roman" w:hAnsi="Book Antiqua" w:cs="Times New Roman"/>
          <w:sz w:val="24"/>
          <w:szCs w:val="24"/>
        </w:rPr>
        <w:t>-</w:t>
      </w:r>
      <w:r w:rsidRPr="00F70F6D">
        <w:rPr>
          <w:rFonts w:ascii="Book Antiqua" w:eastAsia="Times New Roman" w:hAnsi="Book Antiqua" w:cs="Times New Roman"/>
          <w:sz w:val="24"/>
          <w:szCs w:val="24"/>
        </w:rPr>
        <w:t xml:space="preserve">2021, conocida como "Ley de los Nombres de las Estructuras y Vías Públicas de Puerto Rico", representó un avance significativo al derogar la Ley Núm. 99 de 22 de junio de 1961, según enmendada, que creaba la Comisión Denominadora de Estructuras y Vías Públicas. Dicha derogación buscaba eliminar redundancias administrativas y establecer un mecanismo más eficiente para la denominación de estructuras y vías públicas mediante </w:t>
      </w:r>
      <w:r w:rsidR="00DA689A">
        <w:rPr>
          <w:rFonts w:ascii="Book Antiqua" w:eastAsia="Times New Roman" w:hAnsi="Book Antiqua" w:cs="Times New Roman"/>
          <w:sz w:val="24"/>
          <w:szCs w:val="24"/>
        </w:rPr>
        <w:t xml:space="preserve">la aprobación de una </w:t>
      </w:r>
      <w:r w:rsidRPr="00F70F6D">
        <w:rPr>
          <w:rFonts w:ascii="Book Antiqua" w:eastAsia="Times New Roman" w:hAnsi="Book Antiqua" w:cs="Times New Roman"/>
          <w:sz w:val="24"/>
          <w:szCs w:val="24"/>
        </w:rPr>
        <w:t>Resolución Conjunta de la Asamblea Legislativa, preservando al mismo tiempo los nombres asignados previamente por la Comisión.</w:t>
      </w:r>
    </w:p>
    <w:p w14:paraId="73675F6E" w14:textId="77777777" w:rsidR="00F70F6D" w:rsidRPr="00F70F6D" w:rsidRDefault="00F70F6D" w:rsidP="00F70F6D">
      <w:pPr>
        <w:suppressLineNumbers/>
        <w:spacing w:after="0" w:line="240" w:lineRule="auto"/>
        <w:ind w:firstLine="720"/>
        <w:jc w:val="both"/>
        <w:rPr>
          <w:rFonts w:ascii="Book Antiqua" w:eastAsia="Times New Roman" w:hAnsi="Book Antiqua" w:cs="Times New Roman"/>
          <w:sz w:val="24"/>
          <w:szCs w:val="24"/>
        </w:rPr>
      </w:pPr>
    </w:p>
    <w:p w14:paraId="19140462" w14:textId="6D0FD8AD" w:rsidR="00F70F6D" w:rsidRDefault="00F70F6D" w:rsidP="00F70F6D">
      <w:pPr>
        <w:suppressLineNumbers/>
        <w:spacing w:after="0" w:line="240" w:lineRule="auto"/>
        <w:ind w:firstLine="720"/>
        <w:jc w:val="both"/>
        <w:rPr>
          <w:rFonts w:ascii="Book Antiqua" w:eastAsia="Times New Roman" w:hAnsi="Book Antiqua" w:cs="Times New Roman"/>
          <w:sz w:val="24"/>
          <w:szCs w:val="24"/>
        </w:rPr>
      </w:pPr>
      <w:r w:rsidRPr="00F70F6D">
        <w:rPr>
          <w:rFonts w:ascii="Book Antiqua" w:eastAsia="Times New Roman" w:hAnsi="Book Antiqua" w:cs="Times New Roman"/>
          <w:sz w:val="24"/>
          <w:szCs w:val="24"/>
        </w:rPr>
        <w:lastRenderedPageBreak/>
        <w:t xml:space="preserve">El Artículo 2 de la Ley Núm. 55-2021 dispone que todas las vías públicas y estructuras denominadas por la Comisión conservarán sus nombres, y que las futuras denominaciones se realizarán exclusivamente a través de Resolución Conjunta. Sin embargo, esta disposición no establece expresamente una prohibición absoluta para la eliminación o modificación de nombres asignados en honor a personas ilustres, ya sea bajo la antigua Comisión o mediante el nuevo procedimiento legislativo. Esta omisión ha generado preocupación, ya que podría permitir que cambios políticos, ideológicos o circunstanciales lleven a la remoción o sustitución de denominaciones que reconocen las gestas y aportaciones de individuos destacados en la historia de Puerto Rico. Tales cambios no solo podrían diluir el legado de estos homenajeados, sino que también generarían confusión en la ciudadanía, costos innecesarios en la actualización de señalización, mapas y registros públicos, y un debilitamiento de la continuidad histórica en nuestra </w:t>
      </w:r>
      <w:r w:rsidR="004059CE">
        <w:rPr>
          <w:rFonts w:ascii="Book Antiqua" w:eastAsia="Times New Roman" w:hAnsi="Book Antiqua" w:cs="Times New Roman"/>
          <w:sz w:val="24"/>
          <w:szCs w:val="24"/>
        </w:rPr>
        <w:t>designación</w:t>
      </w:r>
      <w:r w:rsidRPr="00F70F6D">
        <w:rPr>
          <w:rFonts w:ascii="Book Antiqua" w:eastAsia="Times New Roman" w:hAnsi="Book Antiqua" w:cs="Times New Roman"/>
          <w:sz w:val="24"/>
          <w:szCs w:val="24"/>
        </w:rPr>
        <w:t xml:space="preserve"> pública.</w:t>
      </w:r>
    </w:p>
    <w:p w14:paraId="01EE7F08" w14:textId="77777777" w:rsidR="00F70F6D" w:rsidRPr="00F70F6D" w:rsidRDefault="00F70F6D" w:rsidP="00F70F6D">
      <w:pPr>
        <w:suppressLineNumbers/>
        <w:spacing w:after="0" w:line="240" w:lineRule="auto"/>
        <w:ind w:firstLine="720"/>
        <w:jc w:val="both"/>
        <w:rPr>
          <w:rFonts w:ascii="Book Antiqua" w:eastAsia="Times New Roman" w:hAnsi="Book Antiqua" w:cs="Times New Roman"/>
          <w:sz w:val="24"/>
          <w:szCs w:val="24"/>
        </w:rPr>
      </w:pPr>
    </w:p>
    <w:p w14:paraId="2FF8DA73" w14:textId="6316DB74" w:rsidR="00F70F6D" w:rsidRDefault="00F70F6D" w:rsidP="00F70F6D">
      <w:pPr>
        <w:suppressLineNumbers/>
        <w:spacing w:after="0" w:line="240" w:lineRule="auto"/>
        <w:ind w:firstLine="720"/>
        <w:jc w:val="both"/>
        <w:rPr>
          <w:rFonts w:ascii="Book Antiqua" w:eastAsia="Times New Roman" w:hAnsi="Book Antiqua" w:cs="Times New Roman"/>
          <w:sz w:val="24"/>
          <w:szCs w:val="24"/>
        </w:rPr>
      </w:pPr>
      <w:r w:rsidRPr="00F70F6D">
        <w:rPr>
          <w:rFonts w:ascii="Book Antiqua" w:eastAsia="Times New Roman" w:hAnsi="Book Antiqua" w:cs="Times New Roman"/>
          <w:sz w:val="24"/>
          <w:szCs w:val="24"/>
        </w:rPr>
        <w:t>Por ello, se hace imperativo enmendar el Artículo 2 para garantizar la permanencia de estos honores, asegurando que toda vía pública, estructura o bien inmueble denominado con el nombre de una persona para reconocer su contribución al país</w:t>
      </w:r>
      <w:r w:rsidR="004059CE">
        <w:rPr>
          <w:rFonts w:ascii="Book Antiqua" w:eastAsia="Times New Roman" w:hAnsi="Book Antiqua" w:cs="Times New Roman"/>
          <w:sz w:val="24"/>
          <w:szCs w:val="24"/>
        </w:rPr>
        <w:t xml:space="preserve">, </w:t>
      </w:r>
      <w:r w:rsidRPr="00F70F6D">
        <w:rPr>
          <w:rFonts w:ascii="Book Antiqua" w:eastAsia="Times New Roman" w:hAnsi="Book Antiqua" w:cs="Times New Roman"/>
          <w:sz w:val="24"/>
          <w:szCs w:val="24"/>
        </w:rPr>
        <w:t>ya sea bajo la Comisión Denominadora o mediante Resolución Conjunta bajo la Ley Núm. 55-2021</w:t>
      </w:r>
      <w:r w:rsidR="004059CE">
        <w:rPr>
          <w:rFonts w:ascii="Book Antiqua" w:eastAsia="Times New Roman" w:hAnsi="Book Antiqua" w:cs="Times New Roman"/>
          <w:sz w:val="24"/>
          <w:szCs w:val="24"/>
        </w:rPr>
        <w:t>,</w:t>
      </w:r>
      <w:r w:rsidRPr="00F70F6D">
        <w:rPr>
          <w:rFonts w:ascii="Book Antiqua" w:eastAsia="Times New Roman" w:hAnsi="Book Antiqua" w:cs="Times New Roman"/>
          <w:sz w:val="24"/>
          <w:szCs w:val="24"/>
        </w:rPr>
        <w:t xml:space="preserve"> no pueda ser eliminado</w:t>
      </w:r>
      <w:r w:rsidR="00D2487B">
        <w:rPr>
          <w:rFonts w:ascii="Book Antiqua" w:eastAsia="Times New Roman" w:hAnsi="Book Antiqua" w:cs="Times New Roman"/>
          <w:sz w:val="24"/>
          <w:szCs w:val="24"/>
        </w:rPr>
        <w:t>,</w:t>
      </w:r>
      <w:r w:rsidRPr="00F70F6D">
        <w:rPr>
          <w:rFonts w:ascii="Book Antiqua" w:eastAsia="Times New Roman" w:hAnsi="Book Antiqua" w:cs="Times New Roman"/>
          <w:sz w:val="24"/>
          <w:szCs w:val="24"/>
        </w:rPr>
        <w:t xml:space="preserve"> cambiado</w:t>
      </w:r>
      <w:r w:rsidR="00D2487B">
        <w:rPr>
          <w:rFonts w:ascii="Book Antiqua" w:eastAsia="Times New Roman" w:hAnsi="Book Antiqua" w:cs="Times New Roman"/>
          <w:sz w:val="24"/>
          <w:szCs w:val="24"/>
        </w:rPr>
        <w:t xml:space="preserve"> o fragmentado</w:t>
      </w:r>
      <w:r w:rsidRPr="00F70F6D">
        <w:rPr>
          <w:rFonts w:ascii="Book Antiqua" w:eastAsia="Times New Roman" w:hAnsi="Book Antiqua" w:cs="Times New Roman"/>
          <w:sz w:val="24"/>
          <w:szCs w:val="24"/>
        </w:rPr>
        <w:t xml:space="preserve"> por el nombre de otra persona, aun cuando esta sea igualmente ilustre. Esta medida no impide la denominación de nuevas estructuras, sino que protege las existentes, promoviendo el respeto a las decisiones legislativas previas y la estabilidad en el patrimonio público.</w:t>
      </w:r>
      <w:r w:rsidR="00DA689A">
        <w:rPr>
          <w:rFonts w:ascii="Book Antiqua" w:eastAsia="Times New Roman" w:hAnsi="Book Antiqua" w:cs="Times New Roman"/>
          <w:sz w:val="24"/>
          <w:szCs w:val="24"/>
        </w:rPr>
        <w:t xml:space="preserve"> Además, fomenta el cumplimiento con las disposiciones del Manual de Dispositivos Uniformes para el Control del Tránsito (MUTCD), edición 2009.</w:t>
      </w:r>
      <w:r w:rsidR="004A29CC">
        <w:rPr>
          <w:rFonts w:ascii="Book Antiqua" w:eastAsia="Times New Roman" w:hAnsi="Book Antiqua" w:cs="Times New Roman"/>
          <w:sz w:val="24"/>
          <w:szCs w:val="24"/>
        </w:rPr>
        <w:t xml:space="preserve"> Estas disposiciones sugieren que la fragmentación de una carretera puede causar confusión en el conductor, lo que se traduce en frenazos repentinos o distracciones</w:t>
      </w:r>
      <w:r w:rsidR="00E81711">
        <w:rPr>
          <w:rFonts w:ascii="Book Antiqua" w:eastAsia="Times New Roman" w:hAnsi="Book Antiqua" w:cs="Times New Roman"/>
          <w:sz w:val="24"/>
          <w:szCs w:val="24"/>
        </w:rPr>
        <w:t>,</w:t>
      </w:r>
      <w:r w:rsidR="00B27587">
        <w:rPr>
          <w:rFonts w:ascii="Book Antiqua" w:eastAsia="Times New Roman" w:hAnsi="Book Antiqua" w:cs="Times New Roman"/>
          <w:sz w:val="24"/>
          <w:szCs w:val="24"/>
        </w:rPr>
        <w:t xml:space="preserve"> en problemas de seguridad, errores en navegación del GPS y aumento en tiempo de respuesta del 9-1-1,</w:t>
      </w:r>
      <w:r w:rsidR="00E81711">
        <w:rPr>
          <w:rFonts w:ascii="Book Antiqua" w:eastAsia="Times New Roman" w:hAnsi="Book Antiqua" w:cs="Times New Roman"/>
          <w:sz w:val="24"/>
          <w:szCs w:val="24"/>
        </w:rPr>
        <w:t xml:space="preserve"> por lo que los nombres en las carreteras deben ser continuos a través de las intersecciones.</w:t>
      </w:r>
      <w:r w:rsidR="005E5A3B">
        <w:rPr>
          <w:rFonts w:ascii="Book Antiqua" w:eastAsia="Times New Roman" w:hAnsi="Book Antiqua" w:cs="Times New Roman"/>
          <w:sz w:val="24"/>
          <w:szCs w:val="24"/>
        </w:rPr>
        <w:t xml:space="preserve"> Entre otras cosas, el incumplimiento con las disposiciones del MUTCD conlleva riesgos significativos, tanto en la elegibilidad para recibir fondos federales como en la expos</w:t>
      </w:r>
      <w:r w:rsidR="00F549F1">
        <w:rPr>
          <w:rFonts w:ascii="Book Antiqua" w:eastAsia="Times New Roman" w:hAnsi="Book Antiqua" w:cs="Times New Roman"/>
          <w:sz w:val="24"/>
          <w:szCs w:val="24"/>
        </w:rPr>
        <w:t>ición a responsabilidad legal.</w:t>
      </w:r>
      <w:r w:rsidR="003739C5">
        <w:rPr>
          <w:rFonts w:ascii="Book Antiqua" w:eastAsia="Times New Roman" w:hAnsi="Book Antiqua" w:cs="Times New Roman"/>
          <w:sz w:val="24"/>
          <w:szCs w:val="24"/>
        </w:rPr>
        <w:t xml:space="preserve"> Al ser el MUTCD adoptado por referencia en el Código de Reglamentos Federales (23 CFR 655.603), su cumplimiento no es una sugerencia técnica, sino un mandato legal para todas las vías abiertas al tránsito.</w:t>
      </w:r>
    </w:p>
    <w:p w14:paraId="55A4A50E" w14:textId="77777777" w:rsidR="00F70F6D" w:rsidRPr="00F70F6D" w:rsidRDefault="00F70F6D" w:rsidP="00F70F6D">
      <w:pPr>
        <w:suppressLineNumbers/>
        <w:spacing w:after="0" w:line="240" w:lineRule="auto"/>
        <w:ind w:firstLine="720"/>
        <w:jc w:val="both"/>
        <w:rPr>
          <w:rFonts w:ascii="Book Antiqua" w:eastAsia="Times New Roman" w:hAnsi="Book Antiqua" w:cs="Times New Roman"/>
          <w:sz w:val="24"/>
          <w:szCs w:val="24"/>
        </w:rPr>
      </w:pPr>
    </w:p>
    <w:p w14:paraId="78E1461D" w14:textId="77777777" w:rsidR="00F70F6D" w:rsidRDefault="00F70F6D" w:rsidP="00F70F6D">
      <w:pPr>
        <w:suppressLineNumbers/>
        <w:spacing w:after="0" w:line="240" w:lineRule="auto"/>
        <w:ind w:firstLine="720"/>
        <w:jc w:val="both"/>
        <w:rPr>
          <w:rFonts w:ascii="Book Antiqua" w:eastAsia="Times New Roman" w:hAnsi="Book Antiqua" w:cs="Times New Roman"/>
          <w:sz w:val="24"/>
          <w:szCs w:val="24"/>
        </w:rPr>
      </w:pPr>
      <w:r w:rsidRPr="00F70F6D">
        <w:rPr>
          <w:rFonts w:ascii="Book Antiqua" w:eastAsia="Times New Roman" w:hAnsi="Book Antiqua" w:cs="Times New Roman"/>
          <w:sz w:val="24"/>
          <w:szCs w:val="24"/>
        </w:rPr>
        <w:t>Los beneficios de esta enmienda son múltiples: fortalece la preservación de la identidad cultural puertorriqueña, evita el despilfarro de recursos públicos en renombramientos frecuentes, y reafirma el compromiso de la Asamblea Legislativa con la equidad y la imparcialidad en el reconocimiento de méritos. De esta forma, se asegura que las contribuciones de nuestros próceres y figuras destacadas permanezcan indelebles en el paisaje urbano y rural de Puerto Rico, sirviendo como inspiración para generaciones futuras.</w:t>
      </w:r>
    </w:p>
    <w:p w14:paraId="07677EDD" w14:textId="77777777" w:rsidR="004059CE" w:rsidRPr="00F70F6D" w:rsidRDefault="004059CE" w:rsidP="00F70F6D">
      <w:pPr>
        <w:suppressLineNumbers/>
        <w:spacing w:after="0" w:line="240" w:lineRule="auto"/>
        <w:ind w:firstLine="720"/>
        <w:jc w:val="both"/>
        <w:rPr>
          <w:rFonts w:ascii="Book Antiqua" w:eastAsia="Times New Roman" w:hAnsi="Book Antiqua" w:cs="Times New Roman"/>
          <w:sz w:val="24"/>
          <w:szCs w:val="24"/>
        </w:rPr>
      </w:pPr>
    </w:p>
    <w:p w14:paraId="0D1D9E97" w14:textId="61A0C031" w:rsidR="00D2487B" w:rsidRDefault="00F70F6D" w:rsidP="00D2487B">
      <w:pPr>
        <w:suppressLineNumbers/>
        <w:spacing w:after="0" w:line="240" w:lineRule="auto"/>
        <w:ind w:firstLine="720"/>
        <w:jc w:val="both"/>
        <w:rPr>
          <w:rFonts w:ascii="Book Antiqua" w:eastAsia="Times New Roman" w:hAnsi="Book Antiqua" w:cs="Times New Roman"/>
          <w:sz w:val="24"/>
          <w:szCs w:val="24"/>
        </w:rPr>
      </w:pPr>
      <w:r w:rsidRPr="00F70F6D">
        <w:rPr>
          <w:rFonts w:ascii="Book Antiqua" w:eastAsia="Times New Roman" w:hAnsi="Book Antiqua" w:cs="Times New Roman"/>
          <w:sz w:val="24"/>
          <w:szCs w:val="24"/>
        </w:rPr>
        <w:lastRenderedPageBreak/>
        <w:t xml:space="preserve">En virtud de lo anterior, esta Asamblea Legislativa aprueba la presente enmienda para salvaguardar el valor histórico y simbólico de </w:t>
      </w:r>
      <w:r w:rsidR="00DA689A">
        <w:rPr>
          <w:rFonts w:ascii="Book Antiqua" w:eastAsia="Times New Roman" w:hAnsi="Book Antiqua" w:cs="Times New Roman"/>
          <w:sz w:val="24"/>
          <w:szCs w:val="24"/>
        </w:rPr>
        <w:t>las</w:t>
      </w:r>
      <w:r w:rsidRPr="00F70F6D">
        <w:rPr>
          <w:rFonts w:ascii="Book Antiqua" w:eastAsia="Times New Roman" w:hAnsi="Book Antiqua" w:cs="Times New Roman"/>
          <w:sz w:val="24"/>
          <w:szCs w:val="24"/>
        </w:rPr>
        <w:t xml:space="preserve"> denominaciones</w:t>
      </w:r>
      <w:r w:rsidR="00DA689A">
        <w:rPr>
          <w:rFonts w:ascii="Book Antiqua" w:eastAsia="Times New Roman" w:hAnsi="Book Antiqua" w:cs="Times New Roman"/>
          <w:sz w:val="24"/>
          <w:szCs w:val="24"/>
        </w:rPr>
        <w:t xml:space="preserve"> de nuestras instalaciones y vías</w:t>
      </w:r>
      <w:r w:rsidRPr="00F70F6D">
        <w:rPr>
          <w:rFonts w:ascii="Book Antiqua" w:eastAsia="Times New Roman" w:hAnsi="Book Antiqua" w:cs="Times New Roman"/>
          <w:sz w:val="24"/>
          <w:szCs w:val="24"/>
        </w:rPr>
        <w:t xml:space="preserve"> públicas.</w:t>
      </w:r>
    </w:p>
    <w:p w14:paraId="5A5E4D18" w14:textId="77777777" w:rsidR="00782657" w:rsidRPr="00903212" w:rsidRDefault="00782657" w:rsidP="003C18A8">
      <w:pPr>
        <w:suppressLineNumbers/>
        <w:spacing w:after="0" w:line="240" w:lineRule="auto"/>
        <w:rPr>
          <w:rFonts w:ascii="Book Antiqua" w:eastAsia="Times New Roman" w:hAnsi="Book Antiqua" w:cs="Times New Roman"/>
          <w:i/>
          <w:sz w:val="24"/>
          <w:szCs w:val="24"/>
          <w:lang w:val="es-ES_tradnl"/>
        </w:rPr>
      </w:pPr>
    </w:p>
    <w:p w14:paraId="68E227FD" w14:textId="4A191E51" w:rsidR="00782657" w:rsidRPr="003C18A8" w:rsidRDefault="004511E2" w:rsidP="003C18A8">
      <w:pPr>
        <w:suppressLineNumbers/>
        <w:spacing w:after="0" w:line="480" w:lineRule="auto"/>
        <w:rPr>
          <w:rFonts w:ascii="Book Antiqua" w:eastAsia="Times New Roman" w:hAnsi="Book Antiqua" w:cs="Times New Roman"/>
          <w:i/>
          <w:sz w:val="24"/>
          <w:szCs w:val="24"/>
          <w:lang w:val="es-ES_tradnl"/>
        </w:rPr>
      </w:pPr>
      <w:r w:rsidRPr="00903212">
        <w:rPr>
          <w:rFonts w:ascii="Book Antiqua" w:eastAsia="Times New Roman" w:hAnsi="Book Antiqua" w:cs="Times New Roman"/>
          <w:i/>
          <w:sz w:val="24"/>
          <w:szCs w:val="24"/>
          <w:lang w:val="es-ES_tradnl"/>
        </w:rPr>
        <w:t>DECR</w:t>
      </w:r>
      <w:r w:rsidR="00DA7A98" w:rsidRPr="00903212">
        <w:rPr>
          <w:rFonts w:ascii="Book Antiqua" w:eastAsia="Times New Roman" w:hAnsi="Book Antiqua" w:cs="Times New Roman"/>
          <w:i/>
          <w:sz w:val="24"/>
          <w:szCs w:val="24"/>
          <w:lang w:val="es-ES_tradnl"/>
        </w:rPr>
        <w:t>É</w:t>
      </w:r>
      <w:r w:rsidRPr="00903212">
        <w:rPr>
          <w:rFonts w:ascii="Book Antiqua" w:eastAsia="Times New Roman" w:hAnsi="Book Antiqua" w:cs="Times New Roman"/>
          <w:i/>
          <w:sz w:val="24"/>
          <w:szCs w:val="24"/>
          <w:lang w:val="es-ES_tradnl"/>
        </w:rPr>
        <w:t>T</w:t>
      </w:r>
      <w:r w:rsidR="00DA7A98" w:rsidRPr="00903212">
        <w:rPr>
          <w:rFonts w:ascii="Book Antiqua" w:eastAsia="Times New Roman" w:hAnsi="Book Antiqua" w:cs="Times New Roman"/>
          <w:i/>
          <w:sz w:val="24"/>
          <w:szCs w:val="24"/>
          <w:lang w:val="es-ES_tradnl"/>
        </w:rPr>
        <w:t>ASE</w:t>
      </w:r>
      <w:r w:rsidR="00782657" w:rsidRPr="00903212">
        <w:rPr>
          <w:rFonts w:ascii="Book Antiqua" w:eastAsia="Times New Roman" w:hAnsi="Book Antiqua" w:cs="Times New Roman"/>
          <w:i/>
          <w:sz w:val="24"/>
          <w:szCs w:val="24"/>
          <w:lang w:val="es-ES_tradnl"/>
        </w:rPr>
        <w:t xml:space="preserve"> POR LA ASAMBLEA LEGISLATIVA DE PUERTO RICO:</w:t>
      </w:r>
    </w:p>
    <w:p w14:paraId="7001C0BF" w14:textId="4F2E879E" w:rsidR="00782657" w:rsidRPr="00231EAC" w:rsidRDefault="00231EAC" w:rsidP="00231EAC">
      <w:pPr>
        <w:spacing w:after="0" w:line="480" w:lineRule="auto"/>
        <w:ind w:firstLine="720"/>
        <w:jc w:val="both"/>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Sección</w:t>
      </w:r>
      <w:r w:rsidR="004C782A" w:rsidRPr="00903212">
        <w:rPr>
          <w:rFonts w:ascii="Book Antiqua" w:eastAsia="Times New Roman" w:hAnsi="Book Antiqua" w:cs="Times New Roman"/>
          <w:sz w:val="24"/>
          <w:szCs w:val="24"/>
          <w:lang w:val="es-ES_tradnl"/>
        </w:rPr>
        <w:t xml:space="preserve"> 1.- </w:t>
      </w:r>
      <w:r>
        <w:rPr>
          <w:rFonts w:ascii="Book Antiqua" w:eastAsia="Times New Roman" w:hAnsi="Book Antiqua" w:cs="Times New Roman"/>
          <w:sz w:val="24"/>
          <w:szCs w:val="24"/>
          <w:lang w:val="es-ES_tradnl"/>
        </w:rPr>
        <w:t>Se enmienda el Artículo 2 de la Ley</w:t>
      </w:r>
      <w:r w:rsidR="00DA689A">
        <w:rPr>
          <w:rFonts w:ascii="Book Antiqua" w:eastAsia="Times New Roman" w:hAnsi="Book Antiqua" w:cs="Times New Roman"/>
          <w:sz w:val="24"/>
          <w:szCs w:val="24"/>
          <w:lang w:val="es-ES_tradnl"/>
        </w:rPr>
        <w:t xml:space="preserve"> Núm.</w:t>
      </w:r>
      <w:r>
        <w:rPr>
          <w:rFonts w:ascii="Book Antiqua" w:eastAsia="Times New Roman" w:hAnsi="Book Antiqua" w:cs="Times New Roman"/>
          <w:sz w:val="24"/>
          <w:szCs w:val="24"/>
          <w:lang w:val="es-ES_tradnl"/>
        </w:rPr>
        <w:t xml:space="preserve"> 55-2021</w:t>
      </w:r>
      <w:r w:rsidR="004C782A" w:rsidRPr="00903212">
        <w:rPr>
          <w:rFonts w:ascii="Book Antiqua" w:eastAsia="Times New Roman" w:hAnsi="Book Antiqua" w:cs="Times New Roman"/>
          <w:sz w:val="24"/>
          <w:szCs w:val="24"/>
          <w:lang w:val="es-ES_tradnl"/>
        </w:rPr>
        <w:t xml:space="preserve"> </w:t>
      </w:r>
      <w:r w:rsidRPr="00231EAC">
        <w:rPr>
          <w:rFonts w:ascii="Book Antiqua" w:eastAsia="Times New Roman" w:hAnsi="Book Antiqua" w:cs="Times New Roman"/>
          <w:sz w:val="24"/>
          <w:szCs w:val="24"/>
          <w:lang w:val="es-ES_tradnl"/>
        </w:rPr>
        <w:t>mejor conocida como “Ley de los Nombres de las Estructuras y Vías Públicas de Puerto Rico”</w:t>
      </w:r>
      <w:r>
        <w:rPr>
          <w:rFonts w:ascii="Book Antiqua" w:eastAsia="Times New Roman" w:hAnsi="Book Antiqua" w:cs="Times New Roman"/>
          <w:sz w:val="24"/>
          <w:szCs w:val="24"/>
          <w:lang w:val="es-ES_tradnl"/>
        </w:rPr>
        <w:t>, para que lea como sigue:</w:t>
      </w:r>
    </w:p>
    <w:p w14:paraId="4270765D" w14:textId="420C1255" w:rsidR="00601E9E" w:rsidRPr="00903212" w:rsidRDefault="000C06FC" w:rsidP="003C18A8">
      <w:pPr>
        <w:spacing w:after="0" w:line="48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i/>
          <w:iCs/>
          <w:sz w:val="24"/>
          <w:szCs w:val="24"/>
        </w:rPr>
        <w:t>“</w:t>
      </w:r>
      <w:r w:rsidR="001735F8" w:rsidRPr="00903212">
        <w:rPr>
          <w:rFonts w:ascii="Book Antiqua" w:eastAsia="Times New Roman" w:hAnsi="Book Antiqua" w:cs="Times New Roman"/>
          <w:sz w:val="24"/>
          <w:szCs w:val="24"/>
        </w:rPr>
        <w:t xml:space="preserve">Artículo </w:t>
      </w:r>
      <w:r w:rsidR="00601E9E" w:rsidRPr="00903212">
        <w:rPr>
          <w:rFonts w:ascii="Book Antiqua" w:eastAsia="Times New Roman" w:hAnsi="Book Antiqua" w:cs="Times New Roman"/>
          <w:sz w:val="24"/>
          <w:szCs w:val="24"/>
        </w:rPr>
        <w:t>2</w:t>
      </w:r>
      <w:r w:rsidR="001735F8" w:rsidRPr="00903212">
        <w:rPr>
          <w:rFonts w:ascii="Book Antiqua" w:eastAsia="Times New Roman" w:hAnsi="Book Antiqua" w:cs="Times New Roman"/>
          <w:sz w:val="24"/>
          <w:szCs w:val="24"/>
        </w:rPr>
        <w:t xml:space="preserve">.- </w:t>
      </w:r>
      <w:r w:rsidR="00601E9E" w:rsidRPr="00903212">
        <w:rPr>
          <w:rFonts w:ascii="Book Antiqua" w:eastAsia="Times New Roman" w:hAnsi="Book Antiqua" w:cs="Times New Roman"/>
          <w:sz w:val="24"/>
          <w:szCs w:val="24"/>
        </w:rPr>
        <w:t>Todas las vías públicas y estructuras que han sido denominadas por la Comisión Denominadora de Estructuras y Vías Públicas conservarán los nombres que ya ostentan. Solo se podrán denominar estructuras y vías públicas en el futuro mediante Resolución Conjunta de la Asamblea Legislativa de Puerto Rico. Quedan excluidas de esta disposición las estructuras propiedad de la Universidad de Puerto Rico, que serán denominadas por el proceso que disponga la Universidad y en adelante no podrán ser denominadas por Resolución Conjunta de la Asamblea Legislativa de Puerto Rico.</w:t>
      </w:r>
    </w:p>
    <w:p w14:paraId="57DB5AC0" w14:textId="0A766D0A" w:rsidR="001735F8" w:rsidRPr="00903212" w:rsidRDefault="000C06FC" w:rsidP="003C18A8">
      <w:pPr>
        <w:spacing w:after="0" w:line="480" w:lineRule="auto"/>
        <w:ind w:firstLine="720"/>
        <w:jc w:val="both"/>
        <w:rPr>
          <w:rFonts w:ascii="Book Antiqua" w:eastAsia="Times New Roman" w:hAnsi="Book Antiqua" w:cs="Times New Roman"/>
          <w:sz w:val="24"/>
          <w:szCs w:val="24"/>
        </w:rPr>
      </w:pPr>
      <w:r w:rsidRPr="00903212">
        <w:rPr>
          <w:rFonts w:ascii="Book Antiqua" w:eastAsia="Times New Roman" w:hAnsi="Book Antiqua" w:cs="Times New Roman"/>
          <w:i/>
          <w:iCs/>
          <w:sz w:val="24"/>
          <w:szCs w:val="24"/>
        </w:rPr>
        <w:t xml:space="preserve">Toda vía pública, estructura o bien inmueble a la cual se le </w:t>
      </w:r>
      <w:r w:rsidR="00231EAC">
        <w:rPr>
          <w:rFonts w:ascii="Book Antiqua" w:eastAsia="Times New Roman" w:hAnsi="Book Antiqua" w:cs="Times New Roman"/>
          <w:i/>
          <w:iCs/>
          <w:sz w:val="24"/>
          <w:szCs w:val="24"/>
        </w:rPr>
        <w:t xml:space="preserve">haya denominado </w:t>
      </w:r>
      <w:r w:rsidRPr="00903212">
        <w:rPr>
          <w:rFonts w:ascii="Book Antiqua" w:eastAsia="Times New Roman" w:hAnsi="Book Antiqua" w:cs="Times New Roman"/>
          <w:i/>
          <w:iCs/>
          <w:sz w:val="24"/>
          <w:szCs w:val="24"/>
        </w:rPr>
        <w:t xml:space="preserve">con </w:t>
      </w:r>
      <w:r w:rsidR="004059CE">
        <w:rPr>
          <w:rFonts w:ascii="Book Antiqua" w:eastAsia="Times New Roman" w:hAnsi="Book Antiqua" w:cs="Times New Roman"/>
          <w:i/>
          <w:iCs/>
          <w:sz w:val="24"/>
          <w:szCs w:val="24"/>
        </w:rPr>
        <w:t xml:space="preserve">un </w:t>
      </w:r>
      <w:r w:rsidRPr="00903212">
        <w:rPr>
          <w:rFonts w:ascii="Book Antiqua" w:eastAsia="Times New Roman" w:hAnsi="Book Antiqua" w:cs="Times New Roman"/>
          <w:i/>
          <w:iCs/>
          <w:sz w:val="24"/>
          <w:szCs w:val="24"/>
        </w:rPr>
        <w:t xml:space="preserve">nombre </w:t>
      </w:r>
      <w:r w:rsidR="004059CE">
        <w:rPr>
          <w:rFonts w:ascii="Book Antiqua" w:eastAsia="Times New Roman" w:hAnsi="Book Antiqua" w:cs="Times New Roman"/>
          <w:i/>
          <w:iCs/>
          <w:sz w:val="24"/>
          <w:szCs w:val="24"/>
        </w:rPr>
        <w:t>en reconocimiento de</w:t>
      </w:r>
      <w:r w:rsidRPr="00903212">
        <w:rPr>
          <w:rFonts w:ascii="Book Antiqua" w:eastAsia="Times New Roman" w:hAnsi="Book Antiqua" w:cs="Times New Roman"/>
          <w:i/>
          <w:iCs/>
          <w:sz w:val="24"/>
          <w:szCs w:val="24"/>
        </w:rPr>
        <w:t xml:space="preserve"> a</w:t>
      </w:r>
      <w:r w:rsidR="00231EAC">
        <w:rPr>
          <w:rFonts w:ascii="Book Antiqua" w:eastAsia="Times New Roman" w:hAnsi="Book Antiqua" w:cs="Times New Roman"/>
          <w:i/>
          <w:iCs/>
          <w:sz w:val="24"/>
          <w:szCs w:val="24"/>
        </w:rPr>
        <w:t>lgún</w:t>
      </w:r>
      <w:r w:rsidR="003C4AB0" w:rsidRPr="00903212">
        <w:rPr>
          <w:rFonts w:ascii="Book Antiqua" w:eastAsia="Times New Roman" w:hAnsi="Book Antiqua" w:cs="Times New Roman"/>
          <w:i/>
          <w:iCs/>
          <w:sz w:val="24"/>
          <w:szCs w:val="24"/>
        </w:rPr>
        <w:t xml:space="preserve"> hombre</w:t>
      </w:r>
      <w:r w:rsidR="00231EAC">
        <w:rPr>
          <w:rFonts w:ascii="Book Antiqua" w:eastAsia="Times New Roman" w:hAnsi="Book Antiqua" w:cs="Times New Roman"/>
          <w:i/>
          <w:iCs/>
          <w:sz w:val="24"/>
          <w:szCs w:val="24"/>
        </w:rPr>
        <w:t xml:space="preserve"> o mujer</w:t>
      </w:r>
      <w:r w:rsidRPr="00903212">
        <w:rPr>
          <w:rFonts w:ascii="Book Antiqua" w:eastAsia="Times New Roman" w:hAnsi="Book Antiqua" w:cs="Times New Roman"/>
          <w:i/>
          <w:iCs/>
          <w:sz w:val="24"/>
          <w:szCs w:val="24"/>
        </w:rPr>
        <w:t xml:space="preserve"> </w:t>
      </w:r>
      <w:r w:rsidR="00601E9E" w:rsidRPr="00903212">
        <w:rPr>
          <w:rFonts w:ascii="Book Antiqua" w:eastAsia="Times New Roman" w:hAnsi="Book Antiqua" w:cs="Times New Roman"/>
          <w:i/>
          <w:iCs/>
          <w:sz w:val="24"/>
          <w:szCs w:val="24"/>
        </w:rPr>
        <w:t>por su gesta y aportación</w:t>
      </w:r>
      <w:r w:rsidR="00231EAC">
        <w:rPr>
          <w:rFonts w:ascii="Book Antiqua" w:eastAsia="Times New Roman" w:hAnsi="Book Antiqua" w:cs="Times New Roman"/>
          <w:i/>
          <w:iCs/>
          <w:sz w:val="24"/>
          <w:szCs w:val="24"/>
        </w:rPr>
        <w:t xml:space="preserve"> a</w:t>
      </w:r>
      <w:r w:rsidRPr="00903212">
        <w:rPr>
          <w:rFonts w:ascii="Book Antiqua" w:eastAsia="Times New Roman" w:hAnsi="Book Antiqua" w:cs="Times New Roman"/>
          <w:i/>
          <w:iCs/>
          <w:sz w:val="24"/>
          <w:szCs w:val="24"/>
        </w:rPr>
        <w:t xml:space="preserve"> Puerto Rico</w:t>
      </w:r>
      <w:r w:rsidR="00231EAC">
        <w:rPr>
          <w:rFonts w:ascii="Book Antiqua" w:eastAsia="Times New Roman" w:hAnsi="Book Antiqua" w:cs="Times New Roman"/>
          <w:i/>
          <w:iCs/>
          <w:sz w:val="24"/>
          <w:szCs w:val="24"/>
        </w:rPr>
        <w:t>, ya sea a través de esta Ley o por la Comisión Denominadora de Estructuras y Vías Públicas, no podrá ser eliminado</w:t>
      </w:r>
      <w:r w:rsidR="00D2487B">
        <w:rPr>
          <w:rFonts w:ascii="Book Antiqua" w:eastAsia="Times New Roman" w:hAnsi="Book Antiqua" w:cs="Times New Roman"/>
          <w:i/>
          <w:iCs/>
          <w:sz w:val="24"/>
          <w:szCs w:val="24"/>
        </w:rPr>
        <w:t>,</w:t>
      </w:r>
      <w:r w:rsidR="00231EAC">
        <w:rPr>
          <w:rFonts w:ascii="Book Antiqua" w:eastAsia="Times New Roman" w:hAnsi="Book Antiqua" w:cs="Times New Roman"/>
          <w:i/>
          <w:iCs/>
          <w:sz w:val="24"/>
          <w:szCs w:val="24"/>
        </w:rPr>
        <w:t xml:space="preserve"> cambiado</w:t>
      </w:r>
      <w:r w:rsidR="00D2487B">
        <w:rPr>
          <w:rFonts w:ascii="Book Antiqua" w:eastAsia="Times New Roman" w:hAnsi="Book Antiqua" w:cs="Times New Roman"/>
          <w:i/>
          <w:iCs/>
          <w:sz w:val="24"/>
          <w:szCs w:val="24"/>
        </w:rPr>
        <w:t xml:space="preserve"> o fragmentado</w:t>
      </w:r>
      <w:r w:rsidR="00231EAC">
        <w:rPr>
          <w:rFonts w:ascii="Book Antiqua" w:eastAsia="Times New Roman" w:hAnsi="Book Antiqua" w:cs="Times New Roman"/>
          <w:i/>
          <w:iCs/>
          <w:sz w:val="24"/>
          <w:szCs w:val="24"/>
        </w:rPr>
        <w:t xml:space="preserve"> por el nombre de otra persona, aunque ésta también tenga una contribución al País.</w:t>
      </w:r>
      <w:r w:rsidR="00E3527E">
        <w:rPr>
          <w:rFonts w:ascii="Book Antiqua" w:eastAsia="Times New Roman" w:hAnsi="Book Antiqua" w:cs="Times New Roman"/>
          <w:i/>
          <w:iCs/>
          <w:sz w:val="24"/>
          <w:szCs w:val="24"/>
        </w:rPr>
        <w:t xml:space="preserve"> Además, a partir de la aprobación de esta ley, no se </w:t>
      </w:r>
      <w:r w:rsidR="005E5A3B">
        <w:rPr>
          <w:rFonts w:ascii="Book Antiqua" w:eastAsia="Times New Roman" w:hAnsi="Book Antiqua" w:cs="Times New Roman"/>
          <w:i/>
          <w:iCs/>
          <w:sz w:val="24"/>
          <w:szCs w:val="24"/>
        </w:rPr>
        <w:t>fragmentarán</w:t>
      </w:r>
      <w:r w:rsidR="00E3527E">
        <w:rPr>
          <w:rFonts w:ascii="Book Antiqua" w:eastAsia="Times New Roman" w:hAnsi="Book Antiqua" w:cs="Times New Roman"/>
          <w:i/>
          <w:iCs/>
          <w:sz w:val="24"/>
          <w:szCs w:val="24"/>
        </w:rPr>
        <w:t xml:space="preserve"> los nombres en las carreteras y vías</w:t>
      </w:r>
      <w:r w:rsidR="005E5A3B">
        <w:rPr>
          <w:rFonts w:ascii="Book Antiqua" w:eastAsia="Times New Roman" w:hAnsi="Book Antiqua" w:cs="Times New Roman"/>
          <w:i/>
          <w:iCs/>
          <w:sz w:val="24"/>
          <w:szCs w:val="24"/>
        </w:rPr>
        <w:t xml:space="preserve"> en</w:t>
      </w:r>
      <w:r w:rsidR="00D97BA4">
        <w:rPr>
          <w:rFonts w:ascii="Book Antiqua" w:eastAsia="Times New Roman" w:hAnsi="Book Antiqua" w:cs="Times New Roman"/>
          <w:i/>
          <w:iCs/>
          <w:sz w:val="24"/>
          <w:szCs w:val="24"/>
        </w:rPr>
        <w:t xml:space="preserve"> la misma jurisdicción</w:t>
      </w:r>
      <w:r w:rsidR="005E5A3B">
        <w:rPr>
          <w:rFonts w:ascii="Book Antiqua" w:eastAsia="Times New Roman" w:hAnsi="Book Antiqua" w:cs="Times New Roman"/>
          <w:i/>
          <w:iCs/>
          <w:sz w:val="24"/>
          <w:szCs w:val="24"/>
        </w:rPr>
        <w:t xml:space="preserve"> municip</w:t>
      </w:r>
      <w:r w:rsidR="00D97BA4">
        <w:rPr>
          <w:rFonts w:ascii="Book Antiqua" w:eastAsia="Times New Roman" w:hAnsi="Book Antiqua" w:cs="Times New Roman"/>
          <w:i/>
          <w:iCs/>
          <w:sz w:val="24"/>
          <w:szCs w:val="24"/>
        </w:rPr>
        <w:t>al.</w:t>
      </w:r>
      <w:r w:rsidR="003C4AB0" w:rsidRPr="00903212">
        <w:rPr>
          <w:rFonts w:ascii="Book Antiqua" w:eastAsia="Times New Roman" w:hAnsi="Book Antiqua" w:cs="Times New Roman"/>
          <w:sz w:val="24"/>
          <w:szCs w:val="24"/>
        </w:rPr>
        <w:t>”</w:t>
      </w:r>
    </w:p>
    <w:p w14:paraId="77E9CF35" w14:textId="5E0EC12B" w:rsidR="00C75FA4" w:rsidRPr="00903212" w:rsidRDefault="004C782A" w:rsidP="003C18A8">
      <w:pPr>
        <w:spacing w:after="0" w:line="480" w:lineRule="auto"/>
        <w:ind w:firstLine="720"/>
        <w:jc w:val="both"/>
        <w:rPr>
          <w:rFonts w:ascii="Book Antiqua" w:eastAsia="Times New Roman" w:hAnsi="Book Antiqua" w:cs="Times New Roman"/>
          <w:sz w:val="24"/>
          <w:szCs w:val="24"/>
        </w:rPr>
      </w:pPr>
      <w:bookmarkStart w:id="0" w:name="_Hlk131079044"/>
      <w:r w:rsidRPr="00903212">
        <w:rPr>
          <w:rFonts w:ascii="Book Antiqua" w:eastAsia="Times New Roman" w:hAnsi="Book Antiqua" w:cs="Times New Roman"/>
          <w:sz w:val="24"/>
          <w:szCs w:val="24"/>
        </w:rPr>
        <w:t>Artículo</w:t>
      </w:r>
      <w:r w:rsidR="000C06FC" w:rsidRPr="00903212">
        <w:rPr>
          <w:rFonts w:ascii="Book Antiqua" w:eastAsia="Times New Roman" w:hAnsi="Book Antiqua" w:cs="Times New Roman"/>
          <w:sz w:val="24"/>
          <w:szCs w:val="24"/>
        </w:rPr>
        <w:t xml:space="preserve"> </w:t>
      </w:r>
      <w:r w:rsidR="00231EAC">
        <w:rPr>
          <w:rFonts w:ascii="Book Antiqua" w:eastAsia="Times New Roman" w:hAnsi="Book Antiqua" w:cs="Times New Roman"/>
          <w:sz w:val="24"/>
          <w:szCs w:val="24"/>
        </w:rPr>
        <w:t>2</w:t>
      </w:r>
      <w:r w:rsidR="000C06FC" w:rsidRPr="00903212">
        <w:rPr>
          <w:rFonts w:ascii="Book Antiqua" w:eastAsia="Times New Roman" w:hAnsi="Book Antiqua" w:cs="Times New Roman"/>
          <w:sz w:val="24"/>
          <w:szCs w:val="24"/>
        </w:rPr>
        <w:t xml:space="preserve">.- </w:t>
      </w:r>
      <w:r w:rsidR="00C75FA4" w:rsidRPr="00903212">
        <w:rPr>
          <w:rFonts w:ascii="Book Antiqua" w:eastAsia="Times New Roman" w:hAnsi="Book Antiqua" w:cs="Times New Roman"/>
          <w:sz w:val="24"/>
          <w:szCs w:val="24"/>
        </w:rPr>
        <w:t>Vigencia</w:t>
      </w:r>
    </w:p>
    <w:p w14:paraId="1B633454" w14:textId="32AB456F" w:rsidR="0072433F" w:rsidRPr="00903212" w:rsidRDefault="0072433F" w:rsidP="003C18A8">
      <w:pPr>
        <w:spacing w:after="0" w:line="480" w:lineRule="auto"/>
        <w:jc w:val="both"/>
        <w:rPr>
          <w:rFonts w:ascii="Book Antiqua" w:eastAsia="Times New Roman" w:hAnsi="Book Antiqua" w:cs="Times New Roman"/>
          <w:sz w:val="24"/>
          <w:szCs w:val="24"/>
          <w:lang w:val="es-ES_tradnl"/>
        </w:rPr>
      </w:pPr>
      <w:r w:rsidRPr="00903212">
        <w:rPr>
          <w:rFonts w:ascii="Book Antiqua" w:eastAsia="Times New Roman" w:hAnsi="Book Antiqua" w:cs="Times New Roman"/>
          <w:sz w:val="24"/>
          <w:szCs w:val="24"/>
          <w:lang w:val="es-ES_tradnl"/>
        </w:rPr>
        <w:t xml:space="preserve">Esta </w:t>
      </w:r>
      <w:r w:rsidR="000C06FC" w:rsidRPr="00903212">
        <w:rPr>
          <w:rFonts w:ascii="Book Antiqua" w:eastAsia="Times New Roman" w:hAnsi="Book Antiqua" w:cs="Times New Roman"/>
          <w:sz w:val="24"/>
          <w:szCs w:val="24"/>
          <w:lang w:val="es-ES_tradnl"/>
        </w:rPr>
        <w:t>Ley</w:t>
      </w:r>
      <w:r w:rsidRPr="00903212">
        <w:rPr>
          <w:rFonts w:ascii="Book Antiqua" w:eastAsia="Times New Roman" w:hAnsi="Book Antiqua" w:cs="Times New Roman"/>
          <w:sz w:val="24"/>
          <w:szCs w:val="24"/>
          <w:lang w:val="es-ES_tradnl"/>
        </w:rPr>
        <w:t xml:space="preserve"> comenzará a regir </w:t>
      </w:r>
      <w:r w:rsidR="00601E9E" w:rsidRPr="00903212">
        <w:rPr>
          <w:rFonts w:ascii="Book Antiqua" w:eastAsia="Times New Roman" w:hAnsi="Book Antiqua" w:cs="Times New Roman"/>
          <w:sz w:val="24"/>
          <w:szCs w:val="24"/>
          <w:lang w:val="es-ES_tradnl"/>
        </w:rPr>
        <w:t>inmediatamente luego de su aprobación</w:t>
      </w:r>
      <w:r w:rsidR="000C06FC" w:rsidRPr="00903212">
        <w:rPr>
          <w:rFonts w:ascii="Book Antiqua" w:eastAsia="Times New Roman" w:hAnsi="Book Antiqua" w:cs="Times New Roman"/>
          <w:sz w:val="24"/>
          <w:szCs w:val="24"/>
          <w:lang w:val="es-ES_tradnl"/>
        </w:rPr>
        <w:t>.</w:t>
      </w:r>
      <w:bookmarkEnd w:id="0"/>
    </w:p>
    <w:sectPr w:rsidR="0072433F" w:rsidRPr="00903212">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3795E" w14:textId="77777777" w:rsidR="00E033DD" w:rsidRDefault="00E033DD">
      <w:pPr>
        <w:spacing w:after="0" w:line="240" w:lineRule="auto"/>
      </w:pPr>
      <w:r>
        <w:separator/>
      </w:r>
    </w:p>
  </w:endnote>
  <w:endnote w:type="continuationSeparator" w:id="0">
    <w:p w14:paraId="5CAFC272" w14:textId="77777777" w:rsidR="00E033DD" w:rsidRDefault="00E033DD">
      <w:pPr>
        <w:spacing w:after="0" w:line="240" w:lineRule="auto"/>
      </w:pPr>
      <w:r>
        <w:continuationSeparator/>
      </w:r>
    </w:p>
  </w:endnote>
  <w:endnote w:type="continuationNotice" w:id="1">
    <w:p w14:paraId="2F86B34F" w14:textId="77777777" w:rsidR="00E033DD" w:rsidRDefault="00E033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B37C8" w14:textId="77777777" w:rsidR="00E033DD" w:rsidRDefault="00E033DD">
      <w:pPr>
        <w:spacing w:after="0" w:line="240" w:lineRule="auto"/>
      </w:pPr>
      <w:r>
        <w:separator/>
      </w:r>
    </w:p>
  </w:footnote>
  <w:footnote w:type="continuationSeparator" w:id="0">
    <w:p w14:paraId="50CDC2D4" w14:textId="77777777" w:rsidR="00E033DD" w:rsidRDefault="00E033DD">
      <w:pPr>
        <w:spacing w:after="0" w:line="240" w:lineRule="auto"/>
      </w:pPr>
      <w:r>
        <w:continuationSeparator/>
      </w:r>
    </w:p>
  </w:footnote>
  <w:footnote w:type="continuationNotice" w:id="1">
    <w:p w14:paraId="3264B24F" w14:textId="77777777" w:rsidR="00E033DD" w:rsidRDefault="00E033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FCB7B" w14:textId="77777777" w:rsidR="000E68EF" w:rsidRDefault="00E0355A">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657"/>
    <w:rsid w:val="00021D01"/>
    <w:rsid w:val="0006748C"/>
    <w:rsid w:val="00070DE4"/>
    <w:rsid w:val="000957CC"/>
    <w:rsid w:val="000C06FC"/>
    <w:rsid w:val="000D451A"/>
    <w:rsid w:val="000E479D"/>
    <w:rsid w:val="000E68EF"/>
    <w:rsid w:val="000F0DBE"/>
    <w:rsid w:val="000F21D8"/>
    <w:rsid w:val="0012196F"/>
    <w:rsid w:val="00133AAE"/>
    <w:rsid w:val="00147FAB"/>
    <w:rsid w:val="00163733"/>
    <w:rsid w:val="001735F8"/>
    <w:rsid w:val="00186586"/>
    <w:rsid w:val="001A2210"/>
    <w:rsid w:val="001A4DF0"/>
    <w:rsid w:val="001C717E"/>
    <w:rsid w:val="00213137"/>
    <w:rsid w:val="00227F19"/>
    <w:rsid w:val="00231EAC"/>
    <w:rsid w:val="00234087"/>
    <w:rsid w:val="00260D7C"/>
    <w:rsid w:val="00275684"/>
    <w:rsid w:val="0028541C"/>
    <w:rsid w:val="002D535B"/>
    <w:rsid w:val="003739C5"/>
    <w:rsid w:val="003905B8"/>
    <w:rsid w:val="003930E1"/>
    <w:rsid w:val="003A4FD8"/>
    <w:rsid w:val="003C18A8"/>
    <w:rsid w:val="003C4AB0"/>
    <w:rsid w:val="003E0485"/>
    <w:rsid w:val="003F2FC2"/>
    <w:rsid w:val="004059CE"/>
    <w:rsid w:val="004303A1"/>
    <w:rsid w:val="00441466"/>
    <w:rsid w:val="004511E2"/>
    <w:rsid w:val="004514E2"/>
    <w:rsid w:val="00456FF2"/>
    <w:rsid w:val="00471837"/>
    <w:rsid w:val="00474508"/>
    <w:rsid w:val="004A29CC"/>
    <w:rsid w:val="004A4D43"/>
    <w:rsid w:val="004A55FD"/>
    <w:rsid w:val="004C782A"/>
    <w:rsid w:val="004E20EF"/>
    <w:rsid w:val="004E6624"/>
    <w:rsid w:val="0050451E"/>
    <w:rsid w:val="00516C39"/>
    <w:rsid w:val="00526FD1"/>
    <w:rsid w:val="00532D26"/>
    <w:rsid w:val="00535604"/>
    <w:rsid w:val="00564D3E"/>
    <w:rsid w:val="00577105"/>
    <w:rsid w:val="0058418B"/>
    <w:rsid w:val="00596255"/>
    <w:rsid w:val="005B5019"/>
    <w:rsid w:val="005C5BDE"/>
    <w:rsid w:val="005E5A3B"/>
    <w:rsid w:val="00601E9E"/>
    <w:rsid w:val="00615F5D"/>
    <w:rsid w:val="00633A84"/>
    <w:rsid w:val="00691C2F"/>
    <w:rsid w:val="006967D8"/>
    <w:rsid w:val="0072433F"/>
    <w:rsid w:val="007324C8"/>
    <w:rsid w:val="00744698"/>
    <w:rsid w:val="007655B0"/>
    <w:rsid w:val="00782657"/>
    <w:rsid w:val="00782ABE"/>
    <w:rsid w:val="007B0BE4"/>
    <w:rsid w:val="007C058E"/>
    <w:rsid w:val="007C3F78"/>
    <w:rsid w:val="00843985"/>
    <w:rsid w:val="008959A4"/>
    <w:rsid w:val="00901EEA"/>
    <w:rsid w:val="00903212"/>
    <w:rsid w:val="00916118"/>
    <w:rsid w:val="00917511"/>
    <w:rsid w:val="00930FAB"/>
    <w:rsid w:val="0095784E"/>
    <w:rsid w:val="009640CF"/>
    <w:rsid w:val="00997FA2"/>
    <w:rsid w:val="009F37A4"/>
    <w:rsid w:val="009F4300"/>
    <w:rsid w:val="00A17343"/>
    <w:rsid w:val="00A243D5"/>
    <w:rsid w:val="00A37EA0"/>
    <w:rsid w:val="00AC6353"/>
    <w:rsid w:val="00AC6A7C"/>
    <w:rsid w:val="00AD44E8"/>
    <w:rsid w:val="00AE28E5"/>
    <w:rsid w:val="00AF5FB1"/>
    <w:rsid w:val="00B24EF8"/>
    <w:rsid w:val="00B27587"/>
    <w:rsid w:val="00BA4909"/>
    <w:rsid w:val="00BD3E1C"/>
    <w:rsid w:val="00BD41EF"/>
    <w:rsid w:val="00BD7BDE"/>
    <w:rsid w:val="00C127F7"/>
    <w:rsid w:val="00C30DB5"/>
    <w:rsid w:val="00C613FA"/>
    <w:rsid w:val="00C75FA4"/>
    <w:rsid w:val="00C83FFA"/>
    <w:rsid w:val="00C93C1E"/>
    <w:rsid w:val="00CA0008"/>
    <w:rsid w:val="00CA765A"/>
    <w:rsid w:val="00CF6527"/>
    <w:rsid w:val="00D2487B"/>
    <w:rsid w:val="00D51A3B"/>
    <w:rsid w:val="00D60CFB"/>
    <w:rsid w:val="00D901F4"/>
    <w:rsid w:val="00D97BA4"/>
    <w:rsid w:val="00DA689A"/>
    <w:rsid w:val="00DA7A98"/>
    <w:rsid w:val="00DD0DB4"/>
    <w:rsid w:val="00DE36BF"/>
    <w:rsid w:val="00E021A6"/>
    <w:rsid w:val="00E033DD"/>
    <w:rsid w:val="00E0355A"/>
    <w:rsid w:val="00E14657"/>
    <w:rsid w:val="00E2621E"/>
    <w:rsid w:val="00E3527E"/>
    <w:rsid w:val="00E4560B"/>
    <w:rsid w:val="00E46D47"/>
    <w:rsid w:val="00E655F7"/>
    <w:rsid w:val="00E71CA5"/>
    <w:rsid w:val="00E81711"/>
    <w:rsid w:val="00E944C6"/>
    <w:rsid w:val="00E9533F"/>
    <w:rsid w:val="00EB7F43"/>
    <w:rsid w:val="00EC373E"/>
    <w:rsid w:val="00EC39F4"/>
    <w:rsid w:val="00EC40FA"/>
    <w:rsid w:val="00EF00B3"/>
    <w:rsid w:val="00F07E94"/>
    <w:rsid w:val="00F46A29"/>
    <w:rsid w:val="00F549F1"/>
    <w:rsid w:val="00F618B5"/>
    <w:rsid w:val="00F65D74"/>
    <w:rsid w:val="00F70F6D"/>
    <w:rsid w:val="00F74D3A"/>
    <w:rsid w:val="00FC531A"/>
    <w:rsid w:val="00FF4DCC"/>
    <w:rsid w:val="00FF5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79096"/>
  <w15:chartTrackingRefBased/>
  <w15:docId w15:val="{8BE6568E-6C6C-45EB-85D4-1F2AC5CF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78265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782657"/>
    <w:rPr>
      <w:lang w:val="es-PR"/>
    </w:rPr>
  </w:style>
  <w:style w:type="character" w:styleId="Nmerodepgina">
    <w:name w:val="page number"/>
    <w:basedOn w:val="Fuentedeprrafopredeter"/>
    <w:rsid w:val="00782657"/>
  </w:style>
  <w:style w:type="character" w:styleId="Nmerodelnea">
    <w:name w:val="line number"/>
    <w:basedOn w:val="Fuentedeprrafopredeter"/>
    <w:uiPriority w:val="99"/>
    <w:semiHidden/>
    <w:unhideWhenUsed/>
    <w:rsid w:val="00782657"/>
  </w:style>
  <w:style w:type="character" w:styleId="Hipervnculo">
    <w:name w:val="Hyperlink"/>
    <w:basedOn w:val="Fuentedeprrafopredeter"/>
    <w:uiPriority w:val="99"/>
    <w:unhideWhenUsed/>
    <w:rsid w:val="008959A4"/>
    <w:rPr>
      <w:color w:val="0563C1" w:themeColor="hyperlink"/>
      <w:u w:val="single"/>
    </w:rPr>
  </w:style>
  <w:style w:type="character" w:styleId="Mencinsinresolver">
    <w:name w:val="Unresolved Mention"/>
    <w:basedOn w:val="Fuentedeprrafopredeter"/>
    <w:uiPriority w:val="99"/>
    <w:semiHidden/>
    <w:unhideWhenUsed/>
    <w:rsid w:val="008959A4"/>
    <w:rPr>
      <w:color w:val="605E5C"/>
      <w:shd w:val="clear" w:color="auto" w:fill="E1DFDD"/>
    </w:rPr>
  </w:style>
  <w:style w:type="paragraph" w:styleId="Piedepgina">
    <w:name w:val="footer"/>
    <w:basedOn w:val="Normal"/>
    <w:link w:val="PiedepginaCar"/>
    <w:uiPriority w:val="99"/>
    <w:semiHidden/>
    <w:unhideWhenUsed/>
    <w:rsid w:val="001A4DF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rsid w:val="001A4DF0"/>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96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4SQX5P7U7WPY-958212181-790267</_dlc_DocId>
    <_dlc_DocIdUrl xmlns="c890fddd-4e87-4e08-8b51-545f2a3f7b06">
      <Url>https://senpr.sharepoint.com/sites/obralegislativa/_layouts/15/DocIdRedir.aspx?ID=4SQX5P7U7WPY-958212181-790267</Url>
      <Description>4SQX5P7U7WPY-958212181-790267</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8E3765-1AA4-4076-870A-7ECE5B5A5021}">
  <ds:schemaRefs>
    <ds:schemaRef ds:uri="http://schemas.microsoft.com/sharepoint/events"/>
  </ds:schemaRefs>
</ds:datastoreItem>
</file>

<file path=customXml/itemProps2.xml><?xml version="1.0" encoding="utf-8"?>
<ds:datastoreItem xmlns:ds="http://schemas.openxmlformats.org/officeDocument/2006/customXml" ds:itemID="{93A9BB5C-CC49-411C-A9AC-93E519BF3CAE}">
  <ds:schemaRefs>
    <ds:schemaRef ds:uri="http://schemas.microsoft.com/sharepoint/v3/contenttype/forms"/>
  </ds:schemaRefs>
</ds:datastoreItem>
</file>

<file path=customXml/itemProps3.xml><?xml version="1.0" encoding="utf-8"?>
<ds:datastoreItem xmlns:ds="http://schemas.openxmlformats.org/officeDocument/2006/customXml" ds:itemID="{0EB53E55-AC5D-48A4-A370-49BFF3CFFF0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C1B6B6DB-06F5-412A-8BA5-0CA776498F7A}">
  <ds:schemaRefs>
    <ds:schemaRef ds:uri="http://schemas.openxmlformats.org/officeDocument/2006/bibliography"/>
  </ds:schemaRefs>
</ds:datastoreItem>
</file>

<file path=customXml/itemProps5.xml><?xml version="1.0" encoding="utf-8"?>
<ds:datastoreItem xmlns:ds="http://schemas.openxmlformats.org/officeDocument/2006/customXml" ds:itemID="{23BC4AA8-1BF6-47AB-B1F1-37540BD61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977</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Roneil Louzau Pastrana</dc:creator>
  <cp:keywords/>
  <dc:description/>
  <cp:lastModifiedBy>Rocío Alayón Morell</cp:lastModifiedBy>
  <cp:revision>3</cp:revision>
  <cp:lastPrinted>2026-05-11T17:30:00Z</cp:lastPrinted>
  <dcterms:created xsi:type="dcterms:W3CDTF">2026-05-11T18:40:00Z</dcterms:created>
  <dcterms:modified xsi:type="dcterms:W3CDTF">2026-05-12T13:54:00Z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3d9084d5-079a-4535-943b-9758754de507</vt:lpwstr>
  </property>
  <property fmtid="{D5CDD505-2E9C-101B-9397-08002B2CF9AE}" pid="4" name="MediaServiceImageTags">
    <vt:lpwstr/>
  </property>
</Properties>
</file>