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C36F996" w:rsidR="00860066" w:rsidRPr="00B70EAE" w:rsidRDefault="00B70EAE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  <w:lang w:val="it-IT"/>
        </w:rPr>
      </w:pPr>
      <w:r w:rsidRPr="00B70EAE">
        <w:rPr>
          <w:rFonts w:ascii="Book Antiqua" w:hAnsi="Book Antiqua"/>
          <w:color w:val="000000"/>
          <w:lang w:val="it-IT"/>
        </w:rPr>
        <w:t>20ma.</w:t>
      </w:r>
      <w:r w:rsidR="00860066" w:rsidRPr="00B70EAE">
        <w:rPr>
          <w:rFonts w:ascii="Book Antiqua" w:hAnsi="Book Antiqua"/>
          <w:lang w:val="it-IT"/>
        </w:rPr>
        <w:tab/>
      </w:r>
      <w:r w:rsidR="00860066" w:rsidRPr="00B70EAE">
        <w:rPr>
          <w:rFonts w:ascii="Book Antiqua" w:hAnsi="Book Antiqua"/>
          <w:color w:val="000000"/>
          <w:lang w:val="it-IT"/>
        </w:rPr>
        <w:t>Asamblea</w:t>
      </w:r>
      <w:r w:rsidR="00860066" w:rsidRPr="00B70EAE">
        <w:rPr>
          <w:rFonts w:ascii="Book Antiqua" w:hAnsi="Book Antiqua"/>
          <w:lang w:val="it-IT"/>
        </w:rPr>
        <w:tab/>
      </w:r>
      <w:r w:rsidRPr="00B70EAE">
        <w:rPr>
          <w:rFonts w:ascii="Book Antiqua" w:hAnsi="Book Antiqua"/>
          <w:lang w:val="it-IT"/>
        </w:rPr>
        <w:t xml:space="preserve">     </w:t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</w:t>
      </w:r>
      <w:r w:rsidRPr="00B70EAE">
        <w:rPr>
          <w:rFonts w:ascii="Book Antiqua" w:hAnsi="Book Antiqua"/>
          <w:color w:val="000000"/>
          <w:lang w:val="it-IT"/>
        </w:rPr>
        <w:t>3r</w:t>
      </w:r>
      <w:r>
        <w:rPr>
          <w:rFonts w:ascii="Book Antiqua" w:hAnsi="Book Antiqua"/>
          <w:color w:val="000000"/>
          <w:lang w:val="it-IT"/>
        </w:rPr>
        <w:t>a.</w:t>
      </w:r>
      <w:r w:rsidRPr="00B70EAE">
        <w:rPr>
          <w:rFonts w:ascii="Book Antiqua" w:hAnsi="Book Antiqua"/>
          <w:color w:val="000000"/>
          <w:lang w:val="it-IT"/>
        </w:rPr>
        <w:t xml:space="preserve"> </w:t>
      </w:r>
      <w:r w:rsidR="00860066" w:rsidRPr="00B70EAE">
        <w:rPr>
          <w:rFonts w:ascii="Book Antiqua" w:hAnsi="Book Antiqua"/>
          <w:color w:val="000000"/>
          <w:lang w:val="it-IT"/>
        </w:rPr>
        <w:t>Sesión</w:t>
      </w:r>
    </w:p>
    <w:p w14:paraId="2DE8C111" w14:textId="71A90CCC" w:rsidR="00860066" w:rsidRPr="00B70EAE" w:rsidRDefault="00860066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  <w:lang w:val="it-IT"/>
        </w:rPr>
      </w:pPr>
      <w:r w:rsidRPr="00B70EAE">
        <w:rPr>
          <w:rFonts w:ascii="Book Antiqua" w:hAnsi="Book Antiqua"/>
          <w:lang w:val="it-IT"/>
        </w:rPr>
        <w:tab/>
      </w:r>
      <w:r w:rsidRPr="00B70EAE">
        <w:rPr>
          <w:rFonts w:ascii="Book Antiqua" w:hAnsi="Book Antiqua"/>
          <w:color w:val="000000"/>
          <w:lang w:val="it-IT"/>
        </w:rPr>
        <w:t>Legislativa</w:t>
      </w:r>
      <w:r w:rsidRPr="00B70EAE">
        <w:rPr>
          <w:rFonts w:ascii="Book Antiqua" w:hAnsi="Book Antiqua"/>
          <w:lang w:val="it-IT"/>
        </w:rPr>
        <w:tab/>
      </w:r>
      <w:r w:rsidRPr="00B70EAE">
        <w:rPr>
          <w:rFonts w:ascii="Book Antiqua" w:hAnsi="Book Antiqua"/>
          <w:lang w:val="it-IT"/>
        </w:rPr>
        <w:tab/>
      </w:r>
      <w:r w:rsidR="00B70EAE" w:rsidRPr="00B70EAE">
        <w:rPr>
          <w:rFonts w:ascii="Book Antiqua" w:hAnsi="Book Antiqua"/>
          <w:lang w:val="it-IT"/>
        </w:rPr>
        <w:t xml:space="preserve">       </w:t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</w:r>
      <w:r w:rsidR="00B70EAE">
        <w:rPr>
          <w:rFonts w:ascii="Book Antiqua" w:hAnsi="Book Antiqua"/>
          <w:lang w:val="it-IT"/>
        </w:rPr>
        <w:tab/>
        <w:t xml:space="preserve">      </w:t>
      </w:r>
      <w:r w:rsidRPr="00B70EAE">
        <w:rPr>
          <w:rFonts w:ascii="Book Antiqua" w:hAnsi="Book Antiqua"/>
          <w:color w:val="000000"/>
          <w:lang w:val="it-IT"/>
        </w:rPr>
        <w:t>Ordinaria</w:t>
      </w:r>
    </w:p>
    <w:p w14:paraId="43AEBDE5" w14:textId="77777777" w:rsidR="000223B7" w:rsidRPr="00B70EAE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AF0B21C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707F45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1268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0418F345" w:rsidR="00860066" w:rsidRPr="00322E9A" w:rsidRDefault="003E4A82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 </w:t>
      </w:r>
      <w:r w:rsidR="00707F45">
        <w:rPr>
          <w:rFonts w:ascii="Book Antiqua" w:hAnsi="Book Antiqua"/>
          <w:color w:val="000000"/>
          <w:lang w:val="es-PR"/>
        </w:rPr>
        <w:t xml:space="preserve">11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YO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439D9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620BBD60" w:rsidR="00860066" w:rsidRPr="00322E9A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los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F51C1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Méndez Núñez y T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3C632A01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77774D">
        <w:rPr>
          <w:rFonts w:ascii="Book Antiqua" w:hAnsi="Book Antiqua"/>
          <w:sz w:val="24"/>
          <w:lang w:val="es-PR"/>
        </w:rPr>
        <w:t>la Comisión de Seguridad Pública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151FF33A" w:rsidR="00846767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97F31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>
        <w:rPr>
          <w:rFonts w:ascii="Book Antiqua" w:hAnsi="Book Antiqua"/>
          <w:sz w:val="24"/>
          <w:szCs w:val="24"/>
          <w:lang w:val="es-PR"/>
        </w:rPr>
        <w:t>enmendar el inciso (i) del Artículo 5 de la Ley Núm. 206-20</w:t>
      </w:r>
      <w:r w:rsidR="00FA2DA7">
        <w:rPr>
          <w:rFonts w:ascii="Book Antiqua" w:hAnsi="Book Antiqua"/>
          <w:sz w:val="24"/>
          <w:szCs w:val="24"/>
          <w:lang w:val="es-PR"/>
        </w:rPr>
        <w:t>0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 xml:space="preserve">“Ley </w:t>
      </w:r>
      <w:r w:rsidR="00D52AB5">
        <w:rPr>
          <w:rFonts w:ascii="Book Antiqua" w:hAnsi="Book Antiqua"/>
          <w:sz w:val="24"/>
          <w:szCs w:val="24"/>
          <w:lang w:val="es-ES_tradnl"/>
        </w:rPr>
        <w:t>d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>el Instituto de Capacitación y Desarrollo</w:t>
      </w:r>
      <w:r w:rsidR="003B2AE1" w:rsidRPr="003B2AE1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3B2AE1">
        <w:rPr>
          <w:rFonts w:ascii="Book Antiqua" w:hAnsi="Book Antiqua"/>
          <w:sz w:val="24"/>
          <w:szCs w:val="24"/>
          <w:lang w:val="es-PR"/>
        </w:rPr>
        <w:t>del Pensamiento Jurídico del Departamento de Justicia”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,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con el fin de implementar la coordinación entre la Academia </w:t>
      </w:r>
      <w:r w:rsidR="0089181C">
        <w:rPr>
          <w:rFonts w:ascii="Book Antiqua" w:hAnsi="Book Antiqua"/>
          <w:sz w:val="24"/>
          <w:szCs w:val="24"/>
          <w:lang w:val="es-PR"/>
        </w:rPr>
        <w:t>del Ministerio Público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55A8E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0" w:name="_Hlk191301145"/>
      <w:r w:rsidR="003B2AE1" w:rsidRPr="00E55A8E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55A8E">
        <w:rPr>
          <w:rFonts w:ascii="Book Antiqua" w:hAnsi="Book Antiqua"/>
          <w:sz w:val="24"/>
          <w:szCs w:val="24"/>
          <w:lang w:val="es-PR"/>
        </w:rPr>
        <w:t>s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1" w:name="_Hlk191987003"/>
      <w:r w:rsidR="00C63133" w:rsidRPr="00C63133">
        <w:rPr>
          <w:rFonts w:ascii="Book Antiqua" w:hAnsi="Book Antiqua"/>
          <w:sz w:val="24"/>
          <w:szCs w:val="24"/>
          <w:lang w:val="es-PR"/>
        </w:rPr>
        <w:t>masacres, asesinatos por acecho</w:t>
      </w:r>
      <w:r w:rsidR="00C63133">
        <w:rPr>
          <w:rFonts w:ascii="Book Antiqua" w:hAnsi="Book Antiqua"/>
          <w:sz w:val="24"/>
          <w:szCs w:val="24"/>
          <w:lang w:val="es-PR"/>
        </w:rPr>
        <w:t>,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intrafamiliares, contra adultos mayores, que involucren menores de edad, así como aquellos productos de la incesante espiral de violencia doméstica</w:t>
      </w:r>
      <w:bookmarkEnd w:id="0"/>
      <w:r w:rsidR="00C63133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1"/>
      <w:r w:rsidR="00C63133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322E9A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D52AB5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b/>
          <w:sz w:val="24"/>
          <w:szCs w:val="24"/>
          <w:lang w:val="es-PR"/>
        </w:rPr>
      </w:pPr>
    </w:p>
    <w:p w14:paraId="5F191665" w14:textId="77777777" w:rsidR="00425D80" w:rsidRPr="0077774D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77774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5A75BBAC" w:rsidR="00B25754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>Ley Núm.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que </w:t>
      </w:r>
      <w:r w:rsidR="00C23E77">
        <w:rPr>
          <w:rFonts w:ascii="Book Antiqua" w:hAnsi="Book Antiqua"/>
          <w:sz w:val="24"/>
          <w:szCs w:val="24"/>
          <w:lang w:val="es-PR" w:eastAsia="es-PR"/>
        </w:rPr>
        <w:t>harán posible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>. Ello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con el fin de 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participaran de este programa tuviesen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aprendizaje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no 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del País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7F898DB3" w:rsidR="003413E1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Puerto Rico 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crímenes, entre ellos y los más </w:t>
      </w:r>
      <w:r w:rsidR="001F2D72">
        <w:rPr>
          <w:rFonts w:ascii="Book Antiqua" w:hAnsi="Book Antiqua"/>
          <w:sz w:val="24"/>
          <w:szCs w:val="24"/>
          <w:lang w:val="es-PR" w:eastAsia="es-PR"/>
        </w:rPr>
        <w:t>lesivos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bookmarkStart w:id="2" w:name="_Hlk191986898"/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masacres, asesinatos por acecho,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crímenes violentos, </w:t>
      </w:r>
      <w:r w:rsidR="001F2D72">
        <w:rPr>
          <w:rFonts w:ascii="Book Antiqua" w:hAnsi="Book Antiqua"/>
          <w:sz w:val="24"/>
          <w:szCs w:val="24"/>
          <w:lang w:val="es-PR" w:eastAsia="es-PR"/>
        </w:rPr>
        <w:t>intrafamiliares, contra adultos mayores, que involucren menores de edad, así como aquellos productos de la incesante espiral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de violencia doméstica</w:t>
      </w:r>
      <w:bookmarkEnd w:id="2"/>
      <w:r w:rsidR="00D52AB5">
        <w:rPr>
          <w:rFonts w:ascii="Book Antiqua" w:hAnsi="Book Antiqua"/>
          <w:sz w:val="24"/>
          <w:szCs w:val="24"/>
          <w:lang w:val="es-PR" w:eastAsia="es-PR"/>
        </w:rPr>
        <w:t xml:space="preserve"> que nos afecta</w:t>
      </w:r>
      <w:r w:rsidR="00634A81">
        <w:rPr>
          <w:rFonts w:ascii="Book Antiqua" w:hAnsi="Book Antiqua"/>
          <w:sz w:val="24"/>
          <w:szCs w:val="24"/>
          <w:lang w:val="es-PR" w:eastAsia="es-PR"/>
        </w:rPr>
        <w:t>.</w:t>
      </w:r>
      <w:r w:rsidR="00576DD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sin limitarse, a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48CB7992" w:rsidR="003413E1" w:rsidRDefault="0089181C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L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a Policía de Puerto Rico</w:t>
      </w:r>
      <w:r w:rsidR="003413E1">
        <w:rPr>
          <w:rFonts w:ascii="Book Antiqua" w:hAnsi="Book Antiqua"/>
          <w:sz w:val="24"/>
          <w:szCs w:val="24"/>
          <w:lang w:val="es-PR" w:eastAsia="es-PR"/>
        </w:rPr>
        <w:t>,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desarrolló varios reportes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dinámicos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y accesible</w:t>
      </w:r>
      <w:r w:rsidR="003413E1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ública de Puerto Rico y 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de utilidad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para la toma de decisiones por parte de las autoridades competentes y la comunidad.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temas como </w:t>
      </w:r>
      <w:r w:rsidR="003823F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u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so de </w:t>
      </w:r>
      <w:r w:rsidR="00EB1911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uerza,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q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uerellas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Refdenotaalpi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42D45186" w:rsidR="004B3FC8" w:rsidRPr="004A7C3E" w:rsidRDefault="004A7C3E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>
        <w:rPr>
          <w:rFonts w:ascii="Book Antiqua" w:hAnsi="Book Antiqua"/>
          <w:sz w:val="24"/>
          <w:szCs w:val="24"/>
          <w:lang w:val="es-PR" w:eastAsia="es-PR"/>
        </w:rPr>
        <w:t>el portal oficial de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 la Policía</w:t>
      </w:r>
      <w:r>
        <w:rPr>
          <w:rFonts w:ascii="Book Antiqua" w:hAnsi="Book Antiqua"/>
          <w:sz w:val="24"/>
          <w:szCs w:val="24"/>
          <w:lang w:val="es-PR" w:eastAsia="es-PR"/>
        </w:rPr>
        <w:t>, para el a</w:t>
      </w:r>
      <w:r>
        <w:rPr>
          <w:rFonts w:ascii="Sylfaen" w:hAnsi="Sylfaen"/>
          <w:sz w:val="24"/>
          <w:szCs w:val="24"/>
          <w:lang w:val="es-PR" w:eastAsia="es-PR"/>
        </w:rPr>
        <w:t xml:space="preserve">ño </w:t>
      </w:r>
      <w:r w:rsidRPr="004A7C3E">
        <w:rPr>
          <w:rFonts w:ascii="Book Antiqua" w:hAnsi="Book Antiqua"/>
          <w:sz w:val="24"/>
          <w:szCs w:val="24"/>
          <w:lang w:val="es-PR" w:eastAsia="es-PR"/>
        </w:rPr>
        <w:t>2024 hubo</w:t>
      </w:r>
      <w:r>
        <w:rPr>
          <w:rFonts w:ascii="Sylfaen" w:hAnsi="Sylfaen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>21,506 delitos, resultando en 2,632 más que para el año 2023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y 3,933 más que </w:t>
      </w:r>
      <w:r w:rsidR="009F0962" w:rsidRPr="009F0962">
        <w:rPr>
          <w:rFonts w:ascii="Book Antiqua" w:hAnsi="Book Antiqua"/>
          <w:sz w:val="24"/>
          <w:szCs w:val="24"/>
          <w:lang w:val="es-PR" w:eastAsia="es-PR"/>
        </w:rPr>
        <w:t>el año 2022</w:t>
      </w:r>
      <w:r w:rsidR="009F0962">
        <w:rPr>
          <w:rFonts w:ascii="Book Antiqua" w:hAnsi="Book Antiqua"/>
          <w:sz w:val="24"/>
          <w:szCs w:val="24"/>
          <w:lang w:val="es-PR" w:eastAsia="es-PR"/>
        </w:rPr>
        <w:t>.</w:t>
      </w:r>
      <w:r w:rsidR="009F0962">
        <w:rPr>
          <w:rStyle w:val="Refdenotaalpi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violentos, crímenes de odio y casos de violencia doméstica.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>
        <w:rPr>
          <w:rFonts w:ascii="Book Antiqua" w:hAnsi="Book Antiqua"/>
          <w:sz w:val="24"/>
          <w:szCs w:val="24"/>
          <w:lang w:val="es-PR" w:eastAsia="es-PR"/>
        </w:rPr>
        <w:t>rese</w:t>
      </w:r>
      <w:r w:rsidR="008B4EF2">
        <w:rPr>
          <w:rFonts w:ascii="Times New Roman" w:hAnsi="Times New Roman"/>
          <w:sz w:val="24"/>
          <w:szCs w:val="24"/>
          <w:lang w:val="es-PR" w:eastAsia="es-PR"/>
        </w:rPr>
        <w:t xml:space="preserve">ñado por los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medios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seguridad. A su vez, haciendo necesario </w:t>
      </w:r>
      <w:r w:rsidR="00343D4E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interagencial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5AD13AF6" w:rsidR="00846767" w:rsidRDefault="003413E1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 xml:space="preserve">crímenes y otras temáticas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11649">
        <w:rPr>
          <w:rFonts w:ascii="Book Antiqua" w:hAnsi="Book Antiqua"/>
          <w:sz w:val="24"/>
          <w:szCs w:val="24"/>
          <w:lang w:val="es-PR" w:eastAsia="es-PR"/>
        </w:rPr>
        <w:t>Puerto Rico</w:t>
      </w:r>
      <w:r w:rsidR="00EB1911">
        <w:rPr>
          <w:rFonts w:ascii="Book Antiqua" w:hAnsi="Book Antiqua"/>
          <w:sz w:val="24"/>
          <w:szCs w:val="24"/>
          <w:lang w:val="es-PR" w:eastAsia="es-PR"/>
        </w:rPr>
        <w:t>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>, (PRVDRS, por sus siglas en inglés), afiliado al Instituto</w:t>
      </w:r>
      <w:r w:rsidR="00D52AB5">
        <w:rPr>
          <w:rFonts w:ascii="Book Antiqua" w:hAnsi="Book Antiqua"/>
          <w:sz w:val="24"/>
          <w:szCs w:val="24"/>
          <w:lang w:val="es-PR" w:eastAsia="es-PR"/>
        </w:rPr>
        <w:t>,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se realiza mediante un acuerdo de colaboración con el Instituto de Ciencias Forenses,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Refdenotaalpi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la tasa de homicidio promedio a nivel mundial en el 2022 fue de 5.6 por 100,000 habitantes; mientras que el promedio en América Latina y el Caribe fue de 19.6 por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100,000 habitantes. Asimismo, sitúa a Puerto Rico con una tasa de 17.6, ubicado en </w:t>
      </w:r>
      <w:r w:rsidR="004B3FC8" w:rsidRPr="00D52AB5">
        <w:rPr>
          <w:rFonts w:ascii="Book Antiqua" w:hAnsi="Book Antiqua"/>
          <w:sz w:val="24"/>
          <w:szCs w:val="24"/>
          <w:lang w:val="es-PR" w:eastAsia="es-PR"/>
        </w:rPr>
        <w:t>décimo sexto lugar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 entre 34 países de la región con datos disponibles.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72676E94" w:rsidR="00846767" w:rsidRPr="00BB40A3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D52AB5">
        <w:rPr>
          <w:rFonts w:ascii="Book Antiqua" w:hAnsi="Book Antiqua"/>
          <w:sz w:val="24"/>
          <w:szCs w:val="24"/>
          <w:lang w:val="es-PR" w:eastAsia="es-PR"/>
        </w:rPr>
        <w:t>,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En ese sentido, </w:t>
      </w:r>
      <w:r w:rsidR="006C474D">
        <w:rPr>
          <w:rFonts w:ascii="Book Antiqua" w:hAnsi="Book Antiqua"/>
          <w:sz w:val="24"/>
          <w:szCs w:val="24"/>
          <w:lang w:val="es-PR" w:eastAsia="es-PR"/>
        </w:rPr>
        <w:t>es nuestro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>ineludibl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dirigir esfuerzos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 concretos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iendo 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 y defensor 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4BECE8F8" w:rsidR="00846767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 por tal razón</w:t>
      </w:r>
      <w:r w:rsidR="00D52AB5">
        <w:rPr>
          <w:rFonts w:ascii="Book Antiqua" w:hAnsi="Book Antiqua"/>
          <w:sz w:val="24"/>
          <w:szCs w:val="24"/>
          <w:lang w:val="es-PR" w:eastAsia="es-PR"/>
        </w:rPr>
        <w:t>,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 que resulta necesari</w:t>
      </w:r>
      <w:r w:rsidR="00F06A4E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D52AB5">
        <w:rPr>
          <w:rFonts w:ascii="Book Antiqua" w:hAnsi="Book Antiqua"/>
          <w:sz w:val="24"/>
          <w:szCs w:val="24"/>
          <w:lang w:val="es-PR" w:eastAsia="es-PR"/>
        </w:rPr>
        <w:t xml:space="preserve"> Legislativa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, adaptar este estatuto 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de manera expresa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a la realidad social que vivimos,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un énfasis particular en 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el </w:t>
      </w:r>
      <w:r w:rsidR="00F06A4E">
        <w:rPr>
          <w:rFonts w:ascii="Book Antiqua" w:hAnsi="Book Antiqua"/>
          <w:sz w:val="24"/>
          <w:szCs w:val="24"/>
          <w:lang w:val="es-PR" w:eastAsia="es-PR"/>
        </w:rPr>
        <w:t>manejo de escena</w:t>
      </w:r>
      <w:r w:rsidR="000A720A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. Para ello, se debe robustecer </w:t>
      </w:r>
      <w:r w:rsidR="00B5208B">
        <w:rPr>
          <w:rFonts w:ascii="Book Antiqua" w:hAnsi="Book Antiqua"/>
          <w:sz w:val="24"/>
          <w:szCs w:val="24"/>
          <w:lang w:val="es-PR" w:eastAsia="es-PR"/>
        </w:rPr>
        <w:t>la Academia de</w:t>
      </w:r>
      <w:r w:rsidR="0089181C">
        <w:rPr>
          <w:rFonts w:ascii="Book Antiqua" w:hAnsi="Book Antiqua"/>
          <w:sz w:val="24"/>
          <w:szCs w:val="24"/>
          <w:lang w:val="es-PR" w:eastAsia="es-PR"/>
        </w:rPr>
        <w:t>l Ministerio Público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22489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adiestramientos coordinados con </w:t>
      </w:r>
      <w:r w:rsidR="00B5208B">
        <w:rPr>
          <w:rFonts w:ascii="Book Antiqua" w:hAnsi="Book Antiqua"/>
          <w:sz w:val="24"/>
          <w:szCs w:val="24"/>
          <w:lang w:val="es-PR" w:eastAsia="es-PR"/>
        </w:rPr>
        <w:t>la Policía de Puerto Rico</w:t>
      </w:r>
      <w:r w:rsidR="002E7F49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>
        <w:rPr>
          <w:rFonts w:ascii="Book Antiqua" w:hAnsi="Book Antiqua"/>
          <w:sz w:val="24"/>
          <w:szCs w:val="24"/>
          <w:lang w:val="es-PR" w:eastAsia="es-PR"/>
        </w:rPr>
        <w:t>del aparato gubernamental en la prevenció</w:t>
      </w:r>
      <w:r w:rsidR="0089181C">
        <w:rPr>
          <w:rFonts w:ascii="Book Antiqua" w:hAnsi="Book Antiqua"/>
          <w:sz w:val="24"/>
          <w:szCs w:val="24"/>
          <w:lang w:val="es-PR" w:eastAsia="es-PR"/>
        </w:rPr>
        <w:t>n del crimen. De esta manera, se promueve la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 seguridad y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E4807E3" w14:textId="77777777" w:rsidR="00425D80" w:rsidRPr="003216FB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0C48E4B2" w:rsidR="00846767" w:rsidRPr="00846767" w:rsidRDefault="00D52AB5" w:rsidP="00846767">
      <w:pPr>
        <w:pStyle w:val="Prrafodelista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hAnsi="Book Antiqua" w:cs="Times New Roman"/>
          <w:lang w:val="es-PR"/>
        </w:rPr>
      </w:pPr>
      <w:r>
        <w:rPr>
          <w:rFonts w:ascii="Book Antiqua" w:hAnsi="Book Antiqua" w:cs="Times New Roman"/>
          <w:lang w:val="es-PR"/>
        </w:rPr>
        <w:tab/>
      </w:r>
      <w:r w:rsidR="00846767" w:rsidRPr="00846767">
        <w:rPr>
          <w:rFonts w:ascii="Book Antiqua" w:hAnsi="Book Antiqua" w:cs="Times New Roman"/>
          <w:lang w:val="es-PR"/>
        </w:rPr>
        <w:t xml:space="preserve">Sección 1.- Se enmienda el </w:t>
      </w:r>
      <w:r w:rsidR="00FA2DA7">
        <w:rPr>
          <w:rFonts w:ascii="Book Antiqua" w:hAnsi="Book Antiqua" w:cs="Times New Roman"/>
          <w:lang w:val="es-PR"/>
        </w:rPr>
        <w:t xml:space="preserve">inciso (i) del </w:t>
      </w:r>
      <w:r w:rsidR="00846767" w:rsidRPr="00846767">
        <w:rPr>
          <w:rFonts w:ascii="Book Antiqua" w:hAnsi="Book Antiqua" w:cs="Times New Roman"/>
          <w:lang w:val="es-PR"/>
        </w:rPr>
        <w:t xml:space="preserve">Artículo </w:t>
      </w:r>
      <w:r w:rsidR="00FA2DA7">
        <w:rPr>
          <w:rFonts w:ascii="Book Antiqua" w:hAnsi="Book Antiqua" w:cs="Times New Roman"/>
          <w:lang w:val="es-PR"/>
        </w:rPr>
        <w:t>5</w:t>
      </w:r>
      <w:r w:rsidR="00846767" w:rsidRPr="00846767">
        <w:rPr>
          <w:rFonts w:ascii="Book Antiqua" w:hAnsi="Book Antiqua" w:cs="Times New Roman"/>
          <w:lang w:val="es-PR"/>
        </w:rPr>
        <w:t xml:space="preserve"> de la Ley</w:t>
      </w:r>
      <w:r w:rsidR="00FA2DA7">
        <w:rPr>
          <w:rFonts w:ascii="Book Antiqua" w:hAnsi="Book Antiqua" w:cs="Times New Roman"/>
          <w:spacing w:val="6"/>
          <w:lang w:val="es-PR"/>
        </w:rPr>
        <w:t xml:space="preserve"> 206-20</w:t>
      </w:r>
      <w:r w:rsidR="0089181C">
        <w:rPr>
          <w:rFonts w:ascii="Book Antiqua" w:hAnsi="Book Antiqua" w:cs="Times New Roman"/>
          <w:spacing w:val="6"/>
          <w:lang w:val="es-PR"/>
        </w:rPr>
        <w:t>0</w:t>
      </w:r>
      <w:r w:rsidR="00FA2DA7">
        <w:rPr>
          <w:rFonts w:ascii="Book Antiqua" w:hAnsi="Book Antiqua" w:cs="Times New Roman"/>
          <w:spacing w:val="6"/>
          <w:lang w:val="es-PR"/>
        </w:rPr>
        <w:t>4</w:t>
      </w:r>
      <w:r w:rsidR="00846767" w:rsidRPr="00846767">
        <w:rPr>
          <w:rFonts w:ascii="Book Antiqua" w:hAnsi="Book Antiqua" w:cs="Times New Roman"/>
          <w:lang w:val="es-PR"/>
        </w:rPr>
        <w:t xml:space="preserve">, </w:t>
      </w:r>
      <w:r w:rsidR="008E0F38">
        <w:rPr>
          <w:rFonts w:ascii="Book Antiqua" w:hAnsi="Book Antiqua" w:cs="Times New Roman"/>
          <w:lang w:val="es-PR"/>
        </w:rPr>
        <w:t xml:space="preserve">según enmendada, </w:t>
      </w:r>
      <w:r w:rsidR="00C23E77">
        <w:rPr>
          <w:rFonts w:ascii="Book Antiqua" w:hAnsi="Book Antiqua"/>
          <w:lang w:val="es-PR"/>
        </w:rPr>
        <w:t xml:space="preserve">conocida como </w:t>
      </w:r>
      <w:r w:rsidR="00C23E77" w:rsidRPr="003B2AE1">
        <w:rPr>
          <w:rFonts w:ascii="Book Antiqua" w:hAnsi="Book Antiqua"/>
          <w:lang w:val="es-ES_tradnl"/>
        </w:rPr>
        <w:t xml:space="preserve">“Ley </w:t>
      </w:r>
      <w:r w:rsidR="00C23E77">
        <w:rPr>
          <w:rFonts w:ascii="Book Antiqua" w:hAnsi="Book Antiqua"/>
          <w:lang w:val="es-ES_tradnl"/>
        </w:rPr>
        <w:t>d</w:t>
      </w:r>
      <w:r w:rsidR="00C23E77" w:rsidRPr="003B2AE1">
        <w:rPr>
          <w:rFonts w:ascii="Book Antiqua" w:hAnsi="Book Antiqua"/>
          <w:lang w:val="es-ES_tradnl"/>
        </w:rPr>
        <w:t>el Instituto de Capacitación y Desarrollo</w:t>
      </w:r>
      <w:r w:rsidR="00C23E77" w:rsidRPr="003B2AE1">
        <w:rPr>
          <w:rFonts w:ascii="Book Antiqua" w:hAnsi="Book Antiqua"/>
          <w:b/>
          <w:bCs/>
          <w:lang w:val="es-PR"/>
        </w:rPr>
        <w:t xml:space="preserve"> </w:t>
      </w:r>
      <w:r w:rsidR="00C23E77" w:rsidRPr="003B2AE1">
        <w:rPr>
          <w:rFonts w:ascii="Book Antiqua" w:hAnsi="Book Antiqua"/>
          <w:lang w:val="es-PR"/>
        </w:rPr>
        <w:t>del Pensamiento Jurídico del Departamento de Justicia”</w:t>
      </w:r>
      <w:r w:rsidR="00C23E77">
        <w:rPr>
          <w:rFonts w:ascii="Book Antiqua" w:hAnsi="Book Antiqua"/>
          <w:lang w:val="es-PR"/>
        </w:rPr>
        <w:t xml:space="preserve">, </w:t>
      </w:r>
      <w:r w:rsidR="00846767" w:rsidRPr="00846767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846767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46767">
        <w:rPr>
          <w:rFonts w:ascii="Book Antiqua" w:hAnsi="Book Antiqua"/>
          <w:lang w:val="es-PR"/>
        </w:rPr>
        <w:t xml:space="preserve">"Artículo </w:t>
      </w:r>
      <w:r w:rsidR="00FA2DA7">
        <w:rPr>
          <w:rFonts w:ascii="Book Antiqua" w:hAnsi="Book Antiqua"/>
          <w:lang w:val="es-PR"/>
        </w:rPr>
        <w:t>5</w:t>
      </w:r>
      <w:r w:rsidRPr="00846767">
        <w:rPr>
          <w:rFonts w:ascii="Book Antiqua" w:hAnsi="Book Antiqua"/>
          <w:lang w:val="es-PR"/>
        </w:rPr>
        <w:t xml:space="preserve">.- </w:t>
      </w:r>
      <w:r w:rsidR="00FA2DA7">
        <w:rPr>
          <w:rFonts w:ascii="Book Antiqua" w:hAnsi="Book Antiqua"/>
          <w:lang w:val="es-PR"/>
        </w:rPr>
        <w:t>Funciones</w:t>
      </w:r>
    </w:p>
    <w:p w14:paraId="239328A8" w14:textId="6FBE97F5" w:rsidR="00846767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(a)…</w:t>
      </w:r>
    </w:p>
    <w:p w14:paraId="31057BA1" w14:textId="77777777" w:rsidR="005643D4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…</w:t>
      </w:r>
    </w:p>
    <w:p w14:paraId="0B622CC4" w14:textId="3530ED1F" w:rsidR="005643D4" w:rsidRPr="005643D4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(i) </w:t>
      </w:r>
      <w:r w:rsidRPr="00FA2DA7">
        <w:rPr>
          <w:rFonts w:ascii="Book Antiqua" w:hAnsi="Book Antiqua"/>
          <w:lang w:val="es-PR"/>
        </w:rPr>
        <w:t>Establecer la Academia del Ministerio Público, la cual proveerá orientación, adiestramiento y capacitación a los fiscales, procuradores de familia y de menores de reciente nombramiento</w:t>
      </w:r>
      <w:r>
        <w:rPr>
          <w:rFonts w:ascii="Book Antiqua" w:hAnsi="Book Antiqua"/>
          <w:lang w:val="es-PR"/>
        </w:rPr>
        <w:t xml:space="preserve">. </w:t>
      </w:r>
    </w:p>
    <w:p w14:paraId="29F9EE6C" w14:textId="777E70FB" w:rsidR="0089181C" w:rsidRDefault="00685CBC" w:rsidP="00BF15A1">
      <w:pPr>
        <w:pStyle w:val="default"/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685CBC">
        <w:rPr>
          <w:rFonts w:ascii="Book Antiqua" w:hAnsi="Book Antiqua"/>
          <w:i/>
          <w:iCs/>
          <w:lang w:val="es-PR"/>
        </w:rPr>
        <w:t>La Academia</w:t>
      </w:r>
      <w:r w:rsidR="00F11E0B">
        <w:rPr>
          <w:rFonts w:ascii="Book Antiqua" w:hAnsi="Book Antiqua"/>
          <w:i/>
          <w:iCs/>
          <w:lang w:val="es-PR"/>
        </w:rPr>
        <w:t>,</w:t>
      </w:r>
      <w:r w:rsidRPr="00685CBC">
        <w:rPr>
          <w:rFonts w:ascii="Book Antiqua" w:hAnsi="Book Antiqua"/>
          <w:i/>
          <w:iCs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>en coordinación con la Policía de 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Rico,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F11E0B">
        <w:rPr>
          <w:rFonts w:ascii="Book Antiqua" w:hAnsi="Book Antiqua"/>
          <w:i/>
          <w:iCs/>
          <w:lang w:val="es-PR"/>
        </w:rPr>
        <w:t xml:space="preserve">instruirá y </w:t>
      </w:r>
      <w:r>
        <w:rPr>
          <w:rFonts w:ascii="Book Antiqua" w:hAnsi="Book Antiqua"/>
          <w:i/>
          <w:iCs/>
          <w:lang w:val="es-PR"/>
        </w:rPr>
        <w:t>capacitará a los fi</w:t>
      </w:r>
      <w:r w:rsidR="00BF15A1">
        <w:rPr>
          <w:rFonts w:ascii="Book Antiqua" w:hAnsi="Book Antiqua"/>
          <w:i/>
          <w:iCs/>
          <w:lang w:val="es-PR"/>
        </w:rPr>
        <w:t>s</w:t>
      </w:r>
      <w:r>
        <w:rPr>
          <w:rFonts w:ascii="Book Antiqua" w:hAnsi="Book Antiqua"/>
          <w:i/>
          <w:iCs/>
          <w:lang w:val="es-PR"/>
        </w:rPr>
        <w:t>cales del Departamento de Justicia</w:t>
      </w:r>
      <w:r w:rsidR="00F11E0B">
        <w:rPr>
          <w:rFonts w:ascii="Book Antiqua" w:hAnsi="Book Antiqua"/>
          <w:i/>
          <w:iCs/>
          <w:lang w:val="es-PR"/>
        </w:rPr>
        <w:t xml:space="preserve">, sin que se entienda </w:t>
      </w:r>
      <w:r w:rsidR="000D533C">
        <w:rPr>
          <w:rFonts w:ascii="Book Antiqua" w:hAnsi="Book Antiqua"/>
          <w:i/>
          <w:iCs/>
          <w:lang w:val="es-PR"/>
        </w:rPr>
        <w:t>como una limitación</w:t>
      </w:r>
      <w:r w:rsidR="00F11E0B">
        <w:rPr>
          <w:rFonts w:ascii="Book Antiqua" w:hAnsi="Book Antiqua"/>
          <w:i/>
          <w:iCs/>
          <w:lang w:val="es-PR"/>
        </w:rPr>
        <w:t xml:space="preserve">, </w:t>
      </w:r>
      <w:r>
        <w:rPr>
          <w:rFonts w:ascii="Book Antiqua" w:hAnsi="Book Antiqua"/>
          <w:i/>
          <w:iCs/>
          <w:lang w:val="es-PR"/>
        </w:rPr>
        <w:t xml:space="preserve">en el adiestramiento y manejo </w:t>
      </w:r>
      <w:r w:rsidRPr="00685CBC">
        <w:rPr>
          <w:rFonts w:ascii="Book Antiqua" w:hAnsi="Book Antiqua"/>
          <w:i/>
          <w:iCs/>
          <w:lang w:val="es-PR"/>
        </w:rPr>
        <w:t xml:space="preserve">de escenas del crimen, crímenes violentos, </w:t>
      </w:r>
      <w:r w:rsidR="00C63133" w:rsidRPr="00C63133">
        <w:rPr>
          <w:rFonts w:ascii="Book Antiqua" w:hAnsi="Book Antiqua"/>
          <w:i/>
          <w:iCs/>
          <w:lang w:val="es-PR"/>
        </w:rPr>
        <w:t xml:space="preserve">masacres, asesinatos por acecho, intrafamiliares, contra adultos mayores, que involucren menores de edad, así como aquellos </w:t>
      </w:r>
      <w:r w:rsidR="005643D4">
        <w:rPr>
          <w:rFonts w:ascii="Book Antiqua" w:hAnsi="Book Antiqua"/>
          <w:i/>
          <w:iCs/>
          <w:lang w:val="es-PR"/>
        </w:rPr>
        <w:t xml:space="preserve">crímenes </w:t>
      </w:r>
      <w:r w:rsidR="005643D4" w:rsidRPr="00C63133">
        <w:rPr>
          <w:rFonts w:ascii="Book Antiqua" w:hAnsi="Book Antiqua"/>
          <w:i/>
          <w:iCs/>
          <w:lang w:val="es-PR"/>
        </w:rPr>
        <w:t>producto</w:t>
      </w:r>
      <w:r w:rsidR="00C63133" w:rsidRPr="00C63133">
        <w:rPr>
          <w:rFonts w:ascii="Book Antiqua" w:hAnsi="Book Antiqua"/>
          <w:i/>
          <w:iCs/>
          <w:lang w:val="es-PR"/>
        </w:rPr>
        <w:t xml:space="preserve"> de la incesante espiral de violencia doméstica</w:t>
      </w:r>
      <w:r w:rsidR="00C63133">
        <w:rPr>
          <w:rFonts w:ascii="Book Antiqua" w:hAnsi="Book Antiqua"/>
          <w:i/>
          <w:iCs/>
          <w:lang w:val="es-PR"/>
        </w:rPr>
        <w:t xml:space="preserve">, entre otros. </w:t>
      </w:r>
    </w:p>
    <w:p w14:paraId="56CF5053" w14:textId="6EC99192" w:rsidR="008E0F38" w:rsidRPr="008E0F38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(j)</w:t>
      </w:r>
      <w:r w:rsidR="008E0F38">
        <w:rPr>
          <w:rFonts w:ascii="Book Antiqua" w:hAnsi="Book Antiqua"/>
          <w:lang w:val="es-PR"/>
        </w:rPr>
        <w:t>…”</w:t>
      </w:r>
    </w:p>
    <w:p w14:paraId="737532CD" w14:textId="7292ACA3" w:rsidR="00267DB2" w:rsidRPr="00267DB2" w:rsidRDefault="005643D4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2.</w:t>
      </w:r>
      <w:r w:rsidR="00496CCC">
        <w:rPr>
          <w:rFonts w:ascii="Book Antiqua" w:hAnsi="Book Antiqua"/>
          <w:sz w:val="24"/>
          <w:szCs w:val="24"/>
          <w:lang w:val="es-PR"/>
        </w:rPr>
        <w:t xml:space="preserve">- En un término no mayor ciento veinte (120) días; el </w:t>
      </w:r>
      <w:r w:rsidR="00267DB2">
        <w:rPr>
          <w:rFonts w:ascii="Book Antiqua" w:hAnsi="Book Antiqua"/>
          <w:sz w:val="24"/>
          <w:szCs w:val="24"/>
          <w:lang w:val="es-PR"/>
        </w:rPr>
        <w:t xml:space="preserve">Departamento de Justicia, la Policía de Puerto Rico y el Instituto de Ciencias Forenses </w:t>
      </w:r>
      <w:r w:rsidR="00267DB2" w:rsidRPr="00267DB2">
        <w:rPr>
          <w:rFonts w:ascii="Book Antiqua" w:hAnsi="Book Antiqua"/>
          <w:sz w:val="24"/>
          <w:szCs w:val="24"/>
          <w:lang w:val="es-PR"/>
        </w:rPr>
        <w:t xml:space="preserve">deberán adoptar las medidas administrativas, reglamentarias y operacionales necesarias para asegurar </w:t>
      </w:r>
      <w:r w:rsidR="00267DB2">
        <w:rPr>
          <w:rFonts w:ascii="Book Antiqua" w:hAnsi="Book Antiqua"/>
          <w:sz w:val="24"/>
          <w:szCs w:val="24"/>
          <w:lang w:val="es-PR"/>
        </w:rPr>
        <w:t xml:space="preserve">el </w:t>
      </w:r>
      <w:r w:rsidR="00267DB2" w:rsidRPr="00267DB2">
        <w:rPr>
          <w:rFonts w:ascii="Book Antiqua" w:hAnsi="Book Antiqua"/>
          <w:sz w:val="24"/>
          <w:szCs w:val="24"/>
          <w:lang w:val="es-PR"/>
        </w:rPr>
        <w:t xml:space="preserve">cumplimiento </w:t>
      </w:r>
      <w:r w:rsidR="00267DB2">
        <w:rPr>
          <w:rFonts w:ascii="Book Antiqua" w:hAnsi="Book Antiqua"/>
          <w:sz w:val="24"/>
          <w:szCs w:val="24"/>
          <w:lang w:val="es-PR"/>
        </w:rPr>
        <w:t>de esta Ley</w:t>
      </w:r>
      <w:r w:rsidR="00267DB2" w:rsidRPr="00267DB2">
        <w:rPr>
          <w:rFonts w:ascii="Book Antiqua" w:hAnsi="Book Antiqua"/>
          <w:sz w:val="24"/>
          <w:szCs w:val="24"/>
          <w:lang w:val="es-PR"/>
        </w:rPr>
        <w:t>, utilizando los recursos humanos, fiscales y tecnológicos disponibles, sin menoscabar los servicios esenciales que ofrecen.</w:t>
      </w:r>
    </w:p>
    <w:p w14:paraId="722AE5BF" w14:textId="755DB17B" w:rsidR="00267DB2" w:rsidRPr="00267DB2" w:rsidRDefault="00267DB2" w:rsidP="00267DB2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267DB2">
        <w:rPr>
          <w:rFonts w:ascii="Book Antiqua" w:hAnsi="Book Antiqua"/>
          <w:sz w:val="24"/>
          <w:szCs w:val="24"/>
          <w:lang w:val="es-PR"/>
        </w:rPr>
        <w:t xml:space="preserve">La implantación de esta Ley estará sujeta a la disponibilidad de fondos y a la capacidad administrativa de las </w:t>
      </w:r>
      <w:r w:rsidR="003570D2">
        <w:rPr>
          <w:rFonts w:ascii="Book Antiqua" w:hAnsi="Book Antiqua"/>
          <w:sz w:val="24"/>
          <w:szCs w:val="24"/>
          <w:lang w:val="es-PR"/>
        </w:rPr>
        <w:t>agencias</w:t>
      </w:r>
      <w:r w:rsidRPr="00267DB2">
        <w:rPr>
          <w:rFonts w:ascii="Book Antiqua" w:hAnsi="Book Antiqua"/>
          <w:sz w:val="24"/>
          <w:szCs w:val="24"/>
          <w:lang w:val="es-PR"/>
        </w:rPr>
        <w:t xml:space="preserve"> concernidas</w:t>
      </w:r>
      <w:r w:rsidR="003570D2">
        <w:rPr>
          <w:rFonts w:ascii="Book Antiqua" w:hAnsi="Book Antiqua"/>
          <w:sz w:val="24"/>
          <w:szCs w:val="24"/>
          <w:lang w:val="es-PR"/>
        </w:rPr>
        <w:t xml:space="preserve">. Estas </w:t>
      </w:r>
      <w:r w:rsidRPr="00267DB2">
        <w:rPr>
          <w:rFonts w:ascii="Book Antiqua" w:hAnsi="Book Antiqua"/>
          <w:sz w:val="24"/>
          <w:szCs w:val="24"/>
          <w:lang w:val="es-PR"/>
        </w:rPr>
        <w:t xml:space="preserve">podrán establecer planes de implementación gradual, acuerdos colaborativos </w:t>
      </w:r>
      <w:proofErr w:type="spellStart"/>
      <w:r w:rsidRPr="00267DB2">
        <w:rPr>
          <w:rFonts w:ascii="Book Antiqua" w:hAnsi="Book Antiqua"/>
          <w:sz w:val="24"/>
          <w:szCs w:val="24"/>
          <w:lang w:val="es-PR"/>
        </w:rPr>
        <w:t>interagenciales</w:t>
      </w:r>
      <w:proofErr w:type="spellEnd"/>
      <w:r w:rsidRPr="00267DB2">
        <w:rPr>
          <w:rFonts w:ascii="Book Antiqua" w:hAnsi="Book Antiqua"/>
          <w:sz w:val="24"/>
          <w:szCs w:val="24"/>
          <w:lang w:val="es-PR"/>
        </w:rPr>
        <w:t xml:space="preserve"> y cualquier mecanismo administrativo razonable que facilite el diseño y ofrecimiento de los cursos requeridos por el inciso (i) del Artículo 5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Pr="00267DB2">
        <w:rPr>
          <w:rFonts w:ascii="Book Antiqua" w:hAnsi="Book Antiqua"/>
          <w:sz w:val="24"/>
          <w:szCs w:val="24"/>
          <w:lang w:val="es-PR"/>
        </w:rPr>
        <w:t>de la Ley 206-2004, según enmendada.</w:t>
      </w:r>
    </w:p>
    <w:p w14:paraId="7454DF5A" w14:textId="67C4FF37" w:rsidR="00267DB2" w:rsidRDefault="00267DB2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267DB2">
        <w:rPr>
          <w:rFonts w:ascii="Book Antiqua" w:hAnsi="Book Antiqua"/>
          <w:sz w:val="24"/>
          <w:szCs w:val="24"/>
          <w:lang w:val="es-PR"/>
        </w:rPr>
        <w:t>Nada de lo dispuesto en esta Ley se interpretará como una obligación de crear nuevas estructuras administrativas permanentes</w:t>
      </w:r>
      <w:r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5F8B6AD4" w14:textId="4277DE50" w:rsidR="00846767" w:rsidRPr="00846767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 xml:space="preserve">Sección </w:t>
      </w:r>
      <w:r w:rsidR="00496CCC">
        <w:rPr>
          <w:rFonts w:ascii="Book Antiqua" w:hAnsi="Book Antiqua"/>
          <w:sz w:val="24"/>
          <w:szCs w:val="24"/>
          <w:lang w:val="es-PR"/>
        </w:rPr>
        <w:t>3</w:t>
      </w:r>
      <w:r>
        <w:rPr>
          <w:rFonts w:ascii="Book Antiqua" w:hAnsi="Book Antiqua"/>
          <w:sz w:val="24"/>
          <w:szCs w:val="24"/>
          <w:lang w:val="es-PR"/>
        </w:rPr>
        <w:t xml:space="preserve">. - </w:t>
      </w:r>
      <w:r w:rsidR="00846767" w:rsidRPr="00846767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846767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>
        <w:rPr>
          <w:rFonts w:ascii="Book Antiqua" w:hAnsi="Book Antiqua"/>
          <w:sz w:val="24"/>
          <w:szCs w:val="24"/>
          <w:lang w:val="es-PR"/>
        </w:rPr>
        <w:t>é</w:t>
      </w:r>
      <w:r w:rsidRPr="00846767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846767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70BDF1F2" w:rsidR="00846767" w:rsidRP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 xml:space="preserve">Sección </w:t>
      </w:r>
      <w:r w:rsidR="00496CCC">
        <w:rPr>
          <w:rFonts w:ascii="Book Antiqua" w:hAnsi="Book Antiqua"/>
          <w:iCs/>
          <w:sz w:val="24"/>
          <w:szCs w:val="24"/>
          <w:lang w:val="es-PR" w:eastAsia="es-PR"/>
        </w:rPr>
        <w:t>4</w:t>
      </w: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48016E2A" w:rsidR="00860066" w:rsidRPr="00846767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846767" w:rsidSect="008A3F00">
      <w:headerReference w:type="default" r:id="rId10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A60F1" w14:textId="77777777" w:rsidR="00656C64" w:rsidRDefault="00656C64" w:rsidP="00425D80">
      <w:pPr>
        <w:spacing w:after="0" w:line="240" w:lineRule="auto"/>
      </w:pPr>
      <w:r>
        <w:separator/>
      </w:r>
    </w:p>
  </w:endnote>
  <w:endnote w:type="continuationSeparator" w:id="0">
    <w:p w14:paraId="05EA5C21" w14:textId="77777777" w:rsidR="00656C64" w:rsidRDefault="00656C64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Piedepgina"/>
      <w:jc w:val="center"/>
    </w:pPr>
  </w:p>
  <w:p w14:paraId="356721F1" w14:textId="77777777" w:rsidR="00860066" w:rsidRDefault="008600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C9D4B" w14:textId="77777777" w:rsidR="00656C64" w:rsidRDefault="00656C64" w:rsidP="00425D80">
      <w:pPr>
        <w:spacing w:after="0" w:line="240" w:lineRule="auto"/>
      </w:pPr>
      <w:r>
        <w:separator/>
      </w:r>
    </w:p>
  </w:footnote>
  <w:footnote w:type="continuationSeparator" w:id="0">
    <w:p w14:paraId="1C524DE4" w14:textId="77777777" w:rsidR="00656C64" w:rsidRDefault="00656C64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5643D4" w:rsidRDefault="003413E1" w:rsidP="00D833D0">
      <w:pPr>
        <w:pStyle w:val="Textonotapie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A36E74">
        <w:rPr>
          <w:rStyle w:val="Refdenotaalpie"/>
          <w:rFonts w:ascii="Book Antiqua" w:hAnsi="Book Antiqua"/>
        </w:rPr>
        <w:footnoteRef/>
      </w:r>
      <w:r w:rsidR="00BF52FB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BF52FB" w:rsidRPr="005643D4">
        <w:rPr>
          <w:rFonts w:ascii="Book Antiqua" w:hAnsi="Book Antiqua"/>
          <w:sz w:val="16"/>
          <w:szCs w:val="16"/>
          <w:lang w:val="es-PR"/>
        </w:rPr>
        <w:t>Véase</w:t>
      </w:r>
      <w:r w:rsidR="00D833D0" w:rsidRPr="005643D4">
        <w:rPr>
          <w:rFonts w:ascii="Book Antiqua" w:hAnsi="Book Antiqua"/>
          <w:sz w:val="16"/>
          <w:szCs w:val="16"/>
          <w:lang w:val="es-PR"/>
        </w:rPr>
        <w:t>:</w:t>
      </w:r>
      <w:r w:rsidRPr="005643D4">
        <w:rPr>
          <w:rFonts w:ascii="Book Antiqua" w:hAnsi="Book Antiqua"/>
          <w:sz w:val="16"/>
          <w:szCs w:val="16"/>
          <w:lang w:val="es-PR"/>
        </w:rPr>
        <w:t xml:space="preserve"> </w:t>
      </w:r>
      <w:hyperlink r:id="rId1" w:history="1">
        <w:r w:rsidRPr="005643D4">
          <w:rPr>
            <w:rStyle w:val="Hipervnculo"/>
            <w:rFonts w:ascii="Book Antiqua" w:hAnsi="Book Antiqua"/>
            <w:sz w:val="16"/>
            <w:szCs w:val="16"/>
            <w:lang w:val="es-PR"/>
          </w:rPr>
          <w:t>https://www.policia.pr.gov/estadisticas</w:t>
        </w:r>
      </w:hyperlink>
      <w:r w:rsidR="00535A30" w:rsidRPr="005643D4">
        <w:rPr>
          <w:rFonts w:ascii="Book Antiqua" w:hAnsi="Book Antiqua"/>
          <w:sz w:val="16"/>
          <w:szCs w:val="16"/>
          <w:lang w:val="es-PR"/>
        </w:rPr>
        <w:t xml:space="preserve"> </w:t>
      </w:r>
      <w:r w:rsidRPr="005643D4">
        <w:rPr>
          <w:rFonts w:ascii="Book Antiqua" w:hAnsi="Book Antiqua"/>
          <w:sz w:val="16"/>
          <w:szCs w:val="16"/>
          <w:lang w:val="es-PR"/>
        </w:rPr>
        <w:t>(26 de febrero de 2025)</w:t>
      </w:r>
      <w:r w:rsidR="00D833D0" w:rsidRPr="005643D4">
        <w:rPr>
          <w:rFonts w:ascii="Book Antiqua" w:hAnsi="Book Antiqua"/>
          <w:sz w:val="16"/>
          <w:szCs w:val="16"/>
          <w:lang w:val="es-PR"/>
        </w:rPr>
        <w:t>.</w:t>
      </w:r>
    </w:p>
  </w:footnote>
  <w:footnote w:id="2">
    <w:p w14:paraId="638396E2" w14:textId="77777777" w:rsidR="00D833D0" w:rsidRPr="005643D4" w:rsidRDefault="00D833D0" w:rsidP="00D833D0">
      <w:pPr>
        <w:pStyle w:val="Textonotapie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5643D4">
        <w:rPr>
          <w:rStyle w:val="Refdenotaalpie"/>
          <w:rFonts w:ascii="Book Antiqua" w:hAnsi="Book Antiqua"/>
          <w:sz w:val="16"/>
          <w:szCs w:val="16"/>
        </w:rPr>
        <w:footnoteRef/>
      </w:r>
      <w:r w:rsidRPr="005643D4">
        <w:rPr>
          <w:rFonts w:ascii="Book Antiqua" w:hAnsi="Book Antiqua"/>
          <w:sz w:val="16"/>
          <w:szCs w:val="16"/>
          <w:lang w:val="es-PR"/>
        </w:rPr>
        <w:t xml:space="preserve"> </w:t>
      </w:r>
      <w:r w:rsidRPr="005643D4">
        <w:rPr>
          <w:rFonts w:ascii="Book Antiqua" w:hAnsi="Book Antiqua"/>
          <w:sz w:val="16"/>
          <w:szCs w:val="16"/>
          <w:lang w:val="es-PR"/>
        </w:rPr>
        <w:tab/>
        <w:t>Véase:</w:t>
      </w:r>
    </w:p>
    <w:p w14:paraId="602290A2" w14:textId="62106933" w:rsidR="009F0962" w:rsidRPr="005643D4" w:rsidRDefault="00D833D0" w:rsidP="00D833D0">
      <w:pPr>
        <w:pStyle w:val="Textonotapie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r>
        <w:fldChar w:fldCharType="begin"/>
      </w:r>
      <w:r w:rsidRPr="0077774D">
        <w:rPr>
          <w:lang w:val="es-PR"/>
        </w:rPr>
        <w:instrText>HYPERLINK "https://app.powerbigov.us/view?r=eyJrIjoiOWMwMDJhM2MtM2M5My00YjUzLWI3NTktMWFiNjBiZGYwZmIyIiwidCI6ImUwYzIyNzAyLTA5MmYtNGRhYi1hNTkyLWZhYjUyZGRlNGMxZiJ9"</w:instrText>
      </w:r>
      <w:r>
        <w:fldChar w:fldCharType="separate"/>
      </w:r>
      <w:r w:rsidRPr="005643D4">
        <w:rPr>
          <w:rStyle w:val="Hipervnculo"/>
          <w:rFonts w:ascii="Book Antiqua" w:hAnsi="Book Antiqua"/>
          <w:sz w:val="16"/>
          <w:szCs w:val="16"/>
          <w:lang w:val="es-PR"/>
        </w:rPr>
        <w:t>https://app.powerbigov.us/view?r=eyJrIjoiOWMwMDJhM2MtM2M5My00YjUzLWI3NTktMWFiNjBiZGYwZmIyIiwidCI6ImUwYzIyNzAyLTA5MmYtNGRhYi1hNTkyLWZhYjUyZGRlNGMxZiJ9</w:t>
      </w:r>
      <w:r>
        <w:fldChar w:fldCharType="end"/>
      </w:r>
    </w:p>
  </w:footnote>
  <w:footnote w:id="3">
    <w:p w14:paraId="608E5A25" w14:textId="77777777" w:rsidR="00D833D0" w:rsidRPr="005643D4" w:rsidRDefault="003413E1" w:rsidP="00D833D0">
      <w:pPr>
        <w:pStyle w:val="Textonotapie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5643D4">
        <w:rPr>
          <w:rStyle w:val="Refdenotaalpie"/>
          <w:rFonts w:ascii="Book Antiqua" w:hAnsi="Book Antiqua"/>
          <w:sz w:val="16"/>
          <w:szCs w:val="16"/>
        </w:rPr>
        <w:footnoteRef/>
      </w:r>
      <w:r w:rsidRPr="005643D4">
        <w:rPr>
          <w:rFonts w:ascii="Book Antiqua" w:hAnsi="Book Antiqua"/>
          <w:sz w:val="16"/>
          <w:szCs w:val="16"/>
          <w:lang w:val="es-PR"/>
        </w:rPr>
        <w:t xml:space="preserve"> </w:t>
      </w:r>
      <w:r w:rsidR="00D833D0" w:rsidRPr="005643D4">
        <w:rPr>
          <w:rFonts w:ascii="Book Antiqua" w:hAnsi="Book Antiqua"/>
          <w:sz w:val="16"/>
          <w:szCs w:val="16"/>
          <w:lang w:val="es-PR"/>
        </w:rPr>
        <w:tab/>
      </w:r>
      <w:r w:rsidR="00EB1911" w:rsidRPr="005643D4">
        <w:rPr>
          <w:rFonts w:ascii="Book Antiqua" w:hAnsi="Book Antiqua"/>
          <w:sz w:val="16"/>
          <w:szCs w:val="16"/>
          <w:lang w:val="es-PR"/>
        </w:rPr>
        <w:t>Instituto de Estadísticas de Puerto Rico, informe anual 2022</w:t>
      </w:r>
      <w:r w:rsidR="00D833D0" w:rsidRPr="005643D4">
        <w:rPr>
          <w:rFonts w:ascii="Book Antiqua" w:hAnsi="Book Antiqua"/>
          <w:sz w:val="16"/>
          <w:szCs w:val="16"/>
          <w:lang w:val="es-PR"/>
        </w:rPr>
        <w:t>.</w:t>
      </w:r>
      <w:r w:rsidR="00EB1911" w:rsidRPr="005643D4">
        <w:rPr>
          <w:rFonts w:ascii="Book Antiqua" w:hAnsi="Book Antiqua"/>
          <w:sz w:val="16"/>
          <w:szCs w:val="16"/>
          <w:lang w:val="es-PR"/>
        </w:rPr>
        <w:t xml:space="preserve"> </w:t>
      </w:r>
    </w:p>
    <w:p w14:paraId="587E282A" w14:textId="3FE9BBC2" w:rsidR="003413E1" w:rsidRPr="005643D4" w:rsidRDefault="00D833D0" w:rsidP="00D833D0">
      <w:pPr>
        <w:pStyle w:val="Textonotapie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r>
        <w:fldChar w:fldCharType="begin"/>
      </w:r>
      <w:r w:rsidRPr="0077774D">
        <w:rPr>
          <w:lang w:val="es-PR"/>
        </w:rPr>
        <w:instrText>HYPERLINK "https://estadisticas.pr/files/PRVDRS/Informe-de-Muertes-Violentas-2022-PRVDRS_3.pdf"</w:instrText>
      </w:r>
      <w:r>
        <w:fldChar w:fldCharType="separate"/>
      </w:r>
      <w:r w:rsidRPr="005643D4">
        <w:rPr>
          <w:rStyle w:val="Hipervnculo"/>
          <w:rFonts w:ascii="Book Antiqua" w:hAnsi="Book Antiqua"/>
          <w:sz w:val="16"/>
          <w:szCs w:val="16"/>
          <w:lang w:val="es-PR"/>
        </w:rPr>
        <w:t>https://estadisticas.pr/files/PRVDRS/Informe-de-Muertes-Violentas-2022-PRVDRS_3.pdf</w:t>
      </w:r>
      <w:r>
        <w:fldChar w:fldCharType="end"/>
      </w:r>
      <w:r w:rsidR="00EB1911" w:rsidRPr="005643D4">
        <w:rPr>
          <w:rFonts w:ascii="Book Antiqua" w:hAnsi="Book Antiqua"/>
          <w:sz w:val="16"/>
          <w:szCs w:val="16"/>
          <w:lang w:val="es-PR"/>
        </w:rPr>
        <w:t xml:space="preserve">  (2</w:t>
      </w:r>
      <w:r w:rsidR="00456159" w:rsidRPr="005643D4">
        <w:rPr>
          <w:rFonts w:ascii="Book Antiqua" w:hAnsi="Book Antiqua"/>
          <w:sz w:val="16"/>
          <w:szCs w:val="16"/>
          <w:lang w:val="es-PR"/>
        </w:rPr>
        <w:t>7</w:t>
      </w:r>
      <w:r w:rsidR="00EB1911" w:rsidRPr="005643D4">
        <w:rPr>
          <w:rFonts w:ascii="Book Antiqua" w:hAnsi="Book Antiqua"/>
          <w:sz w:val="16"/>
          <w:szCs w:val="16"/>
          <w:lang w:val="es-PR"/>
        </w:rPr>
        <w:t xml:space="preserve"> de febrero de 2025).</w:t>
      </w:r>
    </w:p>
  </w:footnote>
  <w:footnote w:id="4">
    <w:p w14:paraId="4258FD28" w14:textId="374BEDD2" w:rsidR="004B3FC8" w:rsidRPr="00A36E74" w:rsidRDefault="004B3FC8" w:rsidP="00D833D0">
      <w:pPr>
        <w:pStyle w:val="Textonotapie"/>
        <w:tabs>
          <w:tab w:val="left" w:pos="270"/>
        </w:tabs>
        <w:rPr>
          <w:rFonts w:ascii="Book Antiqua" w:hAnsi="Book Antiqua"/>
        </w:rPr>
      </w:pPr>
      <w:r w:rsidRPr="00A36E74">
        <w:rPr>
          <w:rStyle w:val="Refdenotaalpie"/>
          <w:rFonts w:ascii="Book Antiqua" w:hAnsi="Book Antiqua"/>
        </w:rPr>
        <w:footnoteRef/>
      </w:r>
      <w:r w:rsidRPr="00A36E74">
        <w:rPr>
          <w:rFonts w:ascii="Book Antiqua" w:hAnsi="Book Antiqua"/>
        </w:rPr>
        <w:t xml:space="preserve"> </w:t>
      </w:r>
      <w:r w:rsidR="00D833D0">
        <w:rPr>
          <w:rFonts w:ascii="Book Antiqua" w:hAnsi="Book Antiqua"/>
        </w:rPr>
        <w:tab/>
      </w:r>
      <w:r w:rsidRPr="00A36E74">
        <w:rPr>
          <w:rFonts w:ascii="Book Antiqua" w:hAnsi="Book Antiqua"/>
        </w:rPr>
        <w:t>Id</w:t>
      </w:r>
      <w:r w:rsidR="00BF52FB">
        <w:rPr>
          <w:rFonts w:ascii="Book Antiqua" w:hAnsi="Book Antiqua"/>
        </w:rPr>
        <w:t>.,</w:t>
      </w:r>
      <w:r>
        <w:t xml:space="preserve"> </w:t>
      </w:r>
      <w:r w:rsidR="00A36E74">
        <w:rPr>
          <w:rFonts w:ascii="Book Antiqua" w:hAnsi="Book Antiqua"/>
        </w:rPr>
        <w:t>pág. 20</w:t>
      </w:r>
      <w:r w:rsidR="00D833D0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Encabezado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Encabezado"/>
      <w:jc w:val="center"/>
      <w:rPr>
        <w:rFonts w:ascii="Book Antiqua" w:hAnsi="Book Antiqua"/>
        <w:sz w:val="24"/>
        <w:szCs w:val="24"/>
      </w:rPr>
    </w:pPr>
    <w:r w:rsidRPr="00535A30">
      <w:rPr>
        <w:rStyle w:val="Nmerodepgina"/>
        <w:rFonts w:ascii="Book Antiqua" w:hAnsi="Book Antiqua"/>
        <w:sz w:val="24"/>
        <w:szCs w:val="24"/>
      </w:rPr>
      <w:fldChar w:fldCharType="begin"/>
    </w:r>
    <w:r w:rsidRPr="00535A30">
      <w:rPr>
        <w:rStyle w:val="Nmerodepgina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Nmerodepgina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Nmerodepgina"/>
        <w:rFonts w:ascii="Book Antiqua" w:hAnsi="Book Antiqua"/>
        <w:noProof/>
        <w:sz w:val="24"/>
        <w:szCs w:val="24"/>
      </w:rPr>
      <w:t>7</w:t>
    </w:r>
    <w:r w:rsidRPr="00535A30">
      <w:rPr>
        <w:rStyle w:val="Nmerodepgina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529EE"/>
    <w:rsid w:val="000656E1"/>
    <w:rsid w:val="000932A2"/>
    <w:rsid w:val="00094F40"/>
    <w:rsid w:val="000A720A"/>
    <w:rsid w:val="000A7A54"/>
    <w:rsid w:val="000B3A3E"/>
    <w:rsid w:val="000C0616"/>
    <w:rsid w:val="000D533C"/>
    <w:rsid w:val="000E2E4A"/>
    <w:rsid w:val="0010564B"/>
    <w:rsid w:val="00173A8D"/>
    <w:rsid w:val="001F2D72"/>
    <w:rsid w:val="00217345"/>
    <w:rsid w:val="00220B39"/>
    <w:rsid w:val="00240FB4"/>
    <w:rsid w:val="0024398E"/>
    <w:rsid w:val="002546C4"/>
    <w:rsid w:val="00257FD9"/>
    <w:rsid w:val="0026662C"/>
    <w:rsid w:val="00267DB2"/>
    <w:rsid w:val="00274EE1"/>
    <w:rsid w:val="00290D8D"/>
    <w:rsid w:val="002930FA"/>
    <w:rsid w:val="0029735D"/>
    <w:rsid w:val="002D01DA"/>
    <w:rsid w:val="002E0BC9"/>
    <w:rsid w:val="002E50CB"/>
    <w:rsid w:val="002E7F49"/>
    <w:rsid w:val="002F2EBF"/>
    <w:rsid w:val="002F50D0"/>
    <w:rsid w:val="00322E9A"/>
    <w:rsid w:val="00332359"/>
    <w:rsid w:val="0033699E"/>
    <w:rsid w:val="003413E1"/>
    <w:rsid w:val="003436D1"/>
    <w:rsid w:val="00343D4E"/>
    <w:rsid w:val="0035596B"/>
    <w:rsid w:val="003570D2"/>
    <w:rsid w:val="003823F1"/>
    <w:rsid w:val="00397794"/>
    <w:rsid w:val="003A3CF1"/>
    <w:rsid w:val="003A6339"/>
    <w:rsid w:val="003B2AE1"/>
    <w:rsid w:val="003E4A82"/>
    <w:rsid w:val="003F430C"/>
    <w:rsid w:val="003F6E7E"/>
    <w:rsid w:val="00413F91"/>
    <w:rsid w:val="00423D82"/>
    <w:rsid w:val="0042416B"/>
    <w:rsid w:val="00425D80"/>
    <w:rsid w:val="00442580"/>
    <w:rsid w:val="0045282A"/>
    <w:rsid w:val="00456159"/>
    <w:rsid w:val="00457209"/>
    <w:rsid w:val="00457F1D"/>
    <w:rsid w:val="00461918"/>
    <w:rsid w:val="00492036"/>
    <w:rsid w:val="004951BB"/>
    <w:rsid w:val="00496CCC"/>
    <w:rsid w:val="004A2F91"/>
    <w:rsid w:val="004A7C3E"/>
    <w:rsid w:val="004B1270"/>
    <w:rsid w:val="004B3FC8"/>
    <w:rsid w:val="004B5BA2"/>
    <w:rsid w:val="004C53DB"/>
    <w:rsid w:val="004D3D5B"/>
    <w:rsid w:val="004E2FE9"/>
    <w:rsid w:val="004E32C1"/>
    <w:rsid w:val="00531CA1"/>
    <w:rsid w:val="00535A30"/>
    <w:rsid w:val="005643D4"/>
    <w:rsid w:val="00572252"/>
    <w:rsid w:val="00574320"/>
    <w:rsid w:val="00576DD6"/>
    <w:rsid w:val="0058335B"/>
    <w:rsid w:val="005A3760"/>
    <w:rsid w:val="005C527B"/>
    <w:rsid w:val="005D524F"/>
    <w:rsid w:val="005E2BD9"/>
    <w:rsid w:val="005E3AAB"/>
    <w:rsid w:val="006304B6"/>
    <w:rsid w:val="00634A81"/>
    <w:rsid w:val="00656C64"/>
    <w:rsid w:val="00680F7E"/>
    <w:rsid w:val="00685CBC"/>
    <w:rsid w:val="00687627"/>
    <w:rsid w:val="006910D8"/>
    <w:rsid w:val="006B2B52"/>
    <w:rsid w:val="006B2B8D"/>
    <w:rsid w:val="006C474D"/>
    <w:rsid w:val="006F17C8"/>
    <w:rsid w:val="006F1AD1"/>
    <w:rsid w:val="00707F45"/>
    <w:rsid w:val="007148F0"/>
    <w:rsid w:val="00715327"/>
    <w:rsid w:val="007330E9"/>
    <w:rsid w:val="007363DF"/>
    <w:rsid w:val="00755B32"/>
    <w:rsid w:val="0076769B"/>
    <w:rsid w:val="007703FD"/>
    <w:rsid w:val="0077774D"/>
    <w:rsid w:val="0078552F"/>
    <w:rsid w:val="00792F2B"/>
    <w:rsid w:val="007C116C"/>
    <w:rsid w:val="007D16EB"/>
    <w:rsid w:val="007E70FF"/>
    <w:rsid w:val="007F7A67"/>
    <w:rsid w:val="00844655"/>
    <w:rsid w:val="00846767"/>
    <w:rsid w:val="00860066"/>
    <w:rsid w:val="00884DEA"/>
    <w:rsid w:val="00887B7B"/>
    <w:rsid w:val="0089181C"/>
    <w:rsid w:val="008A2A51"/>
    <w:rsid w:val="008B4DA2"/>
    <w:rsid w:val="008B4EF2"/>
    <w:rsid w:val="008C1A0F"/>
    <w:rsid w:val="008C4B00"/>
    <w:rsid w:val="008E0F38"/>
    <w:rsid w:val="008E57CA"/>
    <w:rsid w:val="00902EF2"/>
    <w:rsid w:val="00941A3D"/>
    <w:rsid w:val="00965FED"/>
    <w:rsid w:val="00977688"/>
    <w:rsid w:val="009930B2"/>
    <w:rsid w:val="009B0F00"/>
    <w:rsid w:val="009D7153"/>
    <w:rsid w:val="009F0962"/>
    <w:rsid w:val="00A00428"/>
    <w:rsid w:val="00A11649"/>
    <w:rsid w:val="00A27FB7"/>
    <w:rsid w:val="00A36E74"/>
    <w:rsid w:val="00A558B8"/>
    <w:rsid w:val="00A62F40"/>
    <w:rsid w:val="00A643FA"/>
    <w:rsid w:val="00A70981"/>
    <w:rsid w:val="00A71DA3"/>
    <w:rsid w:val="00A8747E"/>
    <w:rsid w:val="00AC37C0"/>
    <w:rsid w:val="00AC462A"/>
    <w:rsid w:val="00B14781"/>
    <w:rsid w:val="00B25754"/>
    <w:rsid w:val="00B5208B"/>
    <w:rsid w:val="00B70EAE"/>
    <w:rsid w:val="00BB40A3"/>
    <w:rsid w:val="00BB4186"/>
    <w:rsid w:val="00BD2D58"/>
    <w:rsid w:val="00BF15A1"/>
    <w:rsid w:val="00BF52FB"/>
    <w:rsid w:val="00C23E77"/>
    <w:rsid w:val="00C42A9B"/>
    <w:rsid w:val="00C63133"/>
    <w:rsid w:val="00C72E2D"/>
    <w:rsid w:val="00C76556"/>
    <w:rsid w:val="00CA60F7"/>
    <w:rsid w:val="00CB3BB5"/>
    <w:rsid w:val="00CB7964"/>
    <w:rsid w:val="00CC0944"/>
    <w:rsid w:val="00CD58FB"/>
    <w:rsid w:val="00CE141B"/>
    <w:rsid w:val="00D025E0"/>
    <w:rsid w:val="00D1681F"/>
    <w:rsid w:val="00D20100"/>
    <w:rsid w:val="00D2189A"/>
    <w:rsid w:val="00D22489"/>
    <w:rsid w:val="00D30383"/>
    <w:rsid w:val="00D52AB5"/>
    <w:rsid w:val="00D53281"/>
    <w:rsid w:val="00D70985"/>
    <w:rsid w:val="00D800ED"/>
    <w:rsid w:val="00D833D0"/>
    <w:rsid w:val="00DA708E"/>
    <w:rsid w:val="00DA7E04"/>
    <w:rsid w:val="00DB0FBD"/>
    <w:rsid w:val="00DC44A5"/>
    <w:rsid w:val="00DD6285"/>
    <w:rsid w:val="00E20045"/>
    <w:rsid w:val="00E23C26"/>
    <w:rsid w:val="00E35BE0"/>
    <w:rsid w:val="00E55A8E"/>
    <w:rsid w:val="00E75851"/>
    <w:rsid w:val="00E81839"/>
    <w:rsid w:val="00E828B5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75F9"/>
    <w:rsid w:val="00F323DD"/>
    <w:rsid w:val="00F408FA"/>
    <w:rsid w:val="00F439D9"/>
    <w:rsid w:val="00F46AE8"/>
    <w:rsid w:val="00F51C10"/>
    <w:rsid w:val="00F57ED2"/>
    <w:rsid w:val="00F672AB"/>
    <w:rsid w:val="00F75E60"/>
    <w:rsid w:val="00FA2DA7"/>
    <w:rsid w:val="00FD4F98"/>
    <w:rsid w:val="00FE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25D8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D80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425D80"/>
  </w:style>
  <w:style w:type="character" w:styleId="Nmerodepgina">
    <w:name w:val="page number"/>
    <w:basedOn w:val="Fuentedeprrafopredeter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nf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C527B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5C52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Rocío Alayón Morell</cp:lastModifiedBy>
  <cp:revision>4</cp:revision>
  <cp:lastPrinted>2026-05-11T18:03:00Z</cp:lastPrinted>
  <dcterms:created xsi:type="dcterms:W3CDTF">2026-05-11T18:48:00Z</dcterms:created>
  <dcterms:modified xsi:type="dcterms:W3CDTF">2026-05-12T13:56:00Z</dcterms:modified>
</cp:coreProperties>
</file>