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A7FF6" w:rsidRDefault="008A7FE5" w:rsidP="008A7FE5">
      <w:pPr>
        <w:jc w:val="center"/>
        <w:rPr>
          <w:rFonts w:ascii="Book Antiqua" w:eastAsia="Times New Roman" w:hAnsi="Book Antiqua"/>
          <w:sz w:val="28"/>
          <w:szCs w:val="28"/>
          <w:lang w:val="es-ES"/>
        </w:rPr>
      </w:pPr>
      <w:r w:rsidRPr="007A7FF6">
        <w:rPr>
          <w:rFonts w:ascii="Book Antiqua" w:eastAsia="Times New Roman" w:hAnsi="Book Antiqua"/>
          <w:sz w:val="28"/>
          <w:szCs w:val="28"/>
        </w:rPr>
        <w:t>GOBIERNO DE PUERTO RICO</w:t>
      </w:r>
    </w:p>
    <w:p w14:paraId="21D45B7F" w14:textId="77777777" w:rsidR="008A7FE5" w:rsidRPr="007A7FF6" w:rsidRDefault="008A7FE5" w:rsidP="008A7FE5">
      <w:pPr>
        <w:jc w:val="center"/>
        <w:rPr>
          <w:rFonts w:ascii="Book Antiqua" w:eastAsia="Times New Roman" w:hAnsi="Book Antiqua"/>
          <w:sz w:val="28"/>
          <w:szCs w:val="28"/>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6C2B553C"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7A7FF6">
        <w:rPr>
          <w:rFonts w:ascii="Book Antiqua" w:eastAsia="Times New Roman" w:hAnsi="Book Antiqua"/>
          <w:szCs w:val="20"/>
          <w:lang w:val="es-ES"/>
        </w:rPr>
        <w:t xml:space="preserve"> </w:t>
      </w:r>
      <w:r w:rsidRPr="0076587D">
        <w:rPr>
          <w:rFonts w:ascii="Book Antiqua" w:eastAsia="Times New Roman" w:hAnsi="Book Antiqua"/>
          <w:szCs w:val="20"/>
          <w:lang w:val="es-ES"/>
        </w:rPr>
        <w:t xml:space="preserve">Legislativa                                                                                                             </w:t>
      </w:r>
      <w:r w:rsidR="007A7FF6">
        <w:rPr>
          <w:rFonts w:ascii="Book Antiqua" w:eastAsia="Times New Roman" w:hAnsi="Book Antiqua"/>
          <w:szCs w:val="20"/>
          <w:lang w:val="es-ES"/>
        </w:rPr>
        <w:t xml:space="preserve">     </w:t>
      </w:r>
      <w:r w:rsidRPr="0076587D">
        <w:rPr>
          <w:rFonts w:ascii="Book Antiqua" w:eastAsia="Times New Roman" w:hAnsi="Book Antiqua"/>
          <w:szCs w:val="20"/>
          <w:lang w:val="es-ES"/>
        </w:rPr>
        <w:t>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51334E40"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1B27DA">
        <w:rPr>
          <w:rFonts w:ascii="Book Antiqua" w:eastAsia="Times New Roman" w:hAnsi="Book Antiqua"/>
          <w:b/>
          <w:sz w:val="52"/>
          <w:szCs w:val="52"/>
          <w:lang w:val="es-ES"/>
        </w:rPr>
        <w:t>1272</w:t>
      </w:r>
    </w:p>
    <w:p w14:paraId="1CA67854" w14:textId="77777777" w:rsidR="008A7FE5" w:rsidRPr="0076587D" w:rsidRDefault="008A7FE5" w:rsidP="008A7FE5">
      <w:pPr>
        <w:jc w:val="center"/>
        <w:rPr>
          <w:rFonts w:ascii="Book Antiqua" w:eastAsia="Times New Roman" w:hAnsi="Book Antiqua"/>
          <w:lang w:val="es-ES"/>
        </w:rPr>
      </w:pPr>
    </w:p>
    <w:p w14:paraId="3962E151" w14:textId="18AD893C" w:rsidR="008A7FE5" w:rsidRPr="0076587D" w:rsidRDefault="001B27DA" w:rsidP="008A7FE5">
      <w:pPr>
        <w:jc w:val="center"/>
        <w:rPr>
          <w:rFonts w:ascii="Book Antiqua" w:eastAsia="Times New Roman" w:hAnsi="Book Antiqua"/>
          <w:lang w:val="es-ES"/>
        </w:rPr>
      </w:pPr>
      <w:r>
        <w:rPr>
          <w:rFonts w:ascii="Book Antiqua" w:eastAsia="Times New Roman" w:hAnsi="Book Antiqua"/>
          <w:lang w:val="es-ES"/>
        </w:rPr>
        <w:t>11</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010343">
        <w:rPr>
          <w:rFonts w:ascii="Book Antiqua" w:eastAsia="Times New Roman" w:hAnsi="Book Antiqua"/>
          <w:lang w:val="es-ES"/>
        </w:rPr>
        <w:t>MAYO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Pr="0076587D" w:rsidRDefault="008A7FE5" w:rsidP="008A7FE5">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28E95AFF" w14:textId="77777777" w:rsidR="008A7FE5" w:rsidRPr="0076587D" w:rsidRDefault="008A7FE5" w:rsidP="00D04E2E">
      <w:pPr>
        <w:suppressLineNumbers/>
        <w:rPr>
          <w:rFonts w:ascii="Book Antiqua" w:eastAsia="Times New Roman" w:hAnsi="Book Antiqua"/>
          <w:lang w:val="es-ES"/>
        </w:rPr>
      </w:pPr>
    </w:p>
    <w:p w14:paraId="1B54B8AA" w14:textId="4513FAC3"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7A7FF6">
        <w:rPr>
          <w:rFonts w:ascii="Book Antiqua" w:eastAsia="Times New Roman" w:hAnsi="Book Antiqua"/>
          <w:lang w:val="es-ES"/>
        </w:rPr>
        <w:t xml:space="preserve"> las Comisiones de Gobierno; y de Hacienda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1BB7EFBA" w14:textId="66DFEDD1" w:rsidR="001C1F65" w:rsidRDefault="008A7FE5" w:rsidP="007A7FF6">
      <w:pPr>
        <w:ind w:left="720" w:hanging="720"/>
        <w:jc w:val="both"/>
        <w:rPr>
          <w:rFonts w:ascii="Book Antiqua" w:hAnsi="Book Antiqua"/>
          <w:bCs/>
          <w:lang w:val="es-ES"/>
        </w:rPr>
      </w:pPr>
      <w:bookmarkStart w:id="0" w:name="_Hlk164089542"/>
      <w:r w:rsidRPr="0076587D">
        <w:rPr>
          <w:rStyle w:val="s2"/>
          <w:rFonts w:ascii="Book Antiqua" w:hAnsi="Book Antiqua"/>
          <w:lang w:val="es-ES"/>
        </w:rPr>
        <w:t xml:space="preserve">Para </w:t>
      </w:r>
      <w:bookmarkStart w:id="1" w:name="_Hlk190192080"/>
      <w:r w:rsidR="00416485">
        <w:rPr>
          <w:rStyle w:val="s2"/>
          <w:rFonts w:ascii="Book Antiqua" w:hAnsi="Book Antiqua"/>
          <w:lang w:val="es-ES"/>
        </w:rPr>
        <w:t xml:space="preserve">crear la </w:t>
      </w:r>
      <w:r w:rsidR="00920AF1">
        <w:rPr>
          <w:rStyle w:val="s2"/>
          <w:rFonts w:ascii="Book Antiqua" w:hAnsi="Book Antiqua"/>
          <w:lang w:val="es-ES"/>
        </w:rPr>
        <w:t>“Ley del Fideicomiso para el Retiro de</w:t>
      </w:r>
      <w:r w:rsidR="00A213D9">
        <w:rPr>
          <w:rStyle w:val="s2"/>
          <w:rFonts w:ascii="Book Antiqua" w:hAnsi="Book Antiqua"/>
          <w:lang w:val="es-ES"/>
        </w:rPr>
        <w:t>l Negociado de Investigaciones Especiales</w:t>
      </w:r>
      <w:r w:rsidR="00025A8F">
        <w:rPr>
          <w:rStyle w:val="s2"/>
          <w:rFonts w:ascii="Book Antiqua" w:hAnsi="Book Antiqua"/>
          <w:lang w:val="es-ES"/>
        </w:rPr>
        <w:t xml:space="preserve"> (NIE)</w:t>
      </w:r>
      <w:r w:rsidR="003449C9">
        <w:rPr>
          <w:rStyle w:val="s2"/>
          <w:rFonts w:ascii="Book Antiqua" w:hAnsi="Book Antiqua"/>
          <w:lang w:val="es-ES"/>
        </w:rPr>
        <w:t xml:space="preserve">”; </w:t>
      </w:r>
      <w:r w:rsidR="000E0098">
        <w:rPr>
          <w:rStyle w:val="s2"/>
          <w:rFonts w:ascii="Book Antiqua" w:hAnsi="Book Antiqua"/>
          <w:lang w:val="es-ES"/>
        </w:rPr>
        <w:t xml:space="preserve">y </w:t>
      </w:r>
      <w:r w:rsidR="0059790B" w:rsidRPr="0059790B">
        <w:rPr>
          <w:rFonts w:ascii="Book Antiqua" w:hAnsi="Book Antiqua"/>
          <w:lang w:val="es-ES"/>
        </w:rPr>
        <w:t xml:space="preserve">enmendar </w:t>
      </w:r>
      <w:r w:rsidR="00C85594" w:rsidRPr="00C85594">
        <w:rPr>
          <w:rFonts w:ascii="Book Antiqua" w:hAnsi="Book Antiqua"/>
        </w:rPr>
        <w:t>el Artículo 21 de la Ley Núm. 83 de 2 de julio de 1987, según enmendada, conocida como “Ley de la Industria y el Deporte Hípico de Puerto Rico”, a los fines de incluir a los agentes del NIE como beneficiarios del Fideicomiso; establecer una aportación recurrente del veinte por ciento (20%) de los ingresos netos del sistema de vídeo juego electrónico “Lucky Cash” para garantizar una pensión del cincuenta por ciento (50%) a los agentes bajo las Leyes 1 y 447; y para otros fines</w:t>
      </w:r>
      <w:r w:rsidR="00C85594">
        <w:rPr>
          <w:rFonts w:ascii="Book Antiqua" w:hAnsi="Book Antiqua"/>
        </w:rPr>
        <w:t xml:space="preserve"> relacionados</w:t>
      </w:r>
      <w:r w:rsidR="0059790B" w:rsidRPr="0059790B">
        <w:rPr>
          <w:rFonts w:ascii="Book Antiqua" w:hAnsi="Book Antiqua"/>
          <w:bCs/>
          <w:lang w:val="es-ES"/>
        </w:rPr>
        <w:t xml:space="preserve">. </w:t>
      </w:r>
    </w:p>
    <w:bookmarkEnd w:id="0"/>
    <w:bookmarkEnd w:id="1"/>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1847C7EA" w14:textId="78AA3B8E" w:rsidR="00033B7B" w:rsidRDefault="00033B7B" w:rsidP="007A7FF6">
      <w:pPr>
        <w:ind w:firstLine="720"/>
        <w:jc w:val="both"/>
        <w:rPr>
          <w:rFonts w:ascii="Book Antiqua" w:hAnsi="Book Antiqua"/>
          <w:bCs/>
        </w:rPr>
      </w:pPr>
      <w:r w:rsidRPr="00033B7B">
        <w:rPr>
          <w:rFonts w:ascii="Book Antiqua" w:hAnsi="Book Antiqua"/>
          <w:bCs/>
        </w:rPr>
        <w:t>El Negociado de Investigaciones Especiales (NIE) constituye el brazo especializado del Departamento de Seguridad Pública en la lucha contra la corrupción gubernamental y el crimen organizado. No obstante, la efectividad operativa de este organismo depende intrínsecamente de la capacidad del Estado para reclutar y, fundamentalmente, retener a sus agentes de mayor experiencia y peritaje.</w:t>
      </w:r>
    </w:p>
    <w:p w14:paraId="31AEDAE8" w14:textId="77777777" w:rsidR="007A7FF6" w:rsidRPr="00033B7B" w:rsidRDefault="007A7FF6" w:rsidP="007A7FF6">
      <w:pPr>
        <w:ind w:firstLine="720"/>
        <w:jc w:val="both"/>
        <w:rPr>
          <w:rFonts w:ascii="Book Antiqua" w:hAnsi="Book Antiqua"/>
          <w:bCs/>
        </w:rPr>
      </w:pPr>
    </w:p>
    <w:p w14:paraId="14CD2358" w14:textId="77777777" w:rsidR="00033B7B" w:rsidRDefault="00033B7B" w:rsidP="007A7FF6">
      <w:pPr>
        <w:ind w:firstLine="720"/>
        <w:jc w:val="both"/>
        <w:rPr>
          <w:rFonts w:ascii="Book Antiqua" w:hAnsi="Book Antiqua"/>
          <w:bCs/>
        </w:rPr>
      </w:pPr>
      <w:r w:rsidRPr="00033B7B">
        <w:rPr>
          <w:rFonts w:ascii="Book Antiqua" w:hAnsi="Book Antiqua"/>
          <w:bCs/>
        </w:rPr>
        <w:t xml:space="preserve">Actualmente, los agentes del NIE enfrentan una crisis de retiro que amenaza la continuidad de sus funciones críticas debido a la erosión sistemática de sus beneficios jubilatorios originales. Estos funcionarios ofrecen sus servicios bajo condiciones que perjudican su desempeño, salud y seguridad, percibiendo una compensación económica inadecuada y enfrentando un retiro que los sitúa en un escenario de vulnerabilidad económica. Esta precariedad ha provocado un marcado éxodo de profesionales, resultando en un déficit de personal especializado que afecta directamente la capacidad </w:t>
      </w:r>
      <w:r w:rsidRPr="00033B7B">
        <w:rPr>
          <w:rFonts w:ascii="Book Antiqua" w:hAnsi="Book Antiqua"/>
          <w:bCs/>
        </w:rPr>
        <w:lastRenderedPageBreak/>
        <w:t>del Estado para atender investigaciones de alto riesgo y brindar un servicio de excelencia a la ciudadanía.</w:t>
      </w:r>
    </w:p>
    <w:p w14:paraId="4CA56014" w14:textId="77777777" w:rsidR="007A7FF6" w:rsidRPr="00033B7B" w:rsidRDefault="007A7FF6" w:rsidP="007A7FF6">
      <w:pPr>
        <w:ind w:firstLine="720"/>
        <w:jc w:val="both"/>
        <w:rPr>
          <w:rFonts w:ascii="Book Antiqua" w:hAnsi="Book Antiqua"/>
          <w:bCs/>
        </w:rPr>
      </w:pPr>
    </w:p>
    <w:p w14:paraId="1CD19773" w14:textId="7CD85590" w:rsidR="00033B7B" w:rsidRDefault="00033B7B" w:rsidP="007A7FF6">
      <w:pPr>
        <w:ind w:firstLine="720"/>
        <w:jc w:val="both"/>
        <w:rPr>
          <w:rFonts w:ascii="Book Antiqua" w:hAnsi="Book Antiqua"/>
          <w:bCs/>
        </w:rPr>
      </w:pPr>
      <w:r w:rsidRPr="00033B7B">
        <w:rPr>
          <w:rFonts w:ascii="Book Antiqua" w:hAnsi="Book Antiqua"/>
          <w:bCs/>
        </w:rPr>
        <w:t xml:space="preserve">Esta Ley tiene como propósito fundamental garantizar fondos recurrentes para mejorar la compensación de retiro de los agentes del NIE, asegurándoles una pensión equivalente al cincuenta por ciento (50%) de su salario vigente al momento de la jubilación. Se reconoce que el principal obstáculo para alcanzar un retiro digno para estos servidores públicos es el factor económico, lo que requiere de una asignación </w:t>
      </w:r>
      <w:r>
        <w:rPr>
          <w:rFonts w:ascii="Book Antiqua" w:hAnsi="Book Antiqua"/>
          <w:bCs/>
        </w:rPr>
        <w:t>recurr</w:t>
      </w:r>
      <w:r w:rsidRPr="00033B7B">
        <w:rPr>
          <w:rFonts w:ascii="Book Antiqua" w:hAnsi="Book Antiqua"/>
          <w:bCs/>
        </w:rPr>
        <w:t>ente de fondos públicos.</w:t>
      </w:r>
    </w:p>
    <w:p w14:paraId="31731EF4" w14:textId="77777777" w:rsidR="007A7FF6" w:rsidRPr="00033B7B" w:rsidRDefault="007A7FF6" w:rsidP="007A7FF6">
      <w:pPr>
        <w:ind w:firstLine="720"/>
        <w:jc w:val="both"/>
        <w:rPr>
          <w:rFonts w:ascii="Book Antiqua" w:hAnsi="Book Antiqua"/>
          <w:bCs/>
        </w:rPr>
      </w:pPr>
    </w:p>
    <w:p w14:paraId="2FABDE43" w14:textId="77777777" w:rsidR="00033B7B" w:rsidRDefault="00033B7B" w:rsidP="007A7FF6">
      <w:pPr>
        <w:ind w:firstLine="720"/>
        <w:jc w:val="both"/>
        <w:rPr>
          <w:rFonts w:ascii="Book Antiqua" w:hAnsi="Book Antiqua"/>
          <w:bCs/>
        </w:rPr>
      </w:pPr>
      <w:r w:rsidRPr="00033B7B">
        <w:rPr>
          <w:rFonts w:ascii="Book Antiqua" w:hAnsi="Book Antiqua"/>
          <w:bCs/>
        </w:rPr>
        <w:t>Bajo el ordenamiento jurídico vigente, diversos sectores de la industria de apuestas en Puerto Rico ya contribuyen significativamente al bienestar social: los casinos destinan un veinte por ciento (20%) de su ingreso neto a la Universidad de Puerto Rico, y las máquinas de juegos de azar en ruta aportan un cincuenta por ciento (50%) de sus ganancias al retiro de la Policía. En contraste, la industria hípica, específicamente a través del sistema de videojuego electrónico “Lucky Cash”, opera bajo un esquema que no guarda paridad con estas aportaciones sociales. Actualmente, existen sobre quinientas (500) agencias hípicas que operan aproximadamente cinco mil (5,000) de estas máquinas, cuyos ingresos se destinan íntegramente a los operadores de la industria sin aportar al sostenimiento de programas sociales del Estado.</w:t>
      </w:r>
    </w:p>
    <w:p w14:paraId="1F1700AA" w14:textId="77777777" w:rsidR="007A7FF6" w:rsidRPr="00033B7B" w:rsidRDefault="007A7FF6" w:rsidP="007A7FF6">
      <w:pPr>
        <w:ind w:firstLine="720"/>
        <w:jc w:val="both"/>
        <w:rPr>
          <w:rFonts w:ascii="Book Antiqua" w:hAnsi="Book Antiqua"/>
          <w:bCs/>
        </w:rPr>
      </w:pPr>
    </w:p>
    <w:p w14:paraId="6F7A6EC1" w14:textId="182E87BD" w:rsidR="00033B7B" w:rsidRDefault="00033B7B" w:rsidP="007A7FF6">
      <w:pPr>
        <w:ind w:firstLine="720"/>
        <w:jc w:val="both"/>
        <w:rPr>
          <w:rFonts w:ascii="Book Antiqua" w:hAnsi="Book Antiqua"/>
          <w:bCs/>
        </w:rPr>
      </w:pPr>
      <w:r w:rsidRPr="00033B7B">
        <w:rPr>
          <w:rFonts w:ascii="Book Antiqua" w:hAnsi="Book Antiqua"/>
          <w:bCs/>
        </w:rPr>
        <w:t xml:space="preserve">Esta Ley corrige dicha disparidad mediante una redistribución de los ingresos netos de operación del sistema "Lucky Cash", destinando un veinte por ciento (20%) de estos para sufragar exclusivamente la compensación de retiro de los agentes del NIE. </w:t>
      </w:r>
      <w:r w:rsidR="005B42D6">
        <w:rPr>
          <w:rFonts w:ascii="Book Antiqua" w:hAnsi="Book Antiqua"/>
          <w:bCs/>
        </w:rPr>
        <w:t>Sobre todo, considerando que, a</w:t>
      </w:r>
      <w:r w:rsidRPr="00033B7B">
        <w:rPr>
          <w:rFonts w:ascii="Book Antiqua" w:hAnsi="Book Antiqua"/>
          <w:bCs/>
        </w:rPr>
        <w:t xml:space="preserve"> diferencia de otros cuerpos de seguridad con miles de efectivos, el impacto fiscal de esta medida es mínimo y altamente focalizado. La población beneficiaria se limita a un grupo crítico de aproximadamente 37 agentes pertenecientes a los sistemas de retiro de la Ley 1 y la Ley 447. Dado que se trata de un grupo reducido y próximo a la jubilación, el desembolso es cuantificable y puede ser cubierto por los ingresos recurrentes de la industria hípica, la cual se mantiene como un sector económicamente estable.</w:t>
      </w:r>
    </w:p>
    <w:p w14:paraId="08EA5A5E" w14:textId="77777777" w:rsidR="007A7FF6" w:rsidRPr="00033B7B" w:rsidRDefault="007A7FF6" w:rsidP="007A7FF6">
      <w:pPr>
        <w:ind w:firstLine="720"/>
        <w:jc w:val="both"/>
        <w:rPr>
          <w:rFonts w:ascii="Book Antiqua" w:hAnsi="Book Antiqua"/>
          <w:bCs/>
        </w:rPr>
      </w:pPr>
    </w:p>
    <w:p w14:paraId="18EBF497" w14:textId="7FA989A2" w:rsidR="0085235C" w:rsidRDefault="00033B7B" w:rsidP="007A7FF6">
      <w:pPr>
        <w:ind w:firstLine="720"/>
        <w:jc w:val="both"/>
        <w:rPr>
          <w:rFonts w:ascii="Book Antiqua" w:hAnsi="Book Antiqua"/>
          <w:bCs/>
        </w:rPr>
      </w:pPr>
      <w:r w:rsidRPr="00033B7B">
        <w:rPr>
          <w:rFonts w:ascii="Book Antiqua" w:hAnsi="Book Antiqua"/>
          <w:bCs/>
        </w:rPr>
        <w:t>Al asegurar este flujo de fondos, esta Asamblea Legislativa no solo hace justicia social a quienes arriesgan su vida en investigaciones de alto peritaje, sino que previene el éxodo de talento y garantiza la operatividad del Negociado. Es deber del Gobierno de Puerto Rico asegurar que el personal a cargo de la seguridad pública cuente con una fuente de ingresos que les permita cumplir con sus obligaciones y enfrentar el aumento en el costo de vida. Por lo antes expuesto, se estima necesario destinar parte de los recaudos de la industria hípica para asegurar a los agentes de las Leyes 1 y 447</w:t>
      </w:r>
      <w:r w:rsidR="00AC4C9A">
        <w:rPr>
          <w:rFonts w:ascii="Book Antiqua" w:hAnsi="Book Antiqua"/>
          <w:bCs/>
        </w:rPr>
        <w:t>, para que cuenten con</w:t>
      </w:r>
      <w:r w:rsidRPr="00033B7B">
        <w:rPr>
          <w:rFonts w:ascii="Book Antiqua" w:hAnsi="Book Antiqua"/>
          <w:bCs/>
        </w:rPr>
        <w:t xml:space="preserve"> una pensión digna que mitigue los efectos</w:t>
      </w:r>
      <w:r w:rsidR="00AC4C9A">
        <w:rPr>
          <w:rFonts w:ascii="Book Antiqua" w:hAnsi="Book Antiqua"/>
          <w:bCs/>
        </w:rPr>
        <w:t xml:space="preserve"> adversos provocados p</w:t>
      </w:r>
      <w:r w:rsidR="00F3056B">
        <w:rPr>
          <w:rFonts w:ascii="Book Antiqua" w:hAnsi="Book Antiqua"/>
          <w:bCs/>
        </w:rPr>
        <w:t>or</w:t>
      </w:r>
      <w:r w:rsidRPr="00033B7B">
        <w:rPr>
          <w:rFonts w:ascii="Book Antiqua" w:hAnsi="Book Antiqua"/>
          <w:bCs/>
        </w:rPr>
        <w:t xml:space="preserve"> la Ley 3-2013.</w:t>
      </w:r>
    </w:p>
    <w:p w14:paraId="6C92F20A" w14:textId="77777777" w:rsidR="007A7FF6" w:rsidRDefault="007A7FF6" w:rsidP="007A7FF6">
      <w:pPr>
        <w:ind w:firstLine="720"/>
        <w:jc w:val="both"/>
        <w:rPr>
          <w:rFonts w:ascii="Book Antiqua" w:hAnsi="Book Antiqua"/>
          <w:bCs/>
        </w:rPr>
      </w:pPr>
    </w:p>
    <w:p w14:paraId="5FA2D081" w14:textId="77777777" w:rsidR="007A7FF6" w:rsidRPr="00F3056B" w:rsidRDefault="007A7FF6" w:rsidP="007A7FF6">
      <w:pPr>
        <w:ind w:firstLine="720"/>
        <w:jc w:val="both"/>
        <w:rPr>
          <w:rFonts w:ascii="Book Antiqua" w:hAnsi="Book Antiqua"/>
          <w:bCs/>
        </w:rPr>
      </w:pPr>
    </w:p>
    <w:p w14:paraId="22EC9F18" w14:textId="30A73012"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lastRenderedPageBreak/>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331C10BA" w14:textId="5C3CCD90" w:rsidR="001800DB" w:rsidRDefault="008A7FE5" w:rsidP="003F7FAC">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1.- </w:t>
      </w:r>
      <w:r w:rsidR="00CB0CEE">
        <w:rPr>
          <w:rFonts w:ascii="Book Antiqua" w:hAnsi="Book Antiqua"/>
          <w:lang w:val="es-ES"/>
        </w:rPr>
        <w:t>Título.</w:t>
      </w:r>
    </w:p>
    <w:p w14:paraId="12066C07" w14:textId="7FAEC04E" w:rsidR="00CB0CEE" w:rsidRDefault="00CB0CEE" w:rsidP="003F7FAC">
      <w:pPr>
        <w:widowControl w:val="0"/>
        <w:spacing w:before="120" w:after="120" w:line="480" w:lineRule="auto"/>
        <w:ind w:firstLine="360"/>
        <w:jc w:val="both"/>
        <w:rPr>
          <w:rFonts w:ascii="Book Antiqua" w:hAnsi="Book Antiqua"/>
          <w:lang w:val="es-ES"/>
        </w:rPr>
      </w:pPr>
      <w:r>
        <w:rPr>
          <w:rFonts w:ascii="Book Antiqua" w:hAnsi="Book Antiqua"/>
          <w:lang w:val="es-ES"/>
        </w:rPr>
        <w:t>Esta Ley se conocerá podrá ser citada oficialmente como “Ley del Fideicomiso del Negociado de Investigaciones Especiales (NIE)</w:t>
      </w:r>
      <w:r w:rsidR="00B32B2E">
        <w:rPr>
          <w:rFonts w:ascii="Book Antiqua" w:hAnsi="Book Antiqua"/>
          <w:lang w:val="es-ES"/>
        </w:rPr>
        <w:t>”.</w:t>
      </w:r>
    </w:p>
    <w:p w14:paraId="5782F61A" w14:textId="145B40D2" w:rsidR="00B32B2E" w:rsidRDefault="00B32B2E" w:rsidP="003F7FAC">
      <w:pPr>
        <w:widowControl w:val="0"/>
        <w:spacing w:before="120" w:after="120" w:line="480" w:lineRule="auto"/>
        <w:ind w:firstLine="360"/>
        <w:jc w:val="both"/>
        <w:rPr>
          <w:rFonts w:ascii="Book Antiqua" w:hAnsi="Book Antiqua"/>
          <w:lang w:val="es-ES"/>
        </w:rPr>
      </w:pPr>
      <w:r>
        <w:rPr>
          <w:rFonts w:ascii="Book Antiqua" w:hAnsi="Book Antiqua"/>
          <w:lang w:val="es-ES"/>
        </w:rPr>
        <w:t>Sección 2.-Definiciones.</w:t>
      </w:r>
    </w:p>
    <w:p w14:paraId="7D3EF53B" w14:textId="77777777" w:rsidR="0086270D" w:rsidRDefault="0086270D" w:rsidP="003F7FAC">
      <w:pPr>
        <w:widowControl w:val="0"/>
        <w:spacing w:before="120" w:after="120" w:line="480" w:lineRule="auto"/>
        <w:ind w:firstLine="360"/>
        <w:jc w:val="both"/>
        <w:rPr>
          <w:rFonts w:ascii="Book Antiqua" w:hAnsi="Book Antiqua"/>
        </w:rPr>
      </w:pPr>
      <w:r w:rsidRPr="0086270D">
        <w:rPr>
          <w:rFonts w:ascii="Book Antiqua" w:hAnsi="Book Antiqua"/>
        </w:rPr>
        <w:t xml:space="preserve">Las siguientes palabras y términos, cuando sean usados o se haga referencia a los mismos en esta Ley, tendrán el significado indicado a continuación a menos que del contexto surja claramente otro significado: </w:t>
      </w:r>
    </w:p>
    <w:p w14:paraId="09D5F0DF" w14:textId="31F82A50" w:rsidR="00B32B2E" w:rsidRDefault="0086270D" w:rsidP="00C77A03">
      <w:pPr>
        <w:pStyle w:val="Prrafodelista"/>
        <w:widowControl w:val="0"/>
        <w:numPr>
          <w:ilvl w:val="0"/>
          <w:numId w:val="9"/>
        </w:numPr>
        <w:spacing w:before="120" w:after="120" w:line="480" w:lineRule="auto"/>
        <w:jc w:val="both"/>
        <w:rPr>
          <w:rFonts w:ascii="Book Antiqua" w:hAnsi="Book Antiqua"/>
        </w:rPr>
      </w:pPr>
      <w:r w:rsidRPr="00C77A03">
        <w:rPr>
          <w:rFonts w:ascii="Book Antiqua" w:hAnsi="Book Antiqua"/>
          <w:b/>
          <w:bCs/>
        </w:rPr>
        <w:t>AAFAF</w:t>
      </w:r>
      <w:r w:rsidR="00C77A03">
        <w:rPr>
          <w:rFonts w:ascii="Book Antiqua" w:hAnsi="Book Antiqua"/>
          <w:b/>
          <w:bCs/>
        </w:rPr>
        <w:t xml:space="preserve"> </w:t>
      </w:r>
      <w:r w:rsidR="00C77A03">
        <w:rPr>
          <w:rFonts w:ascii="Book Antiqua" w:hAnsi="Book Antiqua"/>
        </w:rPr>
        <w:t>-</w:t>
      </w:r>
      <w:r w:rsidRPr="00C77A03">
        <w:rPr>
          <w:rFonts w:ascii="Book Antiqua" w:hAnsi="Book Antiqua"/>
        </w:rPr>
        <w:t xml:space="preserve"> significará la Autoridad de Asesoría Financiera y Agencia Fiscal de Puerto Rico.</w:t>
      </w:r>
    </w:p>
    <w:p w14:paraId="454EDFD7" w14:textId="77777777" w:rsidR="00765F6D" w:rsidRDefault="00C77A03" w:rsidP="0086270D">
      <w:pPr>
        <w:pStyle w:val="Prrafodelista"/>
        <w:widowControl w:val="0"/>
        <w:numPr>
          <w:ilvl w:val="0"/>
          <w:numId w:val="9"/>
        </w:numPr>
        <w:spacing w:before="120" w:after="120" w:line="480" w:lineRule="auto"/>
        <w:jc w:val="both"/>
        <w:rPr>
          <w:rFonts w:ascii="Book Antiqua" w:hAnsi="Book Antiqua"/>
        </w:rPr>
      </w:pPr>
      <w:r w:rsidRPr="00765F6D">
        <w:rPr>
          <w:rFonts w:ascii="Book Antiqua" w:hAnsi="Book Antiqua"/>
          <w:b/>
          <w:bCs/>
        </w:rPr>
        <w:t>Código 2011</w:t>
      </w:r>
      <w:r>
        <w:rPr>
          <w:rFonts w:ascii="Book Antiqua" w:hAnsi="Book Antiqua"/>
        </w:rPr>
        <w:t xml:space="preserve"> -</w:t>
      </w:r>
      <w:r w:rsidRPr="00C77A03">
        <w:rPr>
          <w:rFonts w:ascii="Book Antiqua" w:hAnsi="Book Antiqua"/>
        </w:rPr>
        <w:t xml:space="preserve"> significará la Ley 1-2011, según enmendada, conocida como el Código de Rentas Internas para un Nuevo Puerto Rico. </w:t>
      </w:r>
    </w:p>
    <w:p w14:paraId="4D284DB5" w14:textId="77777777" w:rsidR="001534A1" w:rsidRDefault="00C77A03" w:rsidP="0086270D">
      <w:pPr>
        <w:pStyle w:val="Prrafodelista"/>
        <w:widowControl w:val="0"/>
        <w:numPr>
          <w:ilvl w:val="0"/>
          <w:numId w:val="9"/>
        </w:numPr>
        <w:spacing w:before="120" w:after="120" w:line="480" w:lineRule="auto"/>
        <w:jc w:val="both"/>
        <w:rPr>
          <w:rFonts w:ascii="Book Antiqua" w:hAnsi="Book Antiqua"/>
        </w:rPr>
      </w:pPr>
      <w:r w:rsidRPr="00765F6D">
        <w:rPr>
          <w:rFonts w:ascii="Book Antiqua" w:hAnsi="Book Antiqua"/>
          <w:b/>
          <w:bCs/>
        </w:rPr>
        <w:t>Compensación</w:t>
      </w:r>
      <w:r w:rsidR="00765F6D">
        <w:rPr>
          <w:rFonts w:ascii="Book Antiqua" w:hAnsi="Book Antiqua"/>
        </w:rPr>
        <w:t xml:space="preserve"> -</w:t>
      </w:r>
      <w:r w:rsidRPr="00C77A03">
        <w:rPr>
          <w:rFonts w:ascii="Book Antiqua" w:hAnsi="Book Antiqua"/>
        </w:rPr>
        <w:t xml:space="preserve"> significará la recompensa bruta y en efectivo que devenga el Miembro Elegible, excluyendo toda bonificación concedida en adición al salario, así como todo pago por concepto de horas extraordinarias de trabajo. </w:t>
      </w:r>
    </w:p>
    <w:p w14:paraId="15E85AE1" w14:textId="77777777" w:rsidR="001534A1" w:rsidRDefault="00C77A03" w:rsidP="0086270D">
      <w:pPr>
        <w:pStyle w:val="Prrafodelista"/>
        <w:widowControl w:val="0"/>
        <w:numPr>
          <w:ilvl w:val="0"/>
          <w:numId w:val="9"/>
        </w:numPr>
        <w:spacing w:before="120" w:after="120" w:line="480" w:lineRule="auto"/>
        <w:jc w:val="both"/>
        <w:rPr>
          <w:rFonts w:ascii="Book Antiqua" w:hAnsi="Book Antiqua"/>
        </w:rPr>
      </w:pPr>
      <w:r w:rsidRPr="001534A1">
        <w:rPr>
          <w:rFonts w:ascii="Book Antiqua" w:hAnsi="Book Antiqua"/>
          <w:b/>
          <w:bCs/>
        </w:rPr>
        <w:t>Compensación promedio</w:t>
      </w:r>
      <w:r w:rsidR="001534A1">
        <w:rPr>
          <w:rFonts w:ascii="Book Antiqua" w:hAnsi="Book Antiqua"/>
        </w:rPr>
        <w:t xml:space="preserve"> -</w:t>
      </w:r>
      <w:r w:rsidRPr="00C77A03">
        <w:rPr>
          <w:rFonts w:ascii="Book Antiqua" w:hAnsi="Book Antiqua"/>
        </w:rPr>
        <w:t xml:space="preserve"> significará el promedio de compensación anual recibida por un Miembro Elegible durante los últimos tres (3) años de servicio antes de acogerse al retiro, disponiéndose que, en la determinación de la compensación promedio, la compensación anual en ningún caso podrá exceder el diez por ciento (10%) de la compensación anual del año inmediatamente anterior.</w:t>
      </w:r>
      <w:r w:rsidR="001534A1">
        <w:rPr>
          <w:rFonts w:ascii="Book Antiqua" w:hAnsi="Book Antiqua"/>
        </w:rPr>
        <w:t xml:space="preserve"> </w:t>
      </w:r>
    </w:p>
    <w:p w14:paraId="63790083" w14:textId="77777777" w:rsidR="001534A1" w:rsidRDefault="00C77A03" w:rsidP="0086270D">
      <w:pPr>
        <w:pStyle w:val="Prrafodelista"/>
        <w:widowControl w:val="0"/>
        <w:numPr>
          <w:ilvl w:val="0"/>
          <w:numId w:val="9"/>
        </w:numPr>
        <w:spacing w:before="120" w:after="120" w:line="480" w:lineRule="auto"/>
        <w:jc w:val="both"/>
        <w:rPr>
          <w:rFonts w:ascii="Book Antiqua" w:hAnsi="Book Antiqua"/>
        </w:rPr>
      </w:pPr>
      <w:r w:rsidRPr="001534A1">
        <w:rPr>
          <w:rFonts w:ascii="Book Antiqua" w:hAnsi="Book Antiqua"/>
          <w:b/>
          <w:bCs/>
        </w:rPr>
        <w:t>Escritura Constituyente</w:t>
      </w:r>
      <w:r w:rsidR="001534A1">
        <w:rPr>
          <w:rFonts w:ascii="Book Antiqua" w:hAnsi="Book Antiqua"/>
        </w:rPr>
        <w:t xml:space="preserve"> -</w:t>
      </w:r>
      <w:r w:rsidRPr="00C77A03">
        <w:rPr>
          <w:rFonts w:ascii="Book Antiqua" w:hAnsi="Book Antiqua"/>
        </w:rPr>
        <w:t xml:space="preserve"> significará la escritura pública mediante la cual se crea el </w:t>
      </w:r>
      <w:r w:rsidRPr="00C77A03">
        <w:rPr>
          <w:rFonts w:ascii="Book Antiqua" w:hAnsi="Book Antiqua"/>
        </w:rPr>
        <w:lastRenderedPageBreak/>
        <w:t xml:space="preserve">Fideicomiso otorgada por la AAFAF, actuando como fideicomitente. </w:t>
      </w:r>
    </w:p>
    <w:p w14:paraId="45013251" w14:textId="77777777" w:rsidR="00D208FF" w:rsidRDefault="00C77A03" w:rsidP="0086270D">
      <w:pPr>
        <w:pStyle w:val="Prrafodelista"/>
        <w:widowControl w:val="0"/>
        <w:numPr>
          <w:ilvl w:val="0"/>
          <w:numId w:val="9"/>
        </w:numPr>
        <w:spacing w:before="120" w:after="120" w:line="480" w:lineRule="auto"/>
        <w:jc w:val="both"/>
        <w:rPr>
          <w:rFonts w:ascii="Book Antiqua" w:hAnsi="Book Antiqua"/>
        </w:rPr>
      </w:pPr>
      <w:r w:rsidRPr="00D208FF">
        <w:rPr>
          <w:rFonts w:ascii="Book Antiqua" w:hAnsi="Book Antiqua"/>
          <w:b/>
          <w:bCs/>
        </w:rPr>
        <w:t>Fideicomiso</w:t>
      </w:r>
      <w:r w:rsidRPr="00C77A03">
        <w:rPr>
          <w:rFonts w:ascii="Book Antiqua" w:hAnsi="Book Antiqua"/>
        </w:rPr>
        <w:t xml:space="preserve">, significará el Fideicomiso para el Retiro </w:t>
      </w:r>
      <w:r w:rsidR="00D208FF">
        <w:rPr>
          <w:rFonts w:ascii="Book Antiqua" w:hAnsi="Book Antiqua"/>
        </w:rPr>
        <w:t>del Negociado de Investigaciones Especiales (NIE)</w:t>
      </w:r>
      <w:r w:rsidRPr="00C77A03">
        <w:rPr>
          <w:rFonts w:ascii="Book Antiqua" w:hAnsi="Book Antiqua"/>
        </w:rPr>
        <w:t xml:space="preserve"> autorizado mediante esta Ley. </w:t>
      </w:r>
    </w:p>
    <w:p w14:paraId="5934813B" w14:textId="77777777" w:rsidR="00D208FF" w:rsidRDefault="00C77A03" w:rsidP="0086270D">
      <w:pPr>
        <w:pStyle w:val="Prrafodelista"/>
        <w:widowControl w:val="0"/>
        <w:numPr>
          <w:ilvl w:val="0"/>
          <w:numId w:val="9"/>
        </w:numPr>
        <w:spacing w:before="120" w:after="120" w:line="480" w:lineRule="auto"/>
        <w:jc w:val="both"/>
        <w:rPr>
          <w:rFonts w:ascii="Book Antiqua" w:hAnsi="Book Antiqua"/>
        </w:rPr>
      </w:pPr>
      <w:r w:rsidRPr="00D208FF">
        <w:rPr>
          <w:rFonts w:ascii="Book Antiqua" w:hAnsi="Book Antiqua"/>
          <w:b/>
          <w:bCs/>
        </w:rPr>
        <w:t>Junta o Junta de Retiro del Gobierno de Puerto Rico</w:t>
      </w:r>
      <w:r w:rsidR="00D208FF">
        <w:rPr>
          <w:rFonts w:ascii="Book Antiqua" w:hAnsi="Book Antiqua"/>
        </w:rPr>
        <w:t xml:space="preserve"> -</w:t>
      </w:r>
      <w:r w:rsidRPr="00C77A03">
        <w:rPr>
          <w:rFonts w:ascii="Book Antiqua" w:hAnsi="Book Antiqua"/>
        </w:rPr>
        <w:t xml:space="preserve"> significará la Junta de Retiro del Gobierno de Puerto Rico creada por la Ley 106-2017, según enmendada, conocida como la “Ley para Garantizar el Pago a Nuestros Pensionados y Establecer un Nuevo Plan de Aportaciones Definidas para los Servidores Públicos”. </w:t>
      </w:r>
    </w:p>
    <w:p w14:paraId="37A06000" w14:textId="77777777" w:rsidR="00B22427" w:rsidRDefault="00C77A03" w:rsidP="0086270D">
      <w:pPr>
        <w:pStyle w:val="Prrafodelista"/>
        <w:widowControl w:val="0"/>
        <w:numPr>
          <w:ilvl w:val="0"/>
          <w:numId w:val="9"/>
        </w:numPr>
        <w:spacing w:before="120" w:after="120" w:line="480" w:lineRule="auto"/>
        <w:jc w:val="both"/>
        <w:rPr>
          <w:rFonts w:ascii="Book Antiqua" w:hAnsi="Book Antiqua"/>
        </w:rPr>
      </w:pPr>
      <w:r w:rsidRPr="00D208FF">
        <w:rPr>
          <w:rFonts w:ascii="Book Antiqua" w:hAnsi="Book Antiqua"/>
          <w:b/>
          <w:bCs/>
        </w:rPr>
        <w:t>Miembro Elegible</w:t>
      </w:r>
      <w:r w:rsidR="00D208FF">
        <w:rPr>
          <w:rFonts w:ascii="Book Antiqua" w:hAnsi="Book Antiqua"/>
        </w:rPr>
        <w:t xml:space="preserve"> -</w:t>
      </w:r>
      <w:r w:rsidRPr="00C77A03">
        <w:rPr>
          <w:rFonts w:ascii="Book Antiqua" w:hAnsi="Book Antiqua"/>
        </w:rPr>
        <w:t xml:space="preserve"> significará los </w:t>
      </w:r>
      <w:r w:rsidR="00B22427">
        <w:rPr>
          <w:rFonts w:ascii="Book Antiqua" w:hAnsi="Book Antiqua"/>
        </w:rPr>
        <w:t>agentes</w:t>
      </w:r>
      <w:r w:rsidRPr="00C77A03">
        <w:rPr>
          <w:rFonts w:ascii="Book Antiqua" w:hAnsi="Book Antiqua"/>
        </w:rPr>
        <w:t xml:space="preserve"> activos o retirados del </w:t>
      </w:r>
      <w:r w:rsidR="00B22427">
        <w:rPr>
          <w:rFonts w:ascii="Book Antiqua" w:hAnsi="Book Antiqua"/>
        </w:rPr>
        <w:t>NIE</w:t>
      </w:r>
      <w:r w:rsidRPr="00C77A03">
        <w:rPr>
          <w:rFonts w:ascii="Book Antiqua" w:hAnsi="Book Antiqua"/>
        </w:rPr>
        <w:t xml:space="preserve">, independientemente de si reciben o tienen derecho a recibir pensiones acumuladas y otros beneficios al amparo de la Ley Núm. 447 del 15 de mayo de 1951, según enmendada; el Programa de Cuentas de Ahorros para el Retiro establecido por la Ley 305-1999; el Programa Híbrido de Contribución Definida establecido por la Ley 3-2013, y la Ley 106-2017, según enmendada, conocida como la “Ley para Garantizar el Pago a Nuestros Pensionados y Establecer un Nuevo Plan de Aportaciones Definidas para los Servidores Públicos”, o cualquier ley subsiguiente. </w:t>
      </w:r>
    </w:p>
    <w:p w14:paraId="2B8C8386" w14:textId="0B210C62" w:rsidR="0086270D" w:rsidRPr="00C77A03" w:rsidRDefault="00C77A03" w:rsidP="0086270D">
      <w:pPr>
        <w:pStyle w:val="Prrafodelista"/>
        <w:widowControl w:val="0"/>
        <w:numPr>
          <w:ilvl w:val="0"/>
          <w:numId w:val="9"/>
        </w:numPr>
        <w:spacing w:before="120" w:after="120" w:line="480" w:lineRule="auto"/>
        <w:jc w:val="both"/>
        <w:rPr>
          <w:rFonts w:ascii="Book Antiqua" w:hAnsi="Book Antiqua"/>
        </w:rPr>
      </w:pPr>
      <w:r w:rsidRPr="00B22427">
        <w:rPr>
          <w:rFonts w:ascii="Book Antiqua" w:hAnsi="Book Antiqua"/>
          <w:b/>
          <w:bCs/>
        </w:rPr>
        <w:t>Negociado</w:t>
      </w:r>
      <w:r w:rsidR="00B22427">
        <w:rPr>
          <w:rFonts w:ascii="Book Antiqua" w:hAnsi="Book Antiqua"/>
        </w:rPr>
        <w:t xml:space="preserve"> o “NIE”</w:t>
      </w:r>
      <w:r w:rsidR="00A56295">
        <w:rPr>
          <w:rFonts w:ascii="Book Antiqua" w:hAnsi="Book Antiqua"/>
        </w:rPr>
        <w:t xml:space="preserve"> -</w:t>
      </w:r>
      <w:r w:rsidRPr="00C77A03">
        <w:rPr>
          <w:rFonts w:ascii="Book Antiqua" w:hAnsi="Book Antiqua"/>
        </w:rPr>
        <w:t xml:space="preserve"> significará el Negociado de </w:t>
      </w:r>
      <w:r w:rsidR="00B22427">
        <w:rPr>
          <w:rFonts w:ascii="Book Antiqua" w:hAnsi="Book Antiqua"/>
        </w:rPr>
        <w:t>Investigaciones Especiales</w:t>
      </w:r>
      <w:r w:rsidR="00A56295">
        <w:rPr>
          <w:rFonts w:ascii="Book Antiqua" w:hAnsi="Book Antiqua"/>
        </w:rPr>
        <w:t>.</w:t>
      </w:r>
    </w:p>
    <w:p w14:paraId="7C20624C" w14:textId="5305366B" w:rsidR="0086270D" w:rsidRDefault="00A56295" w:rsidP="00A56295">
      <w:pPr>
        <w:widowControl w:val="0"/>
        <w:spacing w:before="120" w:after="120" w:line="480" w:lineRule="auto"/>
        <w:ind w:left="360"/>
        <w:jc w:val="both"/>
        <w:rPr>
          <w:rFonts w:ascii="Book Antiqua" w:hAnsi="Book Antiqua"/>
          <w:lang w:val="es-ES"/>
        </w:rPr>
      </w:pPr>
      <w:r>
        <w:rPr>
          <w:rFonts w:ascii="Book Antiqua" w:hAnsi="Book Antiqua"/>
          <w:lang w:val="es-ES"/>
        </w:rPr>
        <w:t>Sección 3.- Creación del Fideicomiso</w:t>
      </w:r>
      <w:r w:rsidR="003E5F40">
        <w:rPr>
          <w:rFonts w:ascii="Book Antiqua" w:hAnsi="Book Antiqua"/>
          <w:lang w:val="es-ES"/>
        </w:rPr>
        <w:t>.</w:t>
      </w:r>
    </w:p>
    <w:p w14:paraId="47127736" w14:textId="77777777" w:rsidR="008F5612" w:rsidRPr="008F5612" w:rsidRDefault="003E5F40" w:rsidP="00DC7C2E">
      <w:pPr>
        <w:pStyle w:val="Prrafodelista"/>
        <w:widowControl w:val="0"/>
        <w:numPr>
          <w:ilvl w:val="0"/>
          <w:numId w:val="10"/>
        </w:numPr>
        <w:spacing w:before="120" w:after="120" w:line="480" w:lineRule="auto"/>
        <w:ind w:left="360"/>
        <w:jc w:val="both"/>
        <w:rPr>
          <w:rFonts w:ascii="Book Antiqua" w:hAnsi="Book Antiqua"/>
          <w:lang w:val="es-ES"/>
        </w:rPr>
      </w:pPr>
      <w:r w:rsidRPr="008F5612">
        <w:rPr>
          <w:rFonts w:ascii="Book Antiqua" w:hAnsi="Book Antiqua"/>
        </w:rPr>
        <w:t xml:space="preserve">Se ordena a la AAFAF, actuando como fideicomitente, dentro de los noventa (90) días luego de la vigencia de esta Ley, a otorgar la Escritura Constituyente mediante la cual se establecerá el Fideicomiso, un fideicomiso privado con fines no pecuniarios, cuyo corpus estará comprendido por los fondos transferidos a éste de </w:t>
      </w:r>
      <w:r w:rsidR="009B61A9" w:rsidRPr="008F5612">
        <w:rPr>
          <w:rFonts w:ascii="Book Antiqua" w:hAnsi="Book Antiqua"/>
        </w:rPr>
        <w:t>la operación de</w:t>
      </w:r>
      <w:r w:rsidR="00FD7B69" w:rsidRPr="008F5612">
        <w:rPr>
          <w:rFonts w:ascii="Book Antiqua" w:hAnsi="Book Antiqua"/>
        </w:rPr>
        <w:t xml:space="preserve">l </w:t>
      </w:r>
      <w:r w:rsidR="00FD7B69" w:rsidRPr="008F5612">
        <w:rPr>
          <w:rFonts w:ascii="Book Antiqua" w:hAnsi="Book Antiqua"/>
        </w:rPr>
        <w:lastRenderedPageBreak/>
        <w:t>Sistema de Video Juego Electrónico conocido como</w:t>
      </w:r>
      <w:r w:rsidR="009B61A9" w:rsidRPr="008F5612">
        <w:rPr>
          <w:rFonts w:ascii="Book Antiqua" w:hAnsi="Book Antiqua"/>
        </w:rPr>
        <w:t xml:space="preserve"> máquinas “Lucky Cash</w:t>
      </w:r>
      <w:r w:rsidR="000567DB" w:rsidRPr="008F5612">
        <w:rPr>
          <w:rFonts w:ascii="Book Antiqua" w:hAnsi="Book Antiqua"/>
        </w:rPr>
        <w:t>”</w:t>
      </w:r>
      <w:r w:rsidRPr="008F5612">
        <w:rPr>
          <w:rFonts w:ascii="Book Antiqua" w:hAnsi="Book Antiqua"/>
        </w:rPr>
        <w:t xml:space="preserve"> en conformidad con la </w:t>
      </w:r>
      <w:r w:rsidR="001234BE" w:rsidRPr="008F5612">
        <w:rPr>
          <w:rFonts w:ascii="Book Antiqua" w:hAnsi="Book Antiqua"/>
          <w:lang w:val="es-ES"/>
        </w:rPr>
        <w:t>Ley Núm. 83 de 2 de julio de 1987, según enmendada, conocida como “Ley de la Industria y el Deporte Hípico de Puerto Rico”</w:t>
      </w:r>
      <w:r w:rsidRPr="008F5612">
        <w:rPr>
          <w:rFonts w:ascii="Book Antiqua" w:hAnsi="Book Antiqua"/>
        </w:rPr>
        <w:t xml:space="preserve">; como cualesquier otros bienes que en el futuro adquiera o aquellos que le sean donados. La Junta fungirá como fiduciario del Fideicomiso. </w:t>
      </w:r>
    </w:p>
    <w:p w14:paraId="2A8FD61F" w14:textId="585B7132" w:rsidR="003E5F40" w:rsidRPr="008F5612" w:rsidRDefault="003E5F40" w:rsidP="00DC7C2E">
      <w:pPr>
        <w:pStyle w:val="Prrafodelista"/>
        <w:widowControl w:val="0"/>
        <w:numPr>
          <w:ilvl w:val="0"/>
          <w:numId w:val="10"/>
        </w:numPr>
        <w:spacing w:before="120" w:after="120" w:line="480" w:lineRule="auto"/>
        <w:ind w:left="360"/>
        <w:jc w:val="both"/>
        <w:rPr>
          <w:rFonts w:ascii="Book Antiqua" w:hAnsi="Book Antiqua"/>
          <w:lang w:val="es-ES"/>
        </w:rPr>
      </w:pPr>
      <w:r w:rsidRPr="008F5612">
        <w:rPr>
          <w:rFonts w:ascii="Book Antiqua" w:hAnsi="Book Antiqua"/>
        </w:rPr>
        <w:t>Los activos del Fideicomiso se distribuirán a los Miembros Elegibles, a base de la determinación anual que realice la Junta de Retiro del Gobierno de Puerto Rico de la siguiente forma:</w:t>
      </w:r>
    </w:p>
    <w:p w14:paraId="21091CC5" w14:textId="77777777" w:rsidR="00BF09B3" w:rsidRPr="00BF09B3"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 xml:space="preserve">Miembros Elegibles retirados: incluirá a todos los miembros vivos al 30 de abril, que se hayan retirado del Negociado de </w:t>
      </w:r>
      <w:r w:rsidR="00BF09B3">
        <w:rPr>
          <w:rFonts w:ascii="Book Antiqua" w:hAnsi="Book Antiqua"/>
        </w:rPr>
        <w:t>Investigaciones Especiales</w:t>
      </w:r>
      <w:r w:rsidRPr="00BF09B3">
        <w:rPr>
          <w:rFonts w:ascii="Book Antiqua" w:hAnsi="Book Antiqua"/>
        </w:rPr>
        <w:t xml:space="preserve"> en o antes del inicio del año fiscal en curso, que hayan cumplido cincuenta y cinco (55) </w:t>
      </w:r>
      <w:proofErr w:type="gramStart"/>
      <w:r w:rsidRPr="00BF09B3">
        <w:rPr>
          <w:rFonts w:ascii="Book Antiqua" w:hAnsi="Book Antiqua"/>
        </w:rPr>
        <w:t>años de edad</w:t>
      </w:r>
      <w:proofErr w:type="gramEnd"/>
      <w:r w:rsidRPr="00BF09B3">
        <w:rPr>
          <w:rFonts w:ascii="Book Antiqua" w:hAnsi="Book Antiqua"/>
        </w:rPr>
        <w:t xml:space="preserve"> y completado treinta (30) años de servicio. </w:t>
      </w:r>
    </w:p>
    <w:p w14:paraId="3F339610" w14:textId="77777777" w:rsidR="005C3FC7" w:rsidRPr="005C3FC7"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La cantidad total asignada a ser distribuida equivaldrá un ochenta por ciento (80%) del balance del Fideicomiso al 30 de abril de cada año fiscal</w:t>
      </w:r>
      <w:r w:rsidR="005C3FC7">
        <w:rPr>
          <w:rFonts w:ascii="Book Antiqua" w:hAnsi="Book Antiqua"/>
        </w:rPr>
        <w:t>.</w:t>
      </w:r>
    </w:p>
    <w:p w14:paraId="0C2C16F0" w14:textId="77777777" w:rsidR="005C3FC7" w:rsidRPr="005C3FC7"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 xml:space="preserve">La cantidad total asignada a ser distribuida se dividirá entre todos los Miembros Elegibles retirados, de forma que se aproxime, en lo máximo posible, al cincuenta por ciento de la Compensación Promedio, tomando en cuenta los ingresos y/o pagos por concepto de retiro que cada Miembro Elegible tenga derecho a recibir por concepto de Seguro Social, anualidades, beneficios o beneficios definidos concedidos por los distintos programas de retiro establecidos por la Ley Núm. 447 del 15 de mayo de 1951, según enmendada, beneficios o distribuciones del Programa de Cuentas de Ahorros para el Retiro </w:t>
      </w:r>
      <w:r w:rsidRPr="00BF09B3">
        <w:rPr>
          <w:rFonts w:ascii="Book Antiqua" w:hAnsi="Book Antiqua"/>
        </w:rPr>
        <w:lastRenderedPageBreak/>
        <w:t xml:space="preserve">establecido por la Ley 305-1999, el Programa Híbrido de Contribución Definida establecido por la Ley 3-2013; y de las Cuentas de Aportaciones Definidas del Nuevo Plan de Aportaciones Definidas según establecido por la Ley 106-2017, según enmendada, conocida como “Ley para Garantizar el Pago a Nuestros Pensionados y Establecer un Nuevo Plan de Aportaciones Definidas para los Servidores Públicos”. </w:t>
      </w:r>
    </w:p>
    <w:p w14:paraId="6901D492" w14:textId="77777777" w:rsidR="005C3FC7" w:rsidRPr="005C3FC7"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 xml:space="preserve">La Junta de Retiro del Gobierno de Puerto Rico emitirá una autorización al Fideicomiso para que distribuya el 30 de junio de cada año fiscal, las cantidades asignadas a cada Miembro Elegible retirado. </w:t>
      </w:r>
    </w:p>
    <w:p w14:paraId="1E3EE76D" w14:textId="77777777" w:rsidR="005C3FC7" w:rsidRPr="005C3FC7"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 xml:space="preserve">Cualquier sobrante no utilizado en mejorar la compensación del retiro, podrá ser utilizado, a discreción de la Junta de Retiro del Gobierno de Puerto Rico, para el pago de licencias, horas extras y liquidaciones al momento del retiro de un Miembro Elegible activo del Negociado de </w:t>
      </w:r>
      <w:r w:rsidR="005C3FC7">
        <w:rPr>
          <w:rFonts w:ascii="Book Antiqua" w:hAnsi="Book Antiqua"/>
        </w:rPr>
        <w:t>Investigaciones Especiales</w:t>
      </w:r>
      <w:r w:rsidRPr="00BF09B3">
        <w:rPr>
          <w:rFonts w:ascii="Book Antiqua" w:hAnsi="Book Antiqua"/>
        </w:rPr>
        <w:t xml:space="preserve"> o para contribuciones discrecionales adicionales al amparo de la Ley 106-2017, según enmendada, para Miembros Elegibles activos del Negociado. </w:t>
      </w:r>
    </w:p>
    <w:p w14:paraId="60EA7D0D" w14:textId="77777777" w:rsidR="005C3FC7" w:rsidRPr="005C3FC7" w:rsidRDefault="002925A1" w:rsidP="00DC7C2E">
      <w:pPr>
        <w:pStyle w:val="Prrafodelista"/>
        <w:widowControl w:val="0"/>
        <w:numPr>
          <w:ilvl w:val="0"/>
          <w:numId w:val="11"/>
        </w:numPr>
        <w:spacing w:before="120" w:after="120" w:line="480" w:lineRule="auto"/>
        <w:ind w:left="1080"/>
        <w:jc w:val="both"/>
        <w:rPr>
          <w:rFonts w:ascii="Book Antiqua" w:hAnsi="Book Antiqua"/>
          <w:lang w:val="es-ES"/>
        </w:rPr>
      </w:pPr>
      <w:r w:rsidRPr="00BF09B3">
        <w:rPr>
          <w:rFonts w:ascii="Book Antiqua" w:hAnsi="Book Antiqua"/>
        </w:rPr>
        <w:t>Cualquier otro aspecto técnico necesario para la distribución de los activos del Fideicomiso de conformidad con lo aquí dispuesto, será establecido por la Junta de Retiro del Gobierno de Puerto Rico mediante reglamentación.</w:t>
      </w:r>
    </w:p>
    <w:p w14:paraId="7E7D36EB" w14:textId="0D189433" w:rsidR="003A38C2" w:rsidRPr="003A38C2" w:rsidRDefault="002925A1" w:rsidP="00DC7C2E">
      <w:pPr>
        <w:pStyle w:val="Prrafodelista"/>
        <w:widowControl w:val="0"/>
        <w:numPr>
          <w:ilvl w:val="0"/>
          <w:numId w:val="10"/>
        </w:numPr>
        <w:spacing w:before="120" w:after="120" w:line="480" w:lineRule="auto"/>
        <w:ind w:left="360"/>
        <w:jc w:val="both"/>
        <w:rPr>
          <w:rFonts w:ascii="Book Antiqua" w:hAnsi="Book Antiqua"/>
        </w:rPr>
      </w:pPr>
      <w:r w:rsidRPr="003A38C2">
        <w:rPr>
          <w:rFonts w:ascii="Book Antiqua" w:hAnsi="Book Antiqua"/>
        </w:rPr>
        <w:t xml:space="preserve">El funcionamiento del Fideicomiso se regirá por las disposiciones de </w:t>
      </w:r>
      <w:r w:rsidR="003A38C2" w:rsidRPr="003A38C2">
        <w:rPr>
          <w:rFonts w:ascii="Book Antiqua" w:hAnsi="Book Antiqua"/>
        </w:rPr>
        <w:t xml:space="preserve">esta Ley y las de la Escritura Constituyente. Dicha Escritura Constituyente especificará la forma y manera en que la Junta, como fiduciario del Fideicomiso ejercerá todos los poderes, prerrogativas y responsabilidades conferidas al Fideicomiso por esta Ley. </w:t>
      </w:r>
    </w:p>
    <w:p w14:paraId="0A3CF52C" w14:textId="77777777" w:rsidR="003A38C2" w:rsidRPr="003A38C2" w:rsidRDefault="003A38C2" w:rsidP="00DC7C2E">
      <w:pPr>
        <w:pStyle w:val="Prrafodelista"/>
        <w:widowControl w:val="0"/>
        <w:numPr>
          <w:ilvl w:val="0"/>
          <w:numId w:val="10"/>
        </w:numPr>
        <w:spacing w:before="120" w:after="120" w:line="480" w:lineRule="auto"/>
        <w:ind w:left="360"/>
        <w:jc w:val="both"/>
        <w:rPr>
          <w:rFonts w:ascii="Book Antiqua" w:hAnsi="Book Antiqua"/>
          <w:lang w:val="es-ES"/>
        </w:rPr>
      </w:pPr>
      <w:r w:rsidRPr="003A38C2">
        <w:rPr>
          <w:rFonts w:ascii="Book Antiqua" w:hAnsi="Book Antiqua"/>
        </w:rPr>
        <w:lastRenderedPageBreak/>
        <w:t xml:space="preserve">El Fideicomiso se crea con personalidad jurídica independiente. Los fondos del Fideicomiso se mantendrán separados de otros fondos bajo la custodia de la AAFAF y el Gobierno de Puerto Rico y se mantendrán donde determine la Junta, conforme a las facultades que se le otorgue mediante esta Ley y las disposiciones reglamentarias que se adopten al amparo de </w:t>
      </w:r>
      <w:proofErr w:type="gramStart"/>
      <w:r w:rsidRPr="003A38C2">
        <w:rPr>
          <w:rFonts w:ascii="Book Antiqua" w:hAnsi="Book Antiqua"/>
        </w:rPr>
        <w:t>las mismas</w:t>
      </w:r>
      <w:proofErr w:type="gramEnd"/>
      <w:r w:rsidRPr="003A38C2">
        <w:rPr>
          <w:rFonts w:ascii="Book Antiqua" w:hAnsi="Book Antiqua"/>
        </w:rPr>
        <w:t xml:space="preserve">. </w:t>
      </w:r>
    </w:p>
    <w:p w14:paraId="647EF068" w14:textId="48290BC7" w:rsidR="0086270D" w:rsidRPr="00C23DE1" w:rsidRDefault="003A38C2" w:rsidP="00DC7C2E">
      <w:pPr>
        <w:pStyle w:val="Prrafodelista"/>
        <w:widowControl w:val="0"/>
        <w:numPr>
          <w:ilvl w:val="0"/>
          <w:numId w:val="10"/>
        </w:numPr>
        <w:spacing w:before="120" w:after="120" w:line="480" w:lineRule="auto"/>
        <w:ind w:left="360"/>
        <w:jc w:val="both"/>
        <w:rPr>
          <w:rFonts w:ascii="Book Antiqua" w:hAnsi="Book Antiqua"/>
          <w:lang w:val="es-ES"/>
        </w:rPr>
      </w:pPr>
      <w:r w:rsidRPr="003A38C2">
        <w:rPr>
          <w:rFonts w:ascii="Book Antiqua" w:hAnsi="Book Antiqua"/>
        </w:rPr>
        <w:t>Mientras esté constituida la Junta de Supervisión y Administración Financiera para Puerto Rico, la Junta de Retiro del Gobierno de Puerto Rico, AAFAF y el Fidecomiso ejercerán todos los poderes y las facultades concedidos por esta Ley en cumplimiento con el Plan</w:t>
      </w:r>
      <w:r w:rsidR="00C23DE1">
        <w:rPr>
          <w:rFonts w:ascii="Book Antiqua" w:hAnsi="Book Antiqua"/>
        </w:rPr>
        <w:t xml:space="preserve"> </w:t>
      </w:r>
      <w:r w:rsidR="00C23DE1" w:rsidRPr="00C23DE1">
        <w:rPr>
          <w:rFonts w:ascii="Book Antiqua" w:hAnsi="Book Antiqua"/>
        </w:rPr>
        <w:t xml:space="preserve">Fiscal del Estado Libre Asociado de Puerto Rico certificado por la Junta de Supervisión y Administración Financiera para Puerto Rico según el Puerto Rico </w:t>
      </w:r>
      <w:proofErr w:type="spellStart"/>
      <w:r w:rsidR="00C23DE1" w:rsidRPr="00C23DE1">
        <w:rPr>
          <w:rFonts w:ascii="Book Antiqua" w:hAnsi="Book Antiqua"/>
        </w:rPr>
        <w:t>Oversight</w:t>
      </w:r>
      <w:proofErr w:type="spellEnd"/>
      <w:r w:rsidR="00C23DE1" w:rsidRPr="00C23DE1">
        <w:rPr>
          <w:rFonts w:ascii="Book Antiqua" w:hAnsi="Book Antiqua"/>
        </w:rPr>
        <w:t xml:space="preserve">, Management and </w:t>
      </w:r>
      <w:proofErr w:type="spellStart"/>
      <w:r w:rsidR="00C23DE1" w:rsidRPr="00C23DE1">
        <w:rPr>
          <w:rFonts w:ascii="Book Antiqua" w:hAnsi="Book Antiqua"/>
        </w:rPr>
        <w:t>Economic</w:t>
      </w:r>
      <w:proofErr w:type="spellEnd"/>
      <w:r w:rsidR="00C23DE1" w:rsidRPr="00C23DE1">
        <w:rPr>
          <w:rFonts w:ascii="Book Antiqua" w:hAnsi="Book Antiqua"/>
        </w:rPr>
        <w:t xml:space="preserve"> </w:t>
      </w:r>
      <w:proofErr w:type="spellStart"/>
      <w:r w:rsidR="00C23DE1" w:rsidRPr="00C23DE1">
        <w:rPr>
          <w:rFonts w:ascii="Book Antiqua" w:hAnsi="Book Antiqua"/>
        </w:rPr>
        <w:t>Stability</w:t>
      </w:r>
      <w:proofErr w:type="spellEnd"/>
      <w:r w:rsidR="00C23DE1" w:rsidRPr="00C23DE1">
        <w:rPr>
          <w:rFonts w:ascii="Book Antiqua" w:hAnsi="Book Antiqua"/>
        </w:rPr>
        <w:t xml:space="preserve"> </w:t>
      </w:r>
      <w:proofErr w:type="spellStart"/>
      <w:r w:rsidR="00C23DE1" w:rsidRPr="00C23DE1">
        <w:rPr>
          <w:rFonts w:ascii="Book Antiqua" w:hAnsi="Book Antiqua"/>
        </w:rPr>
        <w:t>Act</w:t>
      </w:r>
      <w:proofErr w:type="spellEnd"/>
      <w:r w:rsidR="00C23DE1" w:rsidRPr="00C23DE1">
        <w:rPr>
          <w:rFonts w:ascii="Book Antiqua" w:hAnsi="Book Antiqua"/>
        </w:rPr>
        <w:t xml:space="preserve"> </w:t>
      </w:r>
      <w:proofErr w:type="spellStart"/>
      <w:r w:rsidR="00C23DE1" w:rsidRPr="00C23DE1">
        <w:rPr>
          <w:rFonts w:ascii="Book Antiqua" w:hAnsi="Book Antiqua"/>
        </w:rPr>
        <w:t>of</w:t>
      </w:r>
      <w:proofErr w:type="spellEnd"/>
      <w:r w:rsidR="00C23DE1" w:rsidRPr="00C23DE1">
        <w:rPr>
          <w:rFonts w:ascii="Book Antiqua" w:hAnsi="Book Antiqua"/>
        </w:rPr>
        <w:t xml:space="preserve"> 2016 (PROMESA) y en todo momento con sujeción a lo dispuesto por PROMESA</w:t>
      </w:r>
      <w:r w:rsidR="00C23DE1">
        <w:rPr>
          <w:rFonts w:ascii="Book Antiqua" w:hAnsi="Book Antiqua"/>
        </w:rPr>
        <w:t>.</w:t>
      </w:r>
    </w:p>
    <w:p w14:paraId="170C9929" w14:textId="21A55FE9" w:rsidR="00C23DE1" w:rsidRDefault="00C23DE1" w:rsidP="00C23DE1">
      <w:pPr>
        <w:widowControl w:val="0"/>
        <w:spacing w:before="120" w:after="120" w:line="480" w:lineRule="auto"/>
        <w:ind w:left="720"/>
        <w:jc w:val="both"/>
        <w:rPr>
          <w:rFonts w:ascii="Book Antiqua" w:hAnsi="Book Antiqua"/>
          <w:lang w:val="es-ES"/>
        </w:rPr>
      </w:pPr>
      <w:r>
        <w:rPr>
          <w:rFonts w:ascii="Book Antiqua" w:hAnsi="Book Antiqua"/>
          <w:lang w:val="es-ES"/>
        </w:rPr>
        <w:t>Sección 4.- Poderes del Fideicomiso.</w:t>
      </w:r>
    </w:p>
    <w:p w14:paraId="5C202525" w14:textId="77777777" w:rsidR="001A1D9A" w:rsidRPr="003D7B4E" w:rsidRDefault="001A1D9A" w:rsidP="00DC7C2E">
      <w:pPr>
        <w:pStyle w:val="Prrafodelista"/>
        <w:widowControl w:val="0"/>
        <w:numPr>
          <w:ilvl w:val="0"/>
          <w:numId w:val="12"/>
        </w:numPr>
        <w:spacing w:before="120" w:after="120" w:line="480" w:lineRule="auto"/>
        <w:ind w:left="360"/>
        <w:jc w:val="both"/>
        <w:rPr>
          <w:rFonts w:ascii="Book Antiqua" w:hAnsi="Book Antiqua"/>
          <w:lang w:val="es-ES"/>
        </w:rPr>
      </w:pPr>
      <w:r w:rsidRPr="003D7B4E">
        <w:rPr>
          <w:rFonts w:ascii="Book Antiqua" w:hAnsi="Book Antiqua"/>
        </w:rPr>
        <w:t xml:space="preserve">El Fideicomiso tendrá los siguientes derechos, poderes, objetivos y prerrogativas, a realizarse por la Corporación, para implantar adecuadamente la política aquí establecida, incluyendo, pero sin limitarse, a: </w:t>
      </w:r>
    </w:p>
    <w:p w14:paraId="0444AD20" w14:textId="6DFB01D3"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3D7B4E">
        <w:rPr>
          <w:rFonts w:ascii="Book Antiqua" w:hAnsi="Book Antiqua"/>
        </w:rPr>
        <w:t>Establecer, mantener,</w:t>
      </w:r>
      <w:r w:rsidRPr="001A1D9A">
        <w:rPr>
          <w:rFonts w:ascii="Book Antiqua" w:hAnsi="Book Antiqua"/>
        </w:rPr>
        <w:t xml:space="preserve"> operar y poseer en pleno dominio el título de los bienes muebles e inmuebles, estructuras y otros activos, que de tiempo en tiempo le sean transferidos, con el propósito de ser utilizados para, mejorar la compensación que reciben los miembros del Negociado en concepto de retiro y el pago de licencias, horas extras y liquidaciones al momento del </w:t>
      </w:r>
      <w:r w:rsidRPr="001A1D9A">
        <w:rPr>
          <w:rFonts w:ascii="Book Antiqua" w:hAnsi="Book Antiqua"/>
        </w:rPr>
        <w:lastRenderedPageBreak/>
        <w:t xml:space="preserve">retiro de estos en estricto cumplimiento con la sección 3 de esta Ley. </w:t>
      </w:r>
    </w:p>
    <w:p w14:paraId="0D0F40F6"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Solicitar, aceptar, recibir y tomar posesión de los fondos, donaciones, propiedad y activos de toda clase que le sean transferidos, cedidos o transferidos directamente o por disposición de esta sección, por el Gobierno de Puerto Rico, cualquier agencia federal, el Gobierno de los Estados Unidos de América, instituciones públicas o privadas u otras personas naturales; como también cualquier tipo de ayuda técnica, para llevar a cabo los propósitos del Fideicomiso y los fines dispuestos en esta Ley. </w:t>
      </w:r>
    </w:p>
    <w:p w14:paraId="71E064F4"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Proveer apoyo a los miembros del Negociado luego de su retiro. </w:t>
      </w:r>
    </w:p>
    <w:p w14:paraId="6275E608"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Formular, adoptar, enmendar y derogar reglas, políticas y procedimientos que rijan su funcionamiento interno, así como aquellos que sean necesarios para regir sus actividades y las del Fideicomiso y desempeñar sus facultades y deberes. </w:t>
      </w:r>
    </w:p>
    <w:p w14:paraId="6CF3DF8E"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Llevar a cabo sus trabajos de manera que pueda lograr sus objetivos, con personal capacitado y una reducida estructura. </w:t>
      </w:r>
    </w:p>
    <w:p w14:paraId="65736AB1"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Demandar y ser demandada. </w:t>
      </w:r>
    </w:p>
    <w:p w14:paraId="7093F302"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Celebrar actos, acuerdos y contratos de todas clases, incluyendo aquellos relacionados con bienes y servicios. </w:t>
      </w:r>
    </w:p>
    <w:p w14:paraId="52878A67" w14:textId="77777777" w:rsidR="00D52080" w:rsidRPr="00D52080"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 xml:space="preserve">Adquirir y enajenar propiedad a cualquier título. </w:t>
      </w:r>
    </w:p>
    <w:p w14:paraId="74AA671A" w14:textId="77777777" w:rsidR="003D7B4E" w:rsidRPr="003D7B4E"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1A1D9A">
        <w:rPr>
          <w:rFonts w:ascii="Book Antiqua" w:hAnsi="Book Antiqua"/>
        </w:rPr>
        <w:t>Establecer reglamentación para su organización y funcionamiento.</w:t>
      </w:r>
    </w:p>
    <w:p w14:paraId="0DDD422E" w14:textId="77777777" w:rsidR="003D7B4E" w:rsidRPr="003D7B4E"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3D7B4E">
        <w:rPr>
          <w:rFonts w:ascii="Book Antiqua" w:hAnsi="Book Antiqua"/>
        </w:rPr>
        <w:t xml:space="preserve">Recibir los servicios de empleados del sector privado, del gobierno estatal o agencia gubernamental, instrumentalidad gubernamental, corporación </w:t>
      </w:r>
      <w:r w:rsidRPr="003D7B4E">
        <w:rPr>
          <w:rFonts w:ascii="Book Antiqua" w:hAnsi="Book Antiqua"/>
        </w:rPr>
        <w:lastRenderedPageBreak/>
        <w:t xml:space="preserve">pública o municipios, con el consentimiento de dichas dependencias gubernamentales. </w:t>
      </w:r>
    </w:p>
    <w:p w14:paraId="15297EBB" w14:textId="77777777" w:rsidR="003D7B4E" w:rsidRPr="003D7B4E"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3D7B4E">
        <w:rPr>
          <w:rFonts w:ascii="Book Antiqua" w:hAnsi="Book Antiqua"/>
        </w:rPr>
        <w:t xml:space="preserve">Controlar de manera exclusiva sus propiedades y actividades y decidir el carácter y necesidad de todos sus gastos y la forma en que los mismos habrán de incurrirse, autorizarse y pagarse. </w:t>
      </w:r>
    </w:p>
    <w:p w14:paraId="6A06681B" w14:textId="77777777" w:rsidR="003D7B4E" w:rsidRPr="003D7B4E"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3D7B4E">
        <w:rPr>
          <w:rFonts w:ascii="Book Antiqua" w:hAnsi="Book Antiqua"/>
        </w:rPr>
        <w:t xml:space="preserve">Establecer las tarifas y cargos a cobrarse por el uso de los bienes que posea. </w:t>
      </w:r>
    </w:p>
    <w:p w14:paraId="219A99EA" w14:textId="1E0612A8" w:rsidR="00C23DE1" w:rsidRPr="00506DAB" w:rsidRDefault="001A1D9A"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3D7B4E">
        <w:rPr>
          <w:rFonts w:ascii="Book Antiqua" w:hAnsi="Book Antiqua"/>
        </w:rPr>
        <w:t>Tomar dinero a préstamo para cualesquiera de sus fines y deberes según establecidos en esta Ley.</w:t>
      </w:r>
    </w:p>
    <w:p w14:paraId="058D8AD5" w14:textId="77777777" w:rsidR="006C656C" w:rsidRPr="006C656C" w:rsidRDefault="006C656C"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6C656C">
        <w:rPr>
          <w:rFonts w:ascii="Book Antiqua" w:hAnsi="Book Antiqua"/>
        </w:rPr>
        <w:t xml:space="preserve">Proveer ayuda económica de cualquier clase, incluyendo incentivos y subsidios o ayuda técnica a los miembros del Negociado luego de su retiro. </w:t>
      </w:r>
    </w:p>
    <w:p w14:paraId="735D838A" w14:textId="77777777" w:rsidR="006C656C" w:rsidRPr="006C656C" w:rsidRDefault="006C656C"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6C656C">
        <w:rPr>
          <w:rFonts w:ascii="Book Antiqua" w:hAnsi="Book Antiqua"/>
        </w:rPr>
        <w:t xml:space="preserve">Administrar cualquiera de sus proyectos en la forma que por reglamento se determine, en aras de adelantar sus objetivos. </w:t>
      </w:r>
    </w:p>
    <w:p w14:paraId="2D657BF0" w14:textId="77777777" w:rsidR="006C656C" w:rsidRPr="006C656C" w:rsidRDefault="006C656C"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6C656C">
        <w:rPr>
          <w:rFonts w:ascii="Book Antiqua" w:hAnsi="Book Antiqua"/>
        </w:rPr>
        <w:t xml:space="preserve">Servir de entidad encargada de cumplir con las disposiciones de esta Ley y cualquier reglamento aplicable. </w:t>
      </w:r>
    </w:p>
    <w:p w14:paraId="069B0BDA" w14:textId="61C392EC" w:rsidR="00506DAB" w:rsidRPr="003D7B4E" w:rsidRDefault="006C656C" w:rsidP="00DC7C2E">
      <w:pPr>
        <w:pStyle w:val="Prrafodelista"/>
        <w:widowControl w:val="0"/>
        <w:numPr>
          <w:ilvl w:val="0"/>
          <w:numId w:val="13"/>
        </w:numPr>
        <w:spacing w:before="120" w:after="120" w:line="480" w:lineRule="auto"/>
        <w:ind w:left="1350" w:hanging="630"/>
        <w:jc w:val="both"/>
        <w:rPr>
          <w:rFonts w:ascii="Book Antiqua" w:hAnsi="Book Antiqua"/>
          <w:lang w:val="es-ES"/>
        </w:rPr>
      </w:pPr>
      <w:r w:rsidRPr="006C656C">
        <w:rPr>
          <w:rFonts w:ascii="Book Antiqua" w:hAnsi="Book Antiqua"/>
        </w:rPr>
        <w:t>Realizar todos los actos necesarios o convenientes para llevar a cabo los poderes conferidos al Fideicomiso po</w:t>
      </w:r>
      <w:r w:rsidR="00EC4C48" w:rsidRPr="00EC4C48">
        <w:rPr>
          <w:rFonts w:ascii="Book Antiqua" w:hAnsi="Book Antiqua"/>
        </w:rPr>
        <w:t>r esta Ley o por cualquier determinación tomada por parte de la Junta como fiduciaria.</w:t>
      </w:r>
    </w:p>
    <w:p w14:paraId="2A493010" w14:textId="7B5E8A46" w:rsidR="0086270D" w:rsidRDefault="00EC4C48" w:rsidP="00EC4C48">
      <w:pPr>
        <w:widowControl w:val="0"/>
        <w:spacing w:before="120" w:after="120" w:line="480" w:lineRule="auto"/>
        <w:ind w:left="360"/>
        <w:jc w:val="both"/>
        <w:rPr>
          <w:rFonts w:ascii="Book Antiqua" w:hAnsi="Book Antiqua"/>
          <w:lang w:val="es-ES"/>
        </w:rPr>
      </w:pPr>
      <w:r>
        <w:rPr>
          <w:rFonts w:ascii="Book Antiqua" w:hAnsi="Book Antiqua"/>
          <w:lang w:val="es-ES"/>
        </w:rPr>
        <w:t xml:space="preserve">Sección 5.-Junta para el Retiro del </w:t>
      </w:r>
      <w:r w:rsidR="00DC3D64">
        <w:rPr>
          <w:rFonts w:ascii="Book Antiqua" w:hAnsi="Book Antiqua"/>
          <w:lang w:val="es-ES"/>
        </w:rPr>
        <w:t>Negociado de Investigaciones Especiales (</w:t>
      </w:r>
      <w:r>
        <w:rPr>
          <w:rFonts w:ascii="Book Antiqua" w:hAnsi="Book Antiqua"/>
          <w:lang w:val="es-ES"/>
        </w:rPr>
        <w:t>NIE</w:t>
      </w:r>
      <w:r w:rsidR="00DC3D64">
        <w:rPr>
          <w:rFonts w:ascii="Book Antiqua" w:hAnsi="Book Antiqua"/>
          <w:lang w:val="es-ES"/>
        </w:rPr>
        <w:t>)</w:t>
      </w:r>
      <w:r w:rsidR="00BD21EE">
        <w:rPr>
          <w:rFonts w:ascii="Book Antiqua" w:hAnsi="Book Antiqua"/>
          <w:lang w:val="es-ES"/>
        </w:rPr>
        <w:t>.</w:t>
      </w:r>
    </w:p>
    <w:p w14:paraId="1C3B8C4B" w14:textId="6B776210" w:rsidR="00BD21EE" w:rsidRPr="00DC3D64" w:rsidRDefault="00BD21EE" w:rsidP="00DC3D64">
      <w:pPr>
        <w:pStyle w:val="Prrafodelista"/>
        <w:widowControl w:val="0"/>
        <w:numPr>
          <w:ilvl w:val="0"/>
          <w:numId w:val="14"/>
        </w:numPr>
        <w:spacing w:before="120" w:after="120" w:line="480" w:lineRule="auto"/>
        <w:jc w:val="both"/>
        <w:rPr>
          <w:rFonts w:ascii="Book Antiqua" w:hAnsi="Book Antiqua"/>
        </w:rPr>
      </w:pPr>
      <w:r w:rsidRPr="00DC3D64">
        <w:rPr>
          <w:rFonts w:ascii="Book Antiqua" w:hAnsi="Book Antiqua"/>
        </w:rPr>
        <w:t xml:space="preserve">Se establece la Junta para el Retiro </w:t>
      </w:r>
      <w:r w:rsidR="00DC3D64">
        <w:rPr>
          <w:rFonts w:ascii="Book Antiqua" w:hAnsi="Book Antiqua"/>
        </w:rPr>
        <w:t>del Negociado de Investigaciones Especiales</w:t>
      </w:r>
      <w:r w:rsidRPr="00DC3D64">
        <w:rPr>
          <w:rFonts w:ascii="Book Antiqua" w:hAnsi="Book Antiqua"/>
        </w:rPr>
        <w:t xml:space="preserve">, que estará constituida conforme se establece a continuación y ejercerá todos aquellos poderes, responsabilidades y prerrogativas que en este Artículo se le </w:t>
      </w:r>
      <w:r w:rsidRPr="00DC3D64">
        <w:rPr>
          <w:rFonts w:ascii="Book Antiqua" w:hAnsi="Book Antiqua"/>
        </w:rPr>
        <w:lastRenderedPageBreak/>
        <w:t xml:space="preserve">conceden. </w:t>
      </w:r>
    </w:p>
    <w:p w14:paraId="28F97340" w14:textId="0D4A723E" w:rsidR="00BD21EE" w:rsidRDefault="00BD21EE" w:rsidP="00DC3D64">
      <w:pPr>
        <w:pStyle w:val="Prrafodelista"/>
        <w:widowControl w:val="0"/>
        <w:numPr>
          <w:ilvl w:val="0"/>
          <w:numId w:val="15"/>
        </w:numPr>
        <w:spacing w:before="120" w:after="120" w:line="480" w:lineRule="auto"/>
        <w:jc w:val="both"/>
        <w:rPr>
          <w:rFonts w:ascii="Book Antiqua" w:hAnsi="Book Antiqua"/>
        </w:rPr>
      </w:pPr>
      <w:r w:rsidRPr="00DC3D64">
        <w:rPr>
          <w:rFonts w:ascii="Book Antiqua" w:hAnsi="Book Antiqua"/>
        </w:rPr>
        <w:t xml:space="preserve">La Junta para el Retiro </w:t>
      </w:r>
      <w:r w:rsidR="00D47C6D">
        <w:rPr>
          <w:rFonts w:ascii="Book Antiqua" w:hAnsi="Book Antiqua"/>
        </w:rPr>
        <w:t>del Negociado de Investigaciones Especiales</w:t>
      </w:r>
      <w:r w:rsidRPr="00DC3D64">
        <w:rPr>
          <w:rFonts w:ascii="Book Antiqua" w:hAnsi="Book Antiqua"/>
        </w:rPr>
        <w:t xml:space="preserve"> contará con siete (7) miembros, dos (2) de los cuales deben ser miembros del Negociado que se hayan acogido al retiro; dos (2) de los cuales sean miembros activos del Negociado; dos (2) de los cuales serán escogidos por la AAFAF, uno de los cuales servirá como su presidente, y un (1) representante escogido por el Comisionado del Negociado</w:t>
      </w:r>
      <w:r w:rsidR="0043477D">
        <w:rPr>
          <w:rFonts w:ascii="Book Antiqua" w:hAnsi="Book Antiqua"/>
        </w:rPr>
        <w:t xml:space="preserve">, con la aprobación del </w:t>
      </w:r>
      <w:proofErr w:type="gramStart"/>
      <w:r w:rsidR="0043477D">
        <w:rPr>
          <w:rFonts w:ascii="Book Antiqua" w:hAnsi="Book Antiqua"/>
        </w:rPr>
        <w:t>Secretario</w:t>
      </w:r>
      <w:proofErr w:type="gramEnd"/>
      <w:r w:rsidR="0043477D">
        <w:rPr>
          <w:rFonts w:ascii="Book Antiqua" w:hAnsi="Book Antiqua"/>
        </w:rPr>
        <w:t xml:space="preserve"> del Departamento de Seguridad Pública</w:t>
      </w:r>
      <w:r w:rsidRPr="00DC3D64">
        <w:rPr>
          <w:rFonts w:ascii="Book Antiqua" w:hAnsi="Book Antiqua"/>
        </w:rPr>
        <w:t xml:space="preserve">. </w:t>
      </w:r>
    </w:p>
    <w:p w14:paraId="5D4289C8" w14:textId="2851435D" w:rsidR="00BD21EE" w:rsidRDefault="00BD21EE" w:rsidP="00D47C6D">
      <w:pPr>
        <w:pStyle w:val="Prrafodelista"/>
        <w:widowControl w:val="0"/>
        <w:numPr>
          <w:ilvl w:val="0"/>
          <w:numId w:val="15"/>
        </w:numPr>
        <w:spacing w:before="120" w:after="120" w:line="480" w:lineRule="auto"/>
        <w:jc w:val="both"/>
        <w:rPr>
          <w:rFonts w:ascii="Book Antiqua" w:hAnsi="Book Antiqua"/>
        </w:rPr>
      </w:pPr>
      <w:r w:rsidRPr="00D47C6D">
        <w:rPr>
          <w:rFonts w:ascii="Book Antiqua" w:hAnsi="Book Antiqua"/>
        </w:rPr>
        <w:t xml:space="preserve">Los miembros de la Junta para el Retiro </w:t>
      </w:r>
      <w:r w:rsidR="0043477D">
        <w:rPr>
          <w:rFonts w:ascii="Book Antiqua" w:hAnsi="Book Antiqua"/>
        </w:rPr>
        <w:t>del Negociado de Investigaciones Especiales</w:t>
      </w:r>
      <w:r w:rsidRPr="00D47C6D">
        <w:rPr>
          <w:rFonts w:ascii="Book Antiqua" w:hAnsi="Book Antiqua"/>
        </w:rPr>
        <w:t xml:space="preserve"> que representan a los miembros retirados y activos del Negociado serán escogidos mediante votación de los miembros que representan. </w:t>
      </w:r>
    </w:p>
    <w:p w14:paraId="2308F31C" w14:textId="352C1808" w:rsidR="00634A0D" w:rsidRDefault="00BD21EE" w:rsidP="0043477D">
      <w:pPr>
        <w:pStyle w:val="Prrafodelista"/>
        <w:widowControl w:val="0"/>
        <w:numPr>
          <w:ilvl w:val="0"/>
          <w:numId w:val="15"/>
        </w:numPr>
        <w:spacing w:before="120" w:after="120" w:line="480" w:lineRule="auto"/>
        <w:jc w:val="both"/>
        <w:rPr>
          <w:rFonts w:ascii="Book Antiqua" w:hAnsi="Book Antiqua"/>
        </w:rPr>
      </w:pPr>
      <w:r w:rsidRPr="0043477D">
        <w:rPr>
          <w:rFonts w:ascii="Book Antiqua" w:hAnsi="Book Antiqua"/>
        </w:rPr>
        <w:t xml:space="preserve">La designación de los miembros de la Junta para el Retiro </w:t>
      </w:r>
      <w:r w:rsidR="0043477D">
        <w:rPr>
          <w:rFonts w:ascii="Book Antiqua" w:hAnsi="Book Antiqua"/>
        </w:rPr>
        <w:t>del Negociado de Investigaciones Especiales</w:t>
      </w:r>
      <w:r w:rsidR="0043477D" w:rsidRPr="0043477D">
        <w:rPr>
          <w:rFonts w:ascii="Book Antiqua" w:hAnsi="Book Antiqua"/>
        </w:rPr>
        <w:t xml:space="preserve"> </w:t>
      </w:r>
      <w:r w:rsidRPr="0043477D">
        <w:rPr>
          <w:rFonts w:ascii="Book Antiqua" w:hAnsi="Book Antiqua"/>
        </w:rPr>
        <w:t>elegidos por los miembros retirados y activos del Negociado tendrá vigencia de dos (2) años a partir de su juramentación, la cual se llevará a cabo en o antes del treinta (30) de enero del año luego de su elección.</w:t>
      </w:r>
    </w:p>
    <w:p w14:paraId="7BC67CDE" w14:textId="5C151549" w:rsidR="00634A0D" w:rsidRDefault="00BD21EE" w:rsidP="0043477D">
      <w:pPr>
        <w:pStyle w:val="Prrafodelista"/>
        <w:widowControl w:val="0"/>
        <w:numPr>
          <w:ilvl w:val="0"/>
          <w:numId w:val="15"/>
        </w:numPr>
        <w:spacing w:before="120" w:after="120" w:line="480" w:lineRule="auto"/>
        <w:jc w:val="both"/>
        <w:rPr>
          <w:rFonts w:ascii="Book Antiqua" w:hAnsi="Book Antiqua"/>
        </w:rPr>
      </w:pPr>
      <w:proofErr w:type="gramStart"/>
      <w:r w:rsidRPr="0043477D">
        <w:rPr>
          <w:rFonts w:ascii="Book Antiqua" w:hAnsi="Book Antiqua"/>
        </w:rPr>
        <w:t>Los candidatos a representar</w:t>
      </w:r>
      <w:proofErr w:type="gramEnd"/>
      <w:r w:rsidRPr="0043477D">
        <w:rPr>
          <w:rFonts w:ascii="Book Antiqua" w:hAnsi="Book Antiqua"/>
        </w:rPr>
        <w:t xml:space="preserve"> a los miembros activos del Negociado deberán tener al menos diez (10) años de servicio en dicha dependencia. </w:t>
      </w:r>
    </w:p>
    <w:p w14:paraId="51E07D49" w14:textId="4C321A4B" w:rsidR="00634A0D" w:rsidRDefault="00BD21EE" w:rsidP="0043477D">
      <w:pPr>
        <w:pStyle w:val="Prrafodelista"/>
        <w:widowControl w:val="0"/>
        <w:numPr>
          <w:ilvl w:val="0"/>
          <w:numId w:val="15"/>
        </w:numPr>
        <w:spacing w:before="120" w:after="120" w:line="480" w:lineRule="auto"/>
        <w:jc w:val="both"/>
        <w:rPr>
          <w:rFonts w:ascii="Book Antiqua" w:hAnsi="Book Antiqua"/>
        </w:rPr>
      </w:pPr>
      <w:r w:rsidRPr="0043477D">
        <w:rPr>
          <w:rFonts w:ascii="Book Antiqua" w:hAnsi="Book Antiqua"/>
        </w:rPr>
        <w:t>Los miembros escogidos por la AAFAF y el Comisionado del Negociado</w:t>
      </w:r>
      <w:r w:rsidR="0043477D">
        <w:rPr>
          <w:rFonts w:ascii="Book Antiqua" w:hAnsi="Book Antiqua"/>
        </w:rPr>
        <w:t xml:space="preserve">, con la autorización del </w:t>
      </w:r>
      <w:proofErr w:type="gramStart"/>
      <w:r w:rsidR="0043477D">
        <w:rPr>
          <w:rFonts w:ascii="Book Antiqua" w:hAnsi="Book Antiqua"/>
        </w:rPr>
        <w:t>Secretario</w:t>
      </w:r>
      <w:proofErr w:type="gramEnd"/>
      <w:r w:rsidR="0043477D">
        <w:rPr>
          <w:rFonts w:ascii="Book Antiqua" w:hAnsi="Book Antiqua"/>
        </w:rPr>
        <w:t xml:space="preserve"> del Departamento de Seguridad Pública,</w:t>
      </w:r>
      <w:r w:rsidRPr="0043477D">
        <w:rPr>
          <w:rFonts w:ascii="Book Antiqua" w:hAnsi="Book Antiqua"/>
        </w:rPr>
        <w:t xml:space="preserve"> deberán gozar de la total confianza de las entidades que representan, por lo </w:t>
      </w:r>
      <w:r w:rsidRPr="0043477D">
        <w:rPr>
          <w:rFonts w:ascii="Book Antiqua" w:hAnsi="Book Antiqua"/>
        </w:rPr>
        <w:lastRenderedPageBreak/>
        <w:t xml:space="preserve">que podrá ser designado o retirado a su gusto. </w:t>
      </w:r>
    </w:p>
    <w:p w14:paraId="7BB08E53" w14:textId="16C2F7CD" w:rsidR="00634A0D" w:rsidRDefault="00BD21EE" w:rsidP="0043477D">
      <w:pPr>
        <w:pStyle w:val="Prrafodelista"/>
        <w:widowControl w:val="0"/>
        <w:numPr>
          <w:ilvl w:val="0"/>
          <w:numId w:val="15"/>
        </w:numPr>
        <w:spacing w:before="120" w:after="120" w:line="480" w:lineRule="auto"/>
        <w:jc w:val="both"/>
        <w:rPr>
          <w:rFonts w:ascii="Book Antiqua" w:hAnsi="Book Antiqua"/>
        </w:rPr>
      </w:pPr>
      <w:r w:rsidRPr="0043477D">
        <w:rPr>
          <w:rFonts w:ascii="Book Antiqua" w:hAnsi="Book Antiqua"/>
        </w:rPr>
        <w:t xml:space="preserve">Los miembros de la Junta para el Retiro </w:t>
      </w:r>
      <w:r w:rsidR="0043477D">
        <w:rPr>
          <w:rFonts w:ascii="Book Antiqua" w:hAnsi="Book Antiqua"/>
        </w:rPr>
        <w:t>del Negociado de Investigaciones Especiales</w:t>
      </w:r>
      <w:r w:rsidRPr="0043477D">
        <w:rPr>
          <w:rFonts w:ascii="Book Antiqua" w:hAnsi="Book Antiqua"/>
        </w:rPr>
        <w:t xml:space="preserve"> deberán tomar adiestramientos dirigidos a la sana administración y contratación. </w:t>
      </w:r>
    </w:p>
    <w:p w14:paraId="3B0CDC8E" w14:textId="346CBAE6" w:rsidR="00634A0D" w:rsidRDefault="00BD21EE" w:rsidP="0043477D">
      <w:pPr>
        <w:pStyle w:val="Prrafodelista"/>
        <w:widowControl w:val="0"/>
        <w:numPr>
          <w:ilvl w:val="0"/>
          <w:numId w:val="15"/>
        </w:numPr>
        <w:spacing w:before="120" w:after="120" w:line="480" w:lineRule="auto"/>
        <w:jc w:val="both"/>
        <w:rPr>
          <w:rFonts w:ascii="Book Antiqua" w:hAnsi="Book Antiqua"/>
        </w:rPr>
      </w:pPr>
      <w:r w:rsidRPr="0043477D">
        <w:rPr>
          <w:rFonts w:ascii="Book Antiqua" w:hAnsi="Book Antiqua"/>
        </w:rPr>
        <w:t xml:space="preserve">Cinco (5) de los siete (7) de los miembros de la Junta para el Retiro </w:t>
      </w:r>
      <w:r w:rsidR="0043477D">
        <w:rPr>
          <w:rFonts w:ascii="Book Antiqua" w:hAnsi="Book Antiqua"/>
        </w:rPr>
        <w:t>del Negociado de Investigaciones Especiales</w:t>
      </w:r>
      <w:r w:rsidRPr="0043477D">
        <w:rPr>
          <w:rFonts w:ascii="Book Antiqua" w:hAnsi="Book Antiqua"/>
        </w:rPr>
        <w:t xml:space="preserve"> constituirán quórum para sus reuniones. No obstante, solo se reconocerá quórum si al menos uno (1) de los representantes de la AAFAF participa de las reuniones y así se certifica. </w:t>
      </w:r>
    </w:p>
    <w:p w14:paraId="046718EB" w14:textId="36621442" w:rsidR="00BD21EE" w:rsidRDefault="00BD21EE" w:rsidP="0043477D">
      <w:pPr>
        <w:pStyle w:val="Prrafodelista"/>
        <w:widowControl w:val="0"/>
        <w:numPr>
          <w:ilvl w:val="0"/>
          <w:numId w:val="15"/>
        </w:numPr>
        <w:spacing w:before="120" w:after="120" w:line="480" w:lineRule="auto"/>
        <w:jc w:val="both"/>
        <w:rPr>
          <w:rFonts w:ascii="Book Antiqua" w:hAnsi="Book Antiqua"/>
        </w:rPr>
      </w:pPr>
      <w:r w:rsidRPr="0043477D">
        <w:rPr>
          <w:rFonts w:ascii="Book Antiqua" w:hAnsi="Book Antiqua"/>
        </w:rPr>
        <w:t xml:space="preserve">La Junta para el Retiro </w:t>
      </w:r>
      <w:r w:rsidR="0043477D">
        <w:rPr>
          <w:rFonts w:ascii="Book Antiqua" w:hAnsi="Book Antiqua"/>
        </w:rPr>
        <w:t>del Negociado de Investigaciones Especiales</w:t>
      </w:r>
      <w:r w:rsidRPr="0043477D">
        <w:rPr>
          <w:rFonts w:ascii="Book Antiqua" w:hAnsi="Book Antiqua"/>
        </w:rPr>
        <w:t xml:space="preserve"> podrá emitir recomendaciones no vinculantes a la Junta de Retiro del Gobierno de Puerto Rico sobre la administración y manejo del Fidecomiso y tendrá derecho a solicitar de la Junta de Retiro del Gobierno de Puerto Rico aquella información pública y no privilegiada o protegida por ley, relacionada con la administración y manejo del Fideicomiso, que estime necesaria para emitir las recomendaciones, disponiéndose, sin embargo, que la Junta para el Retiro </w:t>
      </w:r>
      <w:r w:rsidR="004F1618">
        <w:rPr>
          <w:rFonts w:ascii="Book Antiqua" w:hAnsi="Book Antiqua"/>
        </w:rPr>
        <w:t>del Negociado de Investigaciones Especiales</w:t>
      </w:r>
      <w:r w:rsidR="00634A0D" w:rsidRPr="0043477D">
        <w:rPr>
          <w:rFonts w:ascii="Book Antiqua" w:hAnsi="Book Antiqua"/>
        </w:rPr>
        <w:t xml:space="preserve"> no tendrá personalidad jurídica propia ni el derecho a incoar acción legal y/o administrativa alguna en contra del Fideicomiso y/o la Junta de Retiro del Gobierno de Puerto Rico por razón de la implementación de esta Ley y cualquier asuntos relacionado con el Fideicomiso.”</w:t>
      </w:r>
    </w:p>
    <w:p w14:paraId="33B39F6A" w14:textId="4AA05B6A" w:rsidR="004F1618" w:rsidRDefault="004F1618" w:rsidP="004F1618">
      <w:pPr>
        <w:widowControl w:val="0"/>
        <w:spacing w:before="120" w:after="120" w:line="480" w:lineRule="auto"/>
        <w:ind w:left="360"/>
        <w:jc w:val="both"/>
        <w:rPr>
          <w:rFonts w:ascii="Book Antiqua" w:hAnsi="Book Antiqua"/>
        </w:rPr>
      </w:pPr>
      <w:r>
        <w:rPr>
          <w:rFonts w:ascii="Book Antiqua" w:hAnsi="Book Antiqua"/>
        </w:rPr>
        <w:t xml:space="preserve">Sección </w:t>
      </w:r>
      <w:r w:rsidR="00B50AA8">
        <w:rPr>
          <w:rFonts w:ascii="Book Antiqua" w:hAnsi="Book Antiqua"/>
        </w:rPr>
        <w:t>6.- Exenciones.</w:t>
      </w:r>
    </w:p>
    <w:p w14:paraId="506411E5" w14:textId="47E3FB35" w:rsidR="00B50AA8" w:rsidRDefault="00B50AA8" w:rsidP="00DE0A0F">
      <w:pPr>
        <w:widowControl w:val="0"/>
        <w:spacing w:before="120" w:after="120" w:line="480" w:lineRule="auto"/>
        <w:ind w:firstLine="360"/>
        <w:jc w:val="both"/>
        <w:rPr>
          <w:rFonts w:ascii="Book Antiqua" w:hAnsi="Book Antiqua"/>
        </w:rPr>
      </w:pPr>
      <w:r w:rsidRPr="00B50AA8">
        <w:rPr>
          <w:rFonts w:ascii="Book Antiqua" w:hAnsi="Book Antiqua"/>
        </w:rPr>
        <w:lastRenderedPageBreak/>
        <w:t>El Fideicomiso gozará de toda exención de contribuciones, derechos, impuestos, arbitrios o cargos, incluyendo los de licencias, así como impuestos sobre ventas y uso o de valor añadido, impuesto o que se impusieran por el Gobierno de Puerto Rico o cualquier subdivisión política de éste, incluyendo todas sus operaciones, sus propiedades muebles o inmuebles, su capital, ingresos y sobrantes, que se le provee y la cual tiene derecho una entidad descrita en la Sección 1101.01(a)(2) del Código 2011 que ha sido debidamente cualificada como tal por el Secretario de Hacienda. También se exime de toda clase de derechos o impuestos requeridos por ley para la prosecución de procedimientos oficiales, la emisión de certificaciones en las oficinas del Gobierno de Puerto Rico y sus subdivisiones políticas y el otorgamiento de documentos públicos y su registro en cualquier registro público en Puerto Rico.</w:t>
      </w:r>
    </w:p>
    <w:p w14:paraId="73532F8A" w14:textId="2B7E070E" w:rsidR="00B50AA8" w:rsidRDefault="00DE0A0F" w:rsidP="004F1618">
      <w:pPr>
        <w:widowControl w:val="0"/>
        <w:spacing w:before="120" w:after="120" w:line="480" w:lineRule="auto"/>
        <w:ind w:left="360"/>
        <w:jc w:val="both"/>
        <w:rPr>
          <w:rFonts w:ascii="Book Antiqua" w:hAnsi="Book Antiqua"/>
        </w:rPr>
      </w:pPr>
      <w:r>
        <w:rPr>
          <w:rFonts w:ascii="Book Antiqua" w:hAnsi="Book Antiqua"/>
        </w:rPr>
        <w:t>Sección 7.-</w:t>
      </w:r>
      <w:r w:rsidR="0021523F">
        <w:rPr>
          <w:rFonts w:ascii="Book Antiqua" w:hAnsi="Book Antiqua"/>
        </w:rPr>
        <w:t xml:space="preserve"> Sistema de Contabilidad.</w:t>
      </w:r>
    </w:p>
    <w:p w14:paraId="6AB69819" w14:textId="676C6BAC" w:rsidR="0021523F" w:rsidRDefault="0021523F" w:rsidP="0021523F">
      <w:pPr>
        <w:widowControl w:val="0"/>
        <w:spacing w:before="120" w:after="120" w:line="480" w:lineRule="auto"/>
        <w:ind w:firstLine="360"/>
        <w:jc w:val="both"/>
        <w:rPr>
          <w:rFonts w:ascii="Book Antiqua" w:hAnsi="Book Antiqua"/>
        </w:rPr>
      </w:pPr>
      <w:r w:rsidRPr="0021523F">
        <w:rPr>
          <w:rFonts w:ascii="Book Antiqua" w:hAnsi="Book Antiqua"/>
        </w:rPr>
        <w:t>La Junta, como fiduciaria del Fideicomiso, establecerá el sistema de contabilidad que permita auditorías internas y externas para el adecuado control y registro de todas sus operaciones.</w:t>
      </w:r>
    </w:p>
    <w:p w14:paraId="6ED08EE1" w14:textId="7375C4F4" w:rsidR="0021523F" w:rsidRDefault="0021523F" w:rsidP="0021523F">
      <w:pPr>
        <w:widowControl w:val="0"/>
        <w:spacing w:before="120" w:after="120" w:line="480" w:lineRule="auto"/>
        <w:ind w:firstLine="360"/>
        <w:jc w:val="both"/>
        <w:rPr>
          <w:rFonts w:ascii="Book Antiqua" w:hAnsi="Book Antiqua"/>
        </w:rPr>
      </w:pPr>
      <w:r>
        <w:rPr>
          <w:rFonts w:ascii="Book Antiqua" w:hAnsi="Book Antiqua"/>
        </w:rPr>
        <w:t>Sección 8.- Deudas y Obligaciones.</w:t>
      </w:r>
    </w:p>
    <w:p w14:paraId="3F33D44F" w14:textId="592DF58D" w:rsidR="0021523F" w:rsidRDefault="00473C9D" w:rsidP="0021523F">
      <w:pPr>
        <w:widowControl w:val="0"/>
        <w:spacing w:before="120" w:after="120" w:line="480" w:lineRule="auto"/>
        <w:ind w:firstLine="360"/>
        <w:jc w:val="both"/>
        <w:rPr>
          <w:rFonts w:ascii="Book Antiqua" w:hAnsi="Book Antiqua"/>
        </w:rPr>
      </w:pPr>
      <w:r>
        <w:rPr>
          <w:rFonts w:ascii="Book Antiqua" w:hAnsi="Book Antiqua"/>
        </w:rPr>
        <w:t xml:space="preserve">Al ser </w:t>
      </w:r>
      <w:r w:rsidRPr="00473C9D">
        <w:rPr>
          <w:rFonts w:ascii="Book Antiqua" w:hAnsi="Book Antiqua"/>
        </w:rPr>
        <w:t>el Fideicomiso de carácter privado, con fines no pecuniarios y perpetuo, las deudas y obligaciones del Fideicomiso no serán deudas u obligaciones del Gobierno de Puerto Rico, ni de sus subdivisiones políticas.</w:t>
      </w:r>
    </w:p>
    <w:p w14:paraId="480CCDD5" w14:textId="626301EC" w:rsidR="00473C9D" w:rsidRDefault="00473C9D" w:rsidP="0021523F">
      <w:pPr>
        <w:widowControl w:val="0"/>
        <w:spacing w:before="120" w:after="120" w:line="480" w:lineRule="auto"/>
        <w:ind w:firstLine="360"/>
        <w:jc w:val="both"/>
        <w:rPr>
          <w:rFonts w:ascii="Book Antiqua" w:hAnsi="Book Antiqua"/>
        </w:rPr>
      </w:pPr>
      <w:r>
        <w:rPr>
          <w:rFonts w:ascii="Book Antiqua" w:hAnsi="Book Antiqua"/>
        </w:rPr>
        <w:t xml:space="preserve">Sección 9.- </w:t>
      </w:r>
      <w:r w:rsidR="002F15DA" w:rsidRPr="002F15DA">
        <w:rPr>
          <w:rFonts w:ascii="Book Antiqua" w:hAnsi="Book Antiqua"/>
        </w:rPr>
        <w:t>Inmunidad; límite de responsabilidad civil</w:t>
      </w:r>
      <w:r w:rsidR="002F15DA">
        <w:rPr>
          <w:rFonts w:ascii="Book Antiqua" w:hAnsi="Book Antiqua"/>
        </w:rPr>
        <w:t>.</w:t>
      </w:r>
    </w:p>
    <w:p w14:paraId="62AD2B33" w14:textId="2D257DDF" w:rsidR="002F15DA" w:rsidRDefault="002F15DA" w:rsidP="0021523F">
      <w:pPr>
        <w:widowControl w:val="0"/>
        <w:spacing w:before="120" w:after="120" w:line="480" w:lineRule="auto"/>
        <w:ind w:firstLine="360"/>
        <w:jc w:val="both"/>
        <w:rPr>
          <w:rFonts w:ascii="Book Antiqua" w:hAnsi="Book Antiqua"/>
        </w:rPr>
      </w:pPr>
      <w:r w:rsidRPr="002F15DA">
        <w:rPr>
          <w:rFonts w:ascii="Book Antiqua" w:hAnsi="Book Antiqua"/>
        </w:rPr>
        <w:t xml:space="preserve">Ni el Fideicomiso, ni la Junta como agente fiduciario, ni sus miembros </w:t>
      </w:r>
      <w:r w:rsidRPr="002F15DA">
        <w:rPr>
          <w:rFonts w:ascii="Book Antiqua" w:hAnsi="Book Antiqua"/>
        </w:rPr>
        <w:lastRenderedPageBreak/>
        <w:t>individualmente, incurrirán en responsabilidad económica por cualquier acción tomada en el desempeño de sus poderes, siempre y cuando sus actos no hayan sido intencionales, ilegales, en contravención del deber fiduciario o para beneficio propio o a sabiendas de que puede ocasionar daño.</w:t>
      </w:r>
    </w:p>
    <w:p w14:paraId="53C9E823" w14:textId="0BACD5C4" w:rsidR="002F15DA" w:rsidRDefault="002F15DA" w:rsidP="0021523F">
      <w:pPr>
        <w:widowControl w:val="0"/>
        <w:spacing w:before="120" w:after="120" w:line="480" w:lineRule="auto"/>
        <w:ind w:firstLine="360"/>
        <w:jc w:val="both"/>
        <w:rPr>
          <w:rFonts w:ascii="Book Antiqua" w:hAnsi="Book Antiqua"/>
        </w:rPr>
      </w:pPr>
      <w:r>
        <w:rPr>
          <w:rFonts w:ascii="Book Antiqua" w:hAnsi="Book Antiqua"/>
        </w:rPr>
        <w:t xml:space="preserve">Sección 10.- </w:t>
      </w:r>
      <w:r w:rsidR="00E31892" w:rsidRPr="00E31892">
        <w:rPr>
          <w:rFonts w:ascii="Book Antiqua" w:hAnsi="Book Antiqua"/>
        </w:rPr>
        <w:t>Tratamiento Contributivo de Donativos</w:t>
      </w:r>
      <w:r w:rsidR="00E31892">
        <w:rPr>
          <w:rFonts w:ascii="Book Antiqua" w:hAnsi="Book Antiqua"/>
        </w:rPr>
        <w:t>.</w:t>
      </w:r>
    </w:p>
    <w:p w14:paraId="7C308A77" w14:textId="69B76C49" w:rsidR="00E31892" w:rsidRDefault="00E31892" w:rsidP="0021523F">
      <w:pPr>
        <w:widowControl w:val="0"/>
        <w:spacing w:before="120" w:after="120" w:line="480" w:lineRule="auto"/>
        <w:ind w:firstLine="360"/>
        <w:jc w:val="both"/>
        <w:rPr>
          <w:rFonts w:ascii="Book Antiqua" w:hAnsi="Book Antiqua"/>
        </w:rPr>
      </w:pPr>
      <w:r w:rsidRPr="00E31892">
        <w:rPr>
          <w:rFonts w:ascii="Book Antiqua" w:hAnsi="Book Antiqua"/>
        </w:rPr>
        <w:t xml:space="preserve">Para propósitos de las Secciones 1033.10 y 1033.15(a)(3) del Código o disposiciones análogas de cualquier ley que le sustituya, los donativos hechos al Fideicomiso se tratarán como donativos hechos a una entidad descrita en la Sección 1101.01(a)(2) del Código que ha sido debidamente cualificada como tal por el </w:t>
      </w:r>
      <w:proofErr w:type="gramStart"/>
      <w:r w:rsidRPr="00E31892">
        <w:rPr>
          <w:rFonts w:ascii="Book Antiqua" w:hAnsi="Book Antiqua"/>
        </w:rPr>
        <w:t>Secretario</w:t>
      </w:r>
      <w:proofErr w:type="gramEnd"/>
      <w:r w:rsidRPr="00E31892">
        <w:rPr>
          <w:rFonts w:ascii="Book Antiqua" w:hAnsi="Book Antiqua"/>
        </w:rPr>
        <w:t xml:space="preserve"> de Hacienda de Puerto Rico.</w:t>
      </w:r>
    </w:p>
    <w:p w14:paraId="66CBE8C3" w14:textId="7A7AF875" w:rsidR="00E31892" w:rsidRDefault="00E31892" w:rsidP="0021523F">
      <w:pPr>
        <w:widowControl w:val="0"/>
        <w:spacing w:before="120" w:after="120" w:line="480" w:lineRule="auto"/>
        <w:ind w:firstLine="360"/>
        <w:jc w:val="both"/>
        <w:rPr>
          <w:rFonts w:ascii="Book Antiqua" w:hAnsi="Book Antiqua"/>
        </w:rPr>
      </w:pPr>
      <w:r>
        <w:rPr>
          <w:rFonts w:ascii="Book Antiqua" w:hAnsi="Book Antiqua"/>
        </w:rPr>
        <w:t xml:space="preserve">Sección 11.- </w:t>
      </w:r>
      <w:proofErr w:type="spellStart"/>
      <w:r w:rsidR="0080305C" w:rsidRPr="0080305C">
        <w:rPr>
          <w:rFonts w:ascii="Book Antiqua" w:hAnsi="Book Antiqua"/>
        </w:rPr>
        <w:t>Injunction</w:t>
      </w:r>
      <w:proofErr w:type="spellEnd"/>
      <w:r w:rsidR="0080305C">
        <w:rPr>
          <w:rFonts w:ascii="Book Antiqua" w:hAnsi="Book Antiqua"/>
        </w:rPr>
        <w:t>.</w:t>
      </w:r>
    </w:p>
    <w:p w14:paraId="78119983" w14:textId="1BF89AF5" w:rsidR="0080305C" w:rsidRDefault="0080305C" w:rsidP="0021523F">
      <w:pPr>
        <w:widowControl w:val="0"/>
        <w:spacing w:before="120" w:after="120" w:line="480" w:lineRule="auto"/>
        <w:ind w:firstLine="360"/>
        <w:jc w:val="both"/>
        <w:rPr>
          <w:rFonts w:ascii="Book Antiqua" w:hAnsi="Book Antiqua"/>
        </w:rPr>
      </w:pPr>
      <w:r w:rsidRPr="0080305C">
        <w:rPr>
          <w:rFonts w:ascii="Book Antiqua" w:hAnsi="Book Antiqua"/>
        </w:rPr>
        <w:t xml:space="preserve">No se expedirá </w:t>
      </w:r>
      <w:proofErr w:type="spellStart"/>
      <w:r w:rsidRPr="0080305C">
        <w:rPr>
          <w:rFonts w:ascii="Book Antiqua" w:hAnsi="Book Antiqua"/>
        </w:rPr>
        <w:t>Injunction</w:t>
      </w:r>
      <w:proofErr w:type="spellEnd"/>
      <w:r w:rsidRPr="0080305C">
        <w:rPr>
          <w:rFonts w:ascii="Book Antiqua" w:hAnsi="Book Antiqua"/>
        </w:rPr>
        <w:t xml:space="preserve"> o interdicto alguno para impedir la aplicación de esta Sección o cualquier parte de </w:t>
      </w:r>
      <w:proofErr w:type="gramStart"/>
      <w:r w:rsidRPr="0080305C">
        <w:rPr>
          <w:rFonts w:ascii="Book Antiqua" w:hAnsi="Book Antiqua"/>
        </w:rPr>
        <w:t>la misma</w:t>
      </w:r>
      <w:proofErr w:type="gramEnd"/>
      <w:r w:rsidRPr="0080305C">
        <w:rPr>
          <w:rFonts w:ascii="Book Antiqua" w:hAnsi="Book Antiqua"/>
        </w:rPr>
        <w:t>.</w:t>
      </w:r>
    </w:p>
    <w:p w14:paraId="3543ABCA" w14:textId="7534E45D" w:rsidR="0080305C" w:rsidRDefault="0080305C" w:rsidP="0021523F">
      <w:pPr>
        <w:widowControl w:val="0"/>
        <w:spacing w:before="120" w:after="120" w:line="480" w:lineRule="auto"/>
        <w:ind w:firstLine="360"/>
        <w:jc w:val="both"/>
        <w:rPr>
          <w:rFonts w:ascii="Book Antiqua" w:hAnsi="Book Antiqua"/>
        </w:rPr>
      </w:pPr>
      <w:r>
        <w:rPr>
          <w:rFonts w:ascii="Book Antiqua" w:hAnsi="Book Antiqua"/>
        </w:rPr>
        <w:t xml:space="preserve">Sección 12.- </w:t>
      </w:r>
      <w:r w:rsidR="002A213B">
        <w:rPr>
          <w:rFonts w:ascii="Book Antiqua" w:hAnsi="Book Antiqua"/>
        </w:rPr>
        <w:t>Informes.</w:t>
      </w:r>
    </w:p>
    <w:p w14:paraId="4C268F48" w14:textId="701433A3" w:rsidR="002A213B" w:rsidRPr="004F1618" w:rsidRDefault="002A213B" w:rsidP="0021523F">
      <w:pPr>
        <w:widowControl w:val="0"/>
        <w:spacing w:before="120" w:after="120" w:line="480" w:lineRule="auto"/>
        <w:ind w:firstLine="360"/>
        <w:jc w:val="both"/>
        <w:rPr>
          <w:rFonts w:ascii="Book Antiqua" w:hAnsi="Book Antiqua"/>
        </w:rPr>
      </w:pPr>
      <w:r w:rsidRPr="002A213B">
        <w:rPr>
          <w:rFonts w:ascii="Book Antiqua" w:hAnsi="Book Antiqua"/>
        </w:rPr>
        <w:t>El Fideicomiso a través de la Junta rendirá un informe anual el 31 de marzo de cada año al Gobernador, a la Cámara de Representantes y al Senado de Puerto Rico, que relacione la actividad realizada por el Fideicomiso durante el año fiscal anterior, el estado de su situación económica y el plan de trabajo para los subsiguientes tres (3) años fiscales.</w:t>
      </w:r>
    </w:p>
    <w:p w14:paraId="1BC3CADE" w14:textId="77777777" w:rsidR="00FD3ACA" w:rsidRDefault="001E6666" w:rsidP="00867DCC">
      <w:pPr>
        <w:widowControl w:val="0"/>
        <w:spacing w:before="120" w:after="120" w:line="480" w:lineRule="auto"/>
        <w:ind w:firstLine="360"/>
        <w:jc w:val="both"/>
        <w:rPr>
          <w:rFonts w:ascii="Book Antiqua" w:hAnsi="Book Antiqua"/>
        </w:rPr>
      </w:pPr>
      <w:r w:rsidRPr="001E6666">
        <w:rPr>
          <w:rFonts w:ascii="Book Antiqua" w:hAnsi="Book Antiqua"/>
        </w:rPr>
        <w:t xml:space="preserve">Sección </w:t>
      </w:r>
      <w:r w:rsidR="00FD3ACA">
        <w:rPr>
          <w:rFonts w:ascii="Book Antiqua" w:hAnsi="Book Antiqua"/>
        </w:rPr>
        <w:t>13</w:t>
      </w:r>
      <w:r w:rsidRPr="001E6666">
        <w:rPr>
          <w:rFonts w:ascii="Book Antiqua" w:hAnsi="Book Antiqua"/>
        </w:rPr>
        <w:t>.–</w:t>
      </w:r>
      <w:r w:rsidR="0031266C">
        <w:rPr>
          <w:rFonts w:ascii="Book Antiqua" w:hAnsi="Book Antiqua"/>
        </w:rPr>
        <w:t xml:space="preserve"> </w:t>
      </w:r>
      <w:r w:rsidR="00867DCC" w:rsidRPr="00867DCC">
        <w:rPr>
          <w:rFonts w:ascii="Book Antiqua" w:hAnsi="Book Antiqua"/>
        </w:rPr>
        <w:t xml:space="preserve">Se enmienda el Artículo 21 de la Ley Núm. 83 de 2 de julio de 1987, según enmendada, para que lea como sigue: </w:t>
      </w:r>
    </w:p>
    <w:p w14:paraId="59FF63F7" w14:textId="77777777" w:rsidR="00DF6F54" w:rsidRDefault="00867DCC" w:rsidP="00867DCC">
      <w:pPr>
        <w:widowControl w:val="0"/>
        <w:spacing w:before="120" w:after="120" w:line="480" w:lineRule="auto"/>
        <w:ind w:firstLine="360"/>
        <w:jc w:val="both"/>
        <w:rPr>
          <w:rFonts w:ascii="Book Antiqua" w:hAnsi="Book Antiqua"/>
        </w:rPr>
      </w:pPr>
      <w:r w:rsidRPr="00867DCC">
        <w:rPr>
          <w:rFonts w:ascii="Book Antiqua" w:hAnsi="Book Antiqua"/>
        </w:rPr>
        <w:t xml:space="preserve">“Artículo 21. — Distribución de Ingresos Netos de Operaciones del Sistema de Vídeo </w:t>
      </w:r>
      <w:r w:rsidRPr="00867DCC">
        <w:rPr>
          <w:rFonts w:ascii="Book Antiqua" w:hAnsi="Book Antiqua"/>
        </w:rPr>
        <w:lastRenderedPageBreak/>
        <w:t>Juego Electrónico</w:t>
      </w:r>
      <w:r w:rsidR="00DF6F54">
        <w:rPr>
          <w:rFonts w:ascii="Book Antiqua" w:hAnsi="Book Antiqua"/>
        </w:rPr>
        <w:t>.</w:t>
      </w:r>
    </w:p>
    <w:p w14:paraId="13B88A75" w14:textId="4DE4CCE0" w:rsidR="00DF6F54" w:rsidRDefault="00050E3E" w:rsidP="00867DCC">
      <w:pPr>
        <w:widowControl w:val="0"/>
        <w:spacing w:before="120" w:after="120" w:line="480" w:lineRule="auto"/>
        <w:ind w:firstLine="360"/>
        <w:jc w:val="both"/>
        <w:rPr>
          <w:rFonts w:ascii="Book Antiqua" w:hAnsi="Book Antiqua"/>
        </w:rPr>
      </w:pPr>
      <w:r w:rsidRPr="00050E3E">
        <w:rPr>
          <w:rFonts w:ascii="Book Antiqua" w:hAnsi="Book Antiqua"/>
        </w:rPr>
        <w:t>El ingreso neto de operaciones del Sistema de Vídeo Juego Electrónico ingresará a una cuenta especial creada por la empresa Operadora. La cantidad que debe distribuirse al jugador en premios no será menor del ochenta y tres por ciento (83%) del valor total de las jugadas, medida esta proporción a base de los parámetros a establecerse por reglamento.</w:t>
      </w:r>
    </w:p>
    <w:p w14:paraId="23D44006" w14:textId="65FB2D3D" w:rsidR="00DF6F54" w:rsidRDefault="00A53387" w:rsidP="00867DCC">
      <w:pPr>
        <w:widowControl w:val="0"/>
        <w:spacing w:before="120" w:after="120" w:line="480" w:lineRule="auto"/>
        <w:ind w:firstLine="360"/>
        <w:jc w:val="both"/>
        <w:rPr>
          <w:rFonts w:ascii="Book Antiqua" w:hAnsi="Book Antiqua"/>
        </w:rPr>
      </w:pPr>
      <w:r w:rsidRPr="00A53387">
        <w:rPr>
          <w:rFonts w:ascii="Book Antiqua" w:hAnsi="Book Antiqua"/>
        </w:rPr>
        <w:t>La empresa operadora distribuirá el ingreso neto de operaciones en el siguiente orden y de la siguiente manera:</w:t>
      </w:r>
    </w:p>
    <w:p w14:paraId="4D0C839B" w14:textId="4F436A5F" w:rsidR="007513BA" w:rsidRPr="009158A9" w:rsidRDefault="009158A9" w:rsidP="00527036">
      <w:pPr>
        <w:widowControl w:val="0"/>
        <w:spacing w:before="120" w:after="120" w:line="480" w:lineRule="auto"/>
        <w:jc w:val="both"/>
        <w:rPr>
          <w:rFonts w:ascii="Book Antiqua" w:hAnsi="Book Antiqua"/>
          <w:b/>
          <w:bCs/>
        </w:rPr>
      </w:pPr>
      <w:r w:rsidRPr="009158A9">
        <w:rPr>
          <w:rFonts w:ascii="Book Antiqua" w:hAnsi="Book Antiqua"/>
          <w:b/>
          <w:bCs/>
        </w:rPr>
        <w:t>[</w:t>
      </w:r>
      <w:r w:rsidR="007513BA" w:rsidRPr="009158A9">
        <w:rPr>
          <w:rFonts w:ascii="Book Antiqua" w:hAnsi="Book Antiqua"/>
          <w:b/>
          <w:bCs/>
        </w:rPr>
        <w:t xml:space="preserve">(a) Si el Sistema de Vídeo Juego Electrónico es operado por la empresa operadora: </w:t>
      </w:r>
    </w:p>
    <w:p w14:paraId="01F85CDE" w14:textId="77777777" w:rsidR="007513BA" w:rsidRPr="009158A9" w:rsidRDefault="007513BA" w:rsidP="00CB30A9">
      <w:pPr>
        <w:widowControl w:val="0"/>
        <w:spacing w:before="120" w:after="120" w:line="480" w:lineRule="auto"/>
        <w:ind w:firstLine="360"/>
        <w:jc w:val="both"/>
        <w:rPr>
          <w:rFonts w:ascii="Book Antiqua" w:hAnsi="Book Antiqua"/>
          <w:b/>
          <w:bCs/>
        </w:rPr>
      </w:pPr>
      <w:r w:rsidRPr="009158A9">
        <w:rPr>
          <w:rFonts w:ascii="Book Antiqua" w:hAnsi="Book Antiqua"/>
          <w:b/>
          <w:bCs/>
        </w:rPr>
        <w:t xml:space="preserve">(1) Quince por ciento (15%) para la Comisión de los Agentes Hípicos; </w:t>
      </w:r>
    </w:p>
    <w:p w14:paraId="55324017" w14:textId="77777777" w:rsidR="007513BA" w:rsidRPr="009158A9" w:rsidRDefault="007513BA" w:rsidP="00CB30A9">
      <w:pPr>
        <w:widowControl w:val="0"/>
        <w:spacing w:before="120" w:after="120" w:line="480" w:lineRule="auto"/>
        <w:ind w:firstLine="360"/>
        <w:jc w:val="both"/>
        <w:rPr>
          <w:rFonts w:ascii="Book Antiqua" w:hAnsi="Book Antiqua"/>
          <w:b/>
          <w:bCs/>
        </w:rPr>
      </w:pPr>
      <w:r w:rsidRPr="009158A9">
        <w:rPr>
          <w:rFonts w:ascii="Book Antiqua" w:hAnsi="Book Antiqua"/>
          <w:b/>
          <w:bCs/>
        </w:rPr>
        <w:t xml:space="preserve">(2) Quince por ciento (15%) se pagará a la cuenta de premios de las carreras, y </w:t>
      </w:r>
    </w:p>
    <w:p w14:paraId="4BBF8DBA" w14:textId="77777777" w:rsidR="00BB44F0" w:rsidRPr="009158A9" w:rsidRDefault="007513BA" w:rsidP="00CB30A9">
      <w:pPr>
        <w:widowControl w:val="0"/>
        <w:spacing w:before="120" w:after="120" w:line="480" w:lineRule="auto"/>
        <w:ind w:firstLine="360"/>
        <w:jc w:val="both"/>
        <w:rPr>
          <w:rFonts w:ascii="Book Antiqua" w:hAnsi="Book Antiqua"/>
          <w:b/>
          <w:bCs/>
        </w:rPr>
      </w:pPr>
      <w:r w:rsidRPr="009158A9">
        <w:rPr>
          <w:rFonts w:ascii="Book Antiqua" w:hAnsi="Book Antiqua"/>
          <w:b/>
          <w:bCs/>
        </w:rPr>
        <w:t xml:space="preserve">(3) Setenta por ciento (70%) a la empresa operadora. </w:t>
      </w:r>
    </w:p>
    <w:p w14:paraId="3CDEA09E" w14:textId="3FF6E613" w:rsidR="00BB44F0" w:rsidRPr="009158A9" w:rsidRDefault="007513BA" w:rsidP="00527036">
      <w:pPr>
        <w:widowControl w:val="0"/>
        <w:spacing w:before="120" w:after="120" w:line="480" w:lineRule="auto"/>
        <w:jc w:val="both"/>
        <w:rPr>
          <w:rFonts w:ascii="Book Antiqua" w:hAnsi="Book Antiqua"/>
          <w:b/>
          <w:bCs/>
        </w:rPr>
      </w:pPr>
      <w:r w:rsidRPr="009158A9">
        <w:rPr>
          <w:rFonts w:ascii="Book Antiqua" w:hAnsi="Book Antiqua"/>
          <w:b/>
          <w:bCs/>
        </w:rPr>
        <w:t xml:space="preserve">(b) Si el Sistema de Vídeo Juego Electrónico es operado por un proveedor: </w:t>
      </w:r>
    </w:p>
    <w:p w14:paraId="0F42AEBD" w14:textId="77777777" w:rsidR="00BB44F0" w:rsidRPr="009158A9" w:rsidRDefault="007513BA" w:rsidP="00CB30A9">
      <w:pPr>
        <w:widowControl w:val="0"/>
        <w:spacing w:before="120" w:after="120" w:line="480" w:lineRule="auto"/>
        <w:ind w:firstLine="360"/>
        <w:jc w:val="both"/>
        <w:rPr>
          <w:rFonts w:ascii="Book Antiqua" w:hAnsi="Book Antiqua"/>
          <w:b/>
          <w:bCs/>
        </w:rPr>
      </w:pPr>
      <w:r w:rsidRPr="009158A9">
        <w:rPr>
          <w:rFonts w:ascii="Book Antiqua" w:hAnsi="Book Antiqua"/>
          <w:b/>
          <w:bCs/>
        </w:rPr>
        <w:t xml:space="preserve">(1) Quince por ciento (15%) para la Comisión de los Agentes Hípicos; </w:t>
      </w:r>
    </w:p>
    <w:p w14:paraId="1DABA21B" w14:textId="77777777" w:rsidR="00BB44F0" w:rsidRPr="009158A9" w:rsidRDefault="007513BA" w:rsidP="00CB30A9">
      <w:pPr>
        <w:widowControl w:val="0"/>
        <w:spacing w:before="120" w:after="120" w:line="480" w:lineRule="auto"/>
        <w:ind w:firstLine="360"/>
        <w:jc w:val="both"/>
        <w:rPr>
          <w:rFonts w:ascii="Book Antiqua" w:hAnsi="Book Antiqua"/>
          <w:b/>
          <w:bCs/>
        </w:rPr>
      </w:pPr>
      <w:r w:rsidRPr="009158A9">
        <w:rPr>
          <w:rFonts w:ascii="Book Antiqua" w:hAnsi="Book Antiqua"/>
          <w:b/>
          <w:bCs/>
        </w:rPr>
        <w:t xml:space="preserve">(2) Quince por ciento (15%) se pagará a la cuenta de premios de las carreras; </w:t>
      </w:r>
    </w:p>
    <w:p w14:paraId="2F6E97ED" w14:textId="032424AF" w:rsidR="00BB44F0" w:rsidRDefault="007513BA" w:rsidP="00CB30A9">
      <w:pPr>
        <w:widowControl w:val="0"/>
        <w:spacing w:before="120" w:after="120" w:line="480" w:lineRule="auto"/>
        <w:ind w:left="630" w:hanging="270"/>
        <w:jc w:val="both"/>
        <w:rPr>
          <w:rFonts w:ascii="Book Antiqua" w:hAnsi="Book Antiqua"/>
        </w:rPr>
      </w:pPr>
      <w:r w:rsidRPr="009158A9">
        <w:rPr>
          <w:rFonts w:ascii="Book Antiqua" w:hAnsi="Book Antiqua"/>
          <w:b/>
          <w:bCs/>
        </w:rPr>
        <w:t>(3) el remanente: (A) La cantidad acordada entre el proveedor y la empresa operadora se dividirá entre el proveedor y la empresa operadora conforme acuerdo entre la empresa operadora y el proveedor.</w:t>
      </w:r>
      <w:r w:rsidR="009158A9" w:rsidRPr="009158A9">
        <w:rPr>
          <w:rFonts w:ascii="Book Antiqua" w:hAnsi="Book Antiqua"/>
          <w:b/>
          <w:bCs/>
        </w:rPr>
        <w:t>]</w:t>
      </w:r>
      <w:r w:rsidRPr="007513BA">
        <w:rPr>
          <w:rFonts w:ascii="Book Antiqua" w:hAnsi="Book Antiqua"/>
        </w:rPr>
        <w:t xml:space="preserve"> </w:t>
      </w:r>
    </w:p>
    <w:p w14:paraId="1E1A0247" w14:textId="5A01679D" w:rsidR="009158A9" w:rsidRPr="004479EC" w:rsidRDefault="0009204A" w:rsidP="004479EC">
      <w:pPr>
        <w:pStyle w:val="Prrafodelista"/>
        <w:widowControl w:val="0"/>
        <w:numPr>
          <w:ilvl w:val="0"/>
          <w:numId w:val="16"/>
        </w:numPr>
        <w:spacing w:before="120" w:after="120" w:line="480" w:lineRule="auto"/>
        <w:jc w:val="both"/>
        <w:rPr>
          <w:rFonts w:ascii="Book Antiqua" w:hAnsi="Book Antiqua"/>
        </w:rPr>
      </w:pPr>
      <w:r w:rsidRPr="004479EC">
        <w:rPr>
          <w:rFonts w:ascii="Book Antiqua" w:hAnsi="Book Antiqua"/>
          <w:i/>
          <w:iCs/>
        </w:rPr>
        <w:t xml:space="preserve">Si el </w:t>
      </w:r>
      <w:r w:rsidRPr="00D43B7D">
        <w:rPr>
          <w:rFonts w:ascii="Book Antiqua" w:hAnsi="Book Antiqua"/>
          <w:i/>
          <w:iCs/>
        </w:rPr>
        <w:t>Sistema de Vídeo Juego Electrónico es operado por la empresa operadora:</w:t>
      </w:r>
    </w:p>
    <w:p w14:paraId="378DF976" w14:textId="028DF613" w:rsidR="0009204A" w:rsidRDefault="00C72C9A" w:rsidP="00ED2EC1">
      <w:pPr>
        <w:pStyle w:val="Prrafodelista"/>
        <w:widowControl w:val="0"/>
        <w:numPr>
          <w:ilvl w:val="0"/>
          <w:numId w:val="17"/>
        </w:numPr>
        <w:spacing w:before="120" w:after="120" w:line="480" w:lineRule="auto"/>
        <w:jc w:val="both"/>
        <w:rPr>
          <w:rFonts w:ascii="Book Antiqua" w:hAnsi="Book Antiqua"/>
          <w:i/>
          <w:iCs/>
        </w:rPr>
      </w:pPr>
      <w:r w:rsidRPr="00ED2EC1">
        <w:rPr>
          <w:rFonts w:ascii="Book Antiqua" w:hAnsi="Book Antiqua"/>
          <w:i/>
          <w:iCs/>
        </w:rPr>
        <w:t>Veinte por ciento (20%)</w:t>
      </w:r>
      <w:r w:rsidR="001F6820" w:rsidRPr="00ED2EC1">
        <w:rPr>
          <w:rFonts w:ascii="Book Antiqua" w:hAnsi="Book Antiqua"/>
          <w:i/>
          <w:iCs/>
        </w:rPr>
        <w:t xml:space="preserve"> se remitirá mensualmente al Fideicomiso para el Retiro del </w:t>
      </w:r>
      <w:r w:rsidR="001F6820" w:rsidRPr="00ED2EC1">
        <w:rPr>
          <w:rFonts w:ascii="Book Antiqua" w:hAnsi="Book Antiqua"/>
          <w:i/>
          <w:iCs/>
        </w:rPr>
        <w:lastRenderedPageBreak/>
        <w:t>Negociado de Investigaciones Especiales</w:t>
      </w:r>
      <w:r w:rsidR="00D67550" w:rsidRPr="00ED2EC1">
        <w:rPr>
          <w:rFonts w:ascii="Book Antiqua" w:hAnsi="Book Antiqua"/>
          <w:i/>
          <w:iCs/>
        </w:rPr>
        <w:t>, para ser utilizado exclusivamente en la compensación de retiro de los agentes</w:t>
      </w:r>
      <w:r w:rsidR="00ED7613" w:rsidRPr="00ED2EC1">
        <w:rPr>
          <w:rFonts w:ascii="Book Antiqua" w:hAnsi="Book Antiqua"/>
          <w:i/>
          <w:iCs/>
        </w:rPr>
        <w:t xml:space="preserve"> y garantizarles al menos el cincuenta </w:t>
      </w:r>
      <w:r w:rsidR="00EE56CB" w:rsidRPr="00ED2EC1">
        <w:rPr>
          <w:rFonts w:ascii="Book Antiqua" w:hAnsi="Book Antiqua"/>
          <w:i/>
          <w:iCs/>
        </w:rPr>
        <w:t>por ciento (50%) de su ingreso regular al momento del retiro.</w:t>
      </w:r>
    </w:p>
    <w:p w14:paraId="7622021A" w14:textId="39A37778" w:rsidR="00EE56CB" w:rsidRDefault="00D13772" w:rsidP="00ED2EC1">
      <w:pPr>
        <w:pStyle w:val="Prrafodelista"/>
        <w:widowControl w:val="0"/>
        <w:numPr>
          <w:ilvl w:val="0"/>
          <w:numId w:val="17"/>
        </w:numPr>
        <w:spacing w:before="120" w:after="120" w:line="480" w:lineRule="auto"/>
        <w:jc w:val="both"/>
        <w:rPr>
          <w:rFonts w:ascii="Book Antiqua" w:hAnsi="Book Antiqua"/>
          <w:i/>
          <w:iCs/>
        </w:rPr>
      </w:pPr>
      <w:r w:rsidRPr="00ED2EC1">
        <w:rPr>
          <w:rFonts w:ascii="Book Antiqua" w:hAnsi="Book Antiqua"/>
          <w:i/>
          <w:iCs/>
        </w:rPr>
        <w:t>Quince por ciento (15%) para la Comisión de los Agentes Hípicos;</w:t>
      </w:r>
    </w:p>
    <w:p w14:paraId="12CE3046" w14:textId="703E8613" w:rsidR="00D13772" w:rsidRPr="00ED2EC1" w:rsidRDefault="00D13772" w:rsidP="00ED2EC1">
      <w:pPr>
        <w:pStyle w:val="Prrafodelista"/>
        <w:widowControl w:val="0"/>
        <w:numPr>
          <w:ilvl w:val="0"/>
          <w:numId w:val="17"/>
        </w:numPr>
        <w:spacing w:before="120" w:after="120" w:line="480" w:lineRule="auto"/>
        <w:jc w:val="both"/>
        <w:rPr>
          <w:rFonts w:ascii="Book Antiqua" w:hAnsi="Book Antiqua"/>
          <w:i/>
          <w:iCs/>
        </w:rPr>
      </w:pPr>
      <w:r w:rsidRPr="00ED2EC1">
        <w:rPr>
          <w:rFonts w:ascii="Book Antiqua" w:hAnsi="Book Antiqua"/>
          <w:i/>
          <w:iCs/>
        </w:rPr>
        <w:t>Quince por ciento (15%) se pagará a la cuenta de premios de las carreras;</w:t>
      </w:r>
      <w:r w:rsidRPr="00ED2EC1">
        <w:rPr>
          <w:rFonts w:ascii="Book Antiqua" w:hAnsi="Book Antiqua"/>
          <w:b/>
          <w:bCs/>
        </w:rPr>
        <w:t xml:space="preserve"> </w:t>
      </w:r>
    </w:p>
    <w:p w14:paraId="4AA4BDCC" w14:textId="71AF1CEA" w:rsidR="005610BF" w:rsidRPr="00ED2EC1" w:rsidRDefault="005610BF" w:rsidP="00ED2EC1">
      <w:pPr>
        <w:pStyle w:val="Prrafodelista"/>
        <w:widowControl w:val="0"/>
        <w:numPr>
          <w:ilvl w:val="0"/>
          <w:numId w:val="17"/>
        </w:numPr>
        <w:spacing w:before="120" w:after="120" w:line="480" w:lineRule="auto"/>
        <w:jc w:val="both"/>
        <w:rPr>
          <w:rFonts w:ascii="Book Antiqua" w:hAnsi="Book Antiqua"/>
          <w:i/>
          <w:iCs/>
        </w:rPr>
      </w:pPr>
      <w:r w:rsidRPr="00ED2EC1">
        <w:rPr>
          <w:rFonts w:ascii="Book Antiqua" w:hAnsi="Book Antiqua"/>
          <w:i/>
          <w:iCs/>
        </w:rPr>
        <w:t>Cincuenta</w:t>
      </w:r>
      <w:r w:rsidRPr="00ED2EC1">
        <w:rPr>
          <w:rFonts w:ascii="Book Antiqua" w:hAnsi="Book Antiqua"/>
          <w:b/>
          <w:bCs/>
          <w:i/>
          <w:iCs/>
        </w:rPr>
        <w:t xml:space="preserve"> </w:t>
      </w:r>
      <w:r w:rsidRPr="00ED2EC1">
        <w:rPr>
          <w:rFonts w:ascii="Book Antiqua" w:hAnsi="Book Antiqua"/>
          <w:i/>
          <w:iCs/>
        </w:rPr>
        <w:t>por ciento (50%) a la empresa operadora</w:t>
      </w:r>
      <w:r w:rsidRPr="00ED2EC1">
        <w:rPr>
          <w:rFonts w:ascii="Book Antiqua" w:hAnsi="Book Antiqua"/>
          <w:b/>
          <w:bCs/>
        </w:rPr>
        <w:t>.</w:t>
      </w:r>
    </w:p>
    <w:p w14:paraId="241F0730" w14:textId="185A2B7C" w:rsidR="00181A87" w:rsidRPr="002C5D97" w:rsidRDefault="002A574F" w:rsidP="002C5D97">
      <w:pPr>
        <w:pStyle w:val="Prrafodelista"/>
        <w:widowControl w:val="0"/>
        <w:numPr>
          <w:ilvl w:val="0"/>
          <w:numId w:val="16"/>
        </w:numPr>
        <w:spacing w:before="120" w:after="120" w:line="480" w:lineRule="auto"/>
        <w:jc w:val="both"/>
        <w:rPr>
          <w:rFonts w:ascii="Book Antiqua" w:hAnsi="Book Antiqua"/>
          <w:i/>
          <w:iCs/>
        </w:rPr>
      </w:pPr>
      <w:r w:rsidRPr="002C5D97">
        <w:rPr>
          <w:rFonts w:ascii="Book Antiqua" w:hAnsi="Book Antiqua"/>
          <w:i/>
          <w:iCs/>
        </w:rPr>
        <w:t>Si el Sistema de Vídeo Juego Electrónico es operado por un proveedor:</w:t>
      </w:r>
    </w:p>
    <w:p w14:paraId="3478052D" w14:textId="47F1BB52" w:rsidR="002A574F" w:rsidRDefault="00AA5A81" w:rsidP="002C5D97">
      <w:pPr>
        <w:pStyle w:val="Prrafodelista"/>
        <w:widowControl w:val="0"/>
        <w:numPr>
          <w:ilvl w:val="0"/>
          <w:numId w:val="18"/>
        </w:numPr>
        <w:spacing w:before="120" w:after="120" w:line="480" w:lineRule="auto"/>
        <w:jc w:val="both"/>
        <w:rPr>
          <w:rFonts w:ascii="Book Antiqua" w:hAnsi="Book Antiqua"/>
          <w:i/>
          <w:iCs/>
        </w:rPr>
      </w:pPr>
      <w:r w:rsidRPr="002C5D97">
        <w:rPr>
          <w:rFonts w:ascii="Book Antiqua" w:hAnsi="Book Antiqua"/>
          <w:i/>
          <w:iCs/>
        </w:rPr>
        <w:t>Veinte por ciento (20%) se remitirá mensualmente al Fideicomiso para el Retiro del Negociado de Investigaciones Especiales, para ser utilizado exclusivamente en la compensación de retiro de los agentes y garantizarles al menos el cincuenta por ciento (50%) de su ingreso regular al momento del retiro.</w:t>
      </w:r>
    </w:p>
    <w:p w14:paraId="4C599824" w14:textId="2F5C732C" w:rsidR="008E5A7F" w:rsidRDefault="008E5A7F" w:rsidP="002C5D97">
      <w:pPr>
        <w:pStyle w:val="Prrafodelista"/>
        <w:widowControl w:val="0"/>
        <w:numPr>
          <w:ilvl w:val="0"/>
          <w:numId w:val="18"/>
        </w:numPr>
        <w:spacing w:before="120" w:after="120" w:line="480" w:lineRule="auto"/>
        <w:jc w:val="both"/>
        <w:rPr>
          <w:rFonts w:ascii="Book Antiqua" w:hAnsi="Book Antiqua"/>
          <w:i/>
          <w:iCs/>
        </w:rPr>
      </w:pPr>
      <w:r w:rsidRPr="008E5A7F">
        <w:rPr>
          <w:rFonts w:ascii="Book Antiqua" w:hAnsi="Book Antiqua"/>
          <w:i/>
          <w:iCs/>
        </w:rPr>
        <w:t>Quince por ciento (15%) para la Comisión de los Agentes Hípicos;</w:t>
      </w:r>
    </w:p>
    <w:p w14:paraId="3B4427DF" w14:textId="62858DC5" w:rsidR="008E5A7F" w:rsidRDefault="008E5A7F" w:rsidP="002C5D97">
      <w:pPr>
        <w:pStyle w:val="Prrafodelista"/>
        <w:widowControl w:val="0"/>
        <w:numPr>
          <w:ilvl w:val="0"/>
          <w:numId w:val="18"/>
        </w:numPr>
        <w:spacing w:before="120" w:after="120" w:line="480" w:lineRule="auto"/>
        <w:jc w:val="both"/>
        <w:rPr>
          <w:rFonts w:ascii="Book Antiqua" w:hAnsi="Book Antiqua"/>
          <w:i/>
          <w:iCs/>
        </w:rPr>
      </w:pPr>
      <w:r w:rsidRPr="008E5A7F">
        <w:rPr>
          <w:rFonts w:ascii="Book Antiqua" w:hAnsi="Book Antiqua"/>
          <w:i/>
          <w:iCs/>
        </w:rPr>
        <w:t>Quince por ciento (15%) se pagará a la cuenta de premios de las carreras;</w:t>
      </w:r>
    </w:p>
    <w:p w14:paraId="6844B124" w14:textId="49B58D1D" w:rsidR="00D13772" w:rsidRPr="003A7C89" w:rsidRDefault="008E5A7F" w:rsidP="003A7C89">
      <w:pPr>
        <w:pStyle w:val="Prrafodelista"/>
        <w:widowControl w:val="0"/>
        <w:numPr>
          <w:ilvl w:val="0"/>
          <w:numId w:val="18"/>
        </w:numPr>
        <w:spacing w:before="120" w:after="120" w:line="480" w:lineRule="auto"/>
        <w:jc w:val="both"/>
        <w:rPr>
          <w:rFonts w:ascii="Book Antiqua" w:hAnsi="Book Antiqua"/>
          <w:i/>
          <w:iCs/>
        </w:rPr>
      </w:pPr>
      <w:r w:rsidRPr="008E5A7F">
        <w:rPr>
          <w:rFonts w:ascii="Book Antiqua" w:hAnsi="Book Antiqua"/>
          <w:i/>
          <w:iCs/>
        </w:rPr>
        <w:t>el remanente: (A) La cantidad acordada entre el proveedor y la empresa operadora se dividirá entre el proveedor y la empresa operadora conforme acuerdo entre la empresa operadora y el proveedor</w:t>
      </w:r>
      <w:r>
        <w:rPr>
          <w:rFonts w:ascii="Book Antiqua" w:hAnsi="Book Antiqua"/>
          <w:i/>
          <w:iCs/>
        </w:rPr>
        <w:t>.</w:t>
      </w:r>
    </w:p>
    <w:p w14:paraId="4BB68227" w14:textId="28F743E9" w:rsidR="00025F82" w:rsidRDefault="007513BA" w:rsidP="00196B88">
      <w:pPr>
        <w:widowControl w:val="0"/>
        <w:spacing w:before="120" w:after="120" w:line="480" w:lineRule="auto"/>
        <w:ind w:firstLine="360"/>
        <w:jc w:val="both"/>
        <w:rPr>
          <w:rFonts w:ascii="Book Antiqua" w:hAnsi="Book Antiqua"/>
        </w:rPr>
      </w:pPr>
      <w:r w:rsidRPr="007513BA">
        <w:rPr>
          <w:rFonts w:ascii="Book Antiqua" w:hAnsi="Book Antiqua"/>
        </w:rPr>
        <w:t>Cualquier sobrante del ingreso neto de operaciones del Sistema de Vídeo Juego Electrónico, luego de cubiertas las partidas mencionadas en los incisos (a) y (b), se pagará e ingresará al Fondo General de Puerto Rico.</w:t>
      </w:r>
      <w:r w:rsidR="003A7C89">
        <w:rPr>
          <w:rFonts w:ascii="Book Antiqua" w:hAnsi="Book Antiqua"/>
        </w:rPr>
        <w:t>”</w:t>
      </w:r>
    </w:p>
    <w:p w14:paraId="3484D89F" w14:textId="77777777" w:rsidR="00184A3E" w:rsidRPr="009C6BAA" w:rsidRDefault="008A7FE5" w:rsidP="00184A3E">
      <w:pPr>
        <w:spacing w:line="480" w:lineRule="auto"/>
        <w:ind w:firstLine="360"/>
        <w:jc w:val="both"/>
        <w:rPr>
          <w:rFonts w:ascii="Book Antiqua" w:hAnsi="Book Antiqua"/>
        </w:rPr>
      </w:pPr>
      <w:r w:rsidRPr="0076587D">
        <w:rPr>
          <w:rFonts w:ascii="Book Antiqua" w:hAnsi="Book Antiqua"/>
          <w:lang w:val="es-ES"/>
        </w:rPr>
        <w:t xml:space="preserve">Sección </w:t>
      </w:r>
      <w:r w:rsidR="00196B88">
        <w:rPr>
          <w:rFonts w:ascii="Book Antiqua" w:hAnsi="Book Antiqua"/>
          <w:lang w:val="es-ES"/>
        </w:rPr>
        <w:t>14</w:t>
      </w:r>
      <w:r w:rsidRPr="0076587D">
        <w:rPr>
          <w:rFonts w:ascii="Book Antiqua" w:hAnsi="Book Antiqua"/>
          <w:lang w:val="es-ES"/>
        </w:rPr>
        <w:t xml:space="preserve">.- </w:t>
      </w:r>
      <w:r w:rsidR="00184A3E" w:rsidRPr="009C6BAA">
        <w:rPr>
          <w:rFonts w:ascii="Book Antiqua" w:hAnsi="Book Antiqua"/>
        </w:rPr>
        <w:t>Cláusula de separabilidad.</w:t>
      </w:r>
    </w:p>
    <w:p w14:paraId="67772C58" w14:textId="77777777" w:rsidR="00184A3E" w:rsidRPr="009C6BAA" w:rsidRDefault="00184A3E" w:rsidP="00184A3E">
      <w:pPr>
        <w:spacing w:line="480" w:lineRule="auto"/>
        <w:ind w:firstLine="360"/>
        <w:jc w:val="both"/>
        <w:rPr>
          <w:rFonts w:ascii="Book Antiqua" w:hAnsi="Book Antiqua"/>
        </w:rPr>
      </w:pPr>
      <w:r w:rsidRPr="009C6BAA">
        <w:rPr>
          <w:rFonts w:ascii="Book Antiqua" w:hAnsi="Book Antiqua"/>
        </w:rPr>
        <w:t xml:space="preserve">Si cualquier cláusula, párrafo, artículo o parte de esta Ley fuera declarada inconstitucional por un Tribunal con competencia y jurisdicción, la sentencia dictada no </w:t>
      </w:r>
      <w:r w:rsidRPr="009C6BAA">
        <w:rPr>
          <w:rFonts w:ascii="Book Antiqua" w:hAnsi="Book Antiqua"/>
        </w:rPr>
        <w:lastRenderedPageBreak/>
        <w:t>afectará ni invalidará el resto de esta Ley y su efecto se limitará a la cláusula, párrafo, artículo o parte declarada inconstitucional.</w:t>
      </w:r>
    </w:p>
    <w:p w14:paraId="0AF1385D" w14:textId="1191E620" w:rsidR="00C6159E"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 xml:space="preserve">Sección </w:t>
      </w:r>
      <w:r w:rsidR="007E51B6">
        <w:rPr>
          <w:rFonts w:ascii="Book Antiqua" w:hAnsi="Book Antiqua"/>
          <w:b w:val="0"/>
          <w:bCs w:val="0"/>
          <w:sz w:val="24"/>
          <w:szCs w:val="24"/>
          <w:lang w:val="es-ES"/>
        </w:rPr>
        <w:t>15</w:t>
      </w:r>
      <w:r w:rsidR="007E51B6" w:rsidRPr="00C6159E">
        <w:rPr>
          <w:rFonts w:ascii="Book Antiqua" w:hAnsi="Book Antiqua"/>
          <w:b w:val="0"/>
          <w:bCs w:val="0"/>
          <w:sz w:val="24"/>
          <w:szCs w:val="24"/>
          <w:lang w:val="es-ES"/>
        </w:rPr>
        <w:t>. –</w:t>
      </w:r>
      <w:r w:rsidRPr="00C6159E">
        <w:rPr>
          <w:rFonts w:ascii="Book Antiqua" w:hAnsi="Book Antiqua"/>
          <w:b w:val="0"/>
          <w:bCs w:val="0"/>
          <w:sz w:val="24"/>
          <w:szCs w:val="24"/>
          <w:lang w:val="es-ES"/>
        </w:rPr>
        <w:t xml:space="preserve"> Vigencia.</w:t>
      </w:r>
    </w:p>
    <w:p w14:paraId="6FDBD968" w14:textId="782A544E" w:rsidR="00F53C47"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Esta Ley comenzará a regir inmediatamente después de su aprobación.</w:t>
      </w:r>
    </w:p>
    <w:sectPr w:rsidR="00F53C47" w:rsidRPr="00C6159E"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E095C" w14:textId="77777777" w:rsidR="00E01730" w:rsidRDefault="00E01730">
      <w:r>
        <w:separator/>
      </w:r>
    </w:p>
  </w:endnote>
  <w:endnote w:type="continuationSeparator" w:id="0">
    <w:p w14:paraId="1E514C89" w14:textId="77777777" w:rsidR="00E01730" w:rsidRDefault="00E01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00CD4" w14:textId="77777777" w:rsidR="00E01730" w:rsidRDefault="00E01730">
      <w:r>
        <w:separator/>
      </w:r>
    </w:p>
  </w:footnote>
  <w:footnote w:type="continuationSeparator" w:id="0">
    <w:p w14:paraId="7956EB66" w14:textId="77777777" w:rsidR="00E01730" w:rsidRDefault="00E01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69AC"/>
    <w:multiLevelType w:val="hybridMultilevel"/>
    <w:tmpl w:val="45C28510"/>
    <w:lvl w:ilvl="0" w:tplc="A17C9A7A">
      <w:start w:val="1"/>
      <w:numFmt w:val="decimal"/>
      <w:lvlText w:val="(%1)"/>
      <w:lvlJc w:val="left"/>
      <w:pPr>
        <w:ind w:left="2160" w:hanging="360"/>
      </w:pPr>
      <w:rPr>
        <w:rFonts w:hint="default"/>
      </w:rPr>
    </w:lvl>
    <w:lvl w:ilvl="1" w:tplc="1A18809C">
      <w:start w:val="1"/>
      <w:numFmt w:val="lowerLetter"/>
      <w:lvlText w:val="(%2)"/>
      <w:lvlJc w:val="left"/>
      <w:pPr>
        <w:ind w:left="2880" w:hanging="360"/>
      </w:pPr>
      <w:rPr>
        <w:rFonts w:hint="default"/>
        <w:i/>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8611651"/>
    <w:multiLevelType w:val="hybridMultilevel"/>
    <w:tmpl w:val="BE64AF02"/>
    <w:lvl w:ilvl="0" w:tplc="3DA083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421721"/>
    <w:multiLevelType w:val="hybridMultilevel"/>
    <w:tmpl w:val="BBF66614"/>
    <w:lvl w:ilvl="0" w:tplc="3DA083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1305A8"/>
    <w:multiLevelType w:val="hybridMultilevel"/>
    <w:tmpl w:val="752C9054"/>
    <w:lvl w:ilvl="0" w:tplc="3DA083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C1E2E1F"/>
    <w:multiLevelType w:val="hybridMultilevel"/>
    <w:tmpl w:val="85988904"/>
    <w:lvl w:ilvl="0" w:tplc="FFFFFFFF">
      <w:start w:val="1"/>
      <w:numFmt w:val="lowerLetter"/>
      <w:lvlText w:val="(%1)"/>
      <w:lvlJc w:val="left"/>
      <w:pPr>
        <w:ind w:left="72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745E29"/>
    <w:multiLevelType w:val="hybridMultilevel"/>
    <w:tmpl w:val="5096F952"/>
    <w:lvl w:ilvl="0" w:tplc="3DA08326">
      <w:start w:val="1"/>
      <w:numFmt w:val="lowerLetter"/>
      <w:lvlText w:val="(%1)"/>
      <w:lvlJc w:val="left"/>
      <w:pPr>
        <w:ind w:left="360" w:hanging="360"/>
      </w:pPr>
      <w:rPr>
        <w:rFonts w:hint="default"/>
      </w:rPr>
    </w:lvl>
    <w:lvl w:ilvl="1" w:tplc="3DA0832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F8F4BCB"/>
    <w:multiLevelType w:val="hybridMultilevel"/>
    <w:tmpl w:val="85988904"/>
    <w:lvl w:ilvl="0" w:tplc="3DA08326">
      <w:start w:val="1"/>
      <w:numFmt w:val="lowerLetter"/>
      <w:lvlText w:val="(%1)"/>
      <w:lvlJc w:val="left"/>
      <w:pPr>
        <w:ind w:left="1440" w:hanging="360"/>
      </w:pPr>
      <w:rPr>
        <w:rFonts w:hint="default"/>
      </w:rPr>
    </w:lvl>
    <w:lvl w:ilvl="1" w:tplc="0409000F">
      <w:start w:val="1"/>
      <w:numFmt w:val="decimal"/>
      <w:lvlText w:val="%2."/>
      <w:lvlJc w:val="left"/>
      <w:pPr>
        <w:ind w:left="180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94BF0"/>
    <w:multiLevelType w:val="hybridMultilevel"/>
    <w:tmpl w:val="E4902C42"/>
    <w:lvl w:ilvl="0" w:tplc="A17C9A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41525C"/>
    <w:multiLevelType w:val="hybridMultilevel"/>
    <w:tmpl w:val="CCD2103E"/>
    <w:lvl w:ilvl="0" w:tplc="A17C9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A0D2E"/>
    <w:multiLevelType w:val="multilevel"/>
    <w:tmpl w:val="C4AA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29013D"/>
    <w:multiLevelType w:val="hybridMultilevel"/>
    <w:tmpl w:val="503C71B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FA1083"/>
    <w:multiLevelType w:val="hybridMultilevel"/>
    <w:tmpl w:val="564AC008"/>
    <w:lvl w:ilvl="0" w:tplc="A17C9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14"/>
  </w:num>
  <w:num w:numId="2" w16cid:durableId="1181317790">
    <w:abstractNumId w:val="13"/>
  </w:num>
  <w:num w:numId="3" w16cid:durableId="79568611">
    <w:abstractNumId w:val="15"/>
  </w:num>
  <w:num w:numId="4" w16cid:durableId="1275942687">
    <w:abstractNumId w:val="16"/>
  </w:num>
  <w:num w:numId="5" w16cid:durableId="1685092760">
    <w:abstractNumId w:val="7"/>
  </w:num>
  <w:num w:numId="6" w16cid:durableId="817846109">
    <w:abstractNumId w:val="11"/>
  </w:num>
  <w:num w:numId="7" w16cid:durableId="1502281956">
    <w:abstractNumId w:val="10"/>
  </w:num>
  <w:num w:numId="8" w16cid:durableId="989486049">
    <w:abstractNumId w:val="2"/>
  </w:num>
  <w:num w:numId="9" w16cid:durableId="1274167554">
    <w:abstractNumId w:val="3"/>
  </w:num>
  <w:num w:numId="10" w16cid:durableId="1261375255">
    <w:abstractNumId w:val="1"/>
  </w:num>
  <w:num w:numId="11" w16cid:durableId="1409885384">
    <w:abstractNumId w:val="12"/>
  </w:num>
  <w:num w:numId="12" w16cid:durableId="689070197">
    <w:abstractNumId w:val="6"/>
  </w:num>
  <w:num w:numId="13" w16cid:durableId="1665359696">
    <w:abstractNumId w:val="0"/>
  </w:num>
  <w:num w:numId="14" w16cid:durableId="529270253">
    <w:abstractNumId w:val="4"/>
  </w:num>
  <w:num w:numId="15" w16cid:durableId="1045183519">
    <w:abstractNumId w:val="8"/>
  </w:num>
  <w:num w:numId="16" w16cid:durableId="650250264">
    <w:abstractNumId w:val="5"/>
  </w:num>
  <w:num w:numId="17" w16cid:durableId="925186154">
    <w:abstractNumId w:val="17"/>
  </w:num>
  <w:num w:numId="18" w16cid:durableId="15792935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0343"/>
    <w:rsid w:val="00016855"/>
    <w:rsid w:val="000207D7"/>
    <w:rsid w:val="00025A8F"/>
    <w:rsid w:val="00025F82"/>
    <w:rsid w:val="00031B96"/>
    <w:rsid w:val="00033B7B"/>
    <w:rsid w:val="0004754C"/>
    <w:rsid w:val="00050E3E"/>
    <w:rsid w:val="00054B30"/>
    <w:rsid w:val="000567DB"/>
    <w:rsid w:val="00080FF8"/>
    <w:rsid w:val="000866C4"/>
    <w:rsid w:val="000909BE"/>
    <w:rsid w:val="0009113C"/>
    <w:rsid w:val="0009204A"/>
    <w:rsid w:val="0009719B"/>
    <w:rsid w:val="000B27CC"/>
    <w:rsid w:val="000C0461"/>
    <w:rsid w:val="000C2A3A"/>
    <w:rsid w:val="000D73D3"/>
    <w:rsid w:val="000E0098"/>
    <w:rsid w:val="000E0FE3"/>
    <w:rsid w:val="000F7472"/>
    <w:rsid w:val="000F7C63"/>
    <w:rsid w:val="00101E8B"/>
    <w:rsid w:val="00102D18"/>
    <w:rsid w:val="00111AE1"/>
    <w:rsid w:val="00113EA9"/>
    <w:rsid w:val="00115C03"/>
    <w:rsid w:val="001234BE"/>
    <w:rsid w:val="0013020D"/>
    <w:rsid w:val="001324B4"/>
    <w:rsid w:val="0014649B"/>
    <w:rsid w:val="001534A1"/>
    <w:rsid w:val="00154C3A"/>
    <w:rsid w:val="00167376"/>
    <w:rsid w:val="00173ED7"/>
    <w:rsid w:val="0017460A"/>
    <w:rsid w:val="001800DB"/>
    <w:rsid w:val="00181A87"/>
    <w:rsid w:val="001846C7"/>
    <w:rsid w:val="00184A3E"/>
    <w:rsid w:val="0019118D"/>
    <w:rsid w:val="00196B88"/>
    <w:rsid w:val="00197311"/>
    <w:rsid w:val="001A1D9A"/>
    <w:rsid w:val="001A2681"/>
    <w:rsid w:val="001A4109"/>
    <w:rsid w:val="001A704E"/>
    <w:rsid w:val="001B0774"/>
    <w:rsid w:val="001B27DA"/>
    <w:rsid w:val="001B78F9"/>
    <w:rsid w:val="001C1F65"/>
    <w:rsid w:val="001C7CDA"/>
    <w:rsid w:val="001E4545"/>
    <w:rsid w:val="001E6666"/>
    <w:rsid w:val="001F6820"/>
    <w:rsid w:val="002019A0"/>
    <w:rsid w:val="0021523F"/>
    <w:rsid w:val="00216E12"/>
    <w:rsid w:val="00221703"/>
    <w:rsid w:val="0022272C"/>
    <w:rsid w:val="00227F57"/>
    <w:rsid w:val="00231EDC"/>
    <w:rsid w:val="0023690A"/>
    <w:rsid w:val="0024122F"/>
    <w:rsid w:val="002423A7"/>
    <w:rsid w:val="0024638F"/>
    <w:rsid w:val="00255CFE"/>
    <w:rsid w:val="00270113"/>
    <w:rsid w:val="00274DEC"/>
    <w:rsid w:val="0027713A"/>
    <w:rsid w:val="002925A1"/>
    <w:rsid w:val="002A213B"/>
    <w:rsid w:val="002A574F"/>
    <w:rsid w:val="002B6366"/>
    <w:rsid w:val="002C17A9"/>
    <w:rsid w:val="002C5D97"/>
    <w:rsid w:val="002C7972"/>
    <w:rsid w:val="002D7F6F"/>
    <w:rsid w:val="002F036C"/>
    <w:rsid w:val="002F137B"/>
    <w:rsid w:val="002F15DA"/>
    <w:rsid w:val="002F41E9"/>
    <w:rsid w:val="002F4A34"/>
    <w:rsid w:val="002F7249"/>
    <w:rsid w:val="003109DD"/>
    <w:rsid w:val="0031266C"/>
    <w:rsid w:val="00314741"/>
    <w:rsid w:val="00323C0E"/>
    <w:rsid w:val="003300D4"/>
    <w:rsid w:val="003336F9"/>
    <w:rsid w:val="00343C8A"/>
    <w:rsid w:val="003449C9"/>
    <w:rsid w:val="00350575"/>
    <w:rsid w:val="003539F8"/>
    <w:rsid w:val="00355649"/>
    <w:rsid w:val="00356970"/>
    <w:rsid w:val="003618A6"/>
    <w:rsid w:val="003641FD"/>
    <w:rsid w:val="00375339"/>
    <w:rsid w:val="003776F3"/>
    <w:rsid w:val="00385184"/>
    <w:rsid w:val="003950C7"/>
    <w:rsid w:val="003955E0"/>
    <w:rsid w:val="003A38C2"/>
    <w:rsid w:val="003A55C4"/>
    <w:rsid w:val="003A66B4"/>
    <w:rsid w:val="003A6B92"/>
    <w:rsid w:val="003A7C89"/>
    <w:rsid w:val="003B2879"/>
    <w:rsid w:val="003B3677"/>
    <w:rsid w:val="003B5B04"/>
    <w:rsid w:val="003C2699"/>
    <w:rsid w:val="003D03F2"/>
    <w:rsid w:val="003D151B"/>
    <w:rsid w:val="003D29A6"/>
    <w:rsid w:val="003D522F"/>
    <w:rsid w:val="003D7B4E"/>
    <w:rsid w:val="003E5F40"/>
    <w:rsid w:val="003E68BB"/>
    <w:rsid w:val="003E6ABA"/>
    <w:rsid w:val="003F63D2"/>
    <w:rsid w:val="003F7FAC"/>
    <w:rsid w:val="00402B46"/>
    <w:rsid w:val="00407083"/>
    <w:rsid w:val="00416485"/>
    <w:rsid w:val="00423BD2"/>
    <w:rsid w:val="00424C62"/>
    <w:rsid w:val="00433C05"/>
    <w:rsid w:val="0043477D"/>
    <w:rsid w:val="0043583B"/>
    <w:rsid w:val="004421FB"/>
    <w:rsid w:val="00445EBB"/>
    <w:rsid w:val="0044691D"/>
    <w:rsid w:val="004479EC"/>
    <w:rsid w:val="00470038"/>
    <w:rsid w:val="00473099"/>
    <w:rsid w:val="00473C9D"/>
    <w:rsid w:val="00480C56"/>
    <w:rsid w:val="0048471E"/>
    <w:rsid w:val="0049554C"/>
    <w:rsid w:val="004955F2"/>
    <w:rsid w:val="00495E2A"/>
    <w:rsid w:val="004A12A2"/>
    <w:rsid w:val="004B040A"/>
    <w:rsid w:val="004C1F91"/>
    <w:rsid w:val="004C4BE6"/>
    <w:rsid w:val="004D54E0"/>
    <w:rsid w:val="004E3911"/>
    <w:rsid w:val="004F1618"/>
    <w:rsid w:val="005000FC"/>
    <w:rsid w:val="005040AD"/>
    <w:rsid w:val="00506DAB"/>
    <w:rsid w:val="005079A8"/>
    <w:rsid w:val="0051599F"/>
    <w:rsid w:val="00522FDC"/>
    <w:rsid w:val="00523E39"/>
    <w:rsid w:val="00527036"/>
    <w:rsid w:val="0055034D"/>
    <w:rsid w:val="00552451"/>
    <w:rsid w:val="00557BC4"/>
    <w:rsid w:val="00557D61"/>
    <w:rsid w:val="00560ACD"/>
    <w:rsid w:val="005610BF"/>
    <w:rsid w:val="00566306"/>
    <w:rsid w:val="00577080"/>
    <w:rsid w:val="00586EDF"/>
    <w:rsid w:val="00594A25"/>
    <w:rsid w:val="00594DC5"/>
    <w:rsid w:val="0059790B"/>
    <w:rsid w:val="005A5E73"/>
    <w:rsid w:val="005B1A5B"/>
    <w:rsid w:val="005B42D6"/>
    <w:rsid w:val="005C01CD"/>
    <w:rsid w:val="005C3FC7"/>
    <w:rsid w:val="005C4BB4"/>
    <w:rsid w:val="005C5C2C"/>
    <w:rsid w:val="005E1C93"/>
    <w:rsid w:val="005F5B05"/>
    <w:rsid w:val="006022ED"/>
    <w:rsid w:val="00616668"/>
    <w:rsid w:val="00624003"/>
    <w:rsid w:val="00632A0F"/>
    <w:rsid w:val="00634A0D"/>
    <w:rsid w:val="006408CB"/>
    <w:rsid w:val="00641C79"/>
    <w:rsid w:val="006439FA"/>
    <w:rsid w:val="0065639E"/>
    <w:rsid w:val="00662A6A"/>
    <w:rsid w:val="00662F98"/>
    <w:rsid w:val="006A4563"/>
    <w:rsid w:val="006B4D9B"/>
    <w:rsid w:val="006B53FE"/>
    <w:rsid w:val="006C0D73"/>
    <w:rsid w:val="006C3518"/>
    <w:rsid w:val="006C656C"/>
    <w:rsid w:val="006D3E84"/>
    <w:rsid w:val="006D6F0A"/>
    <w:rsid w:val="006E119E"/>
    <w:rsid w:val="006F1C86"/>
    <w:rsid w:val="006F477B"/>
    <w:rsid w:val="006F5EAA"/>
    <w:rsid w:val="0070483F"/>
    <w:rsid w:val="00706384"/>
    <w:rsid w:val="00710B13"/>
    <w:rsid w:val="007227BD"/>
    <w:rsid w:val="00734E51"/>
    <w:rsid w:val="00741C33"/>
    <w:rsid w:val="007426D5"/>
    <w:rsid w:val="00750384"/>
    <w:rsid w:val="007513BA"/>
    <w:rsid w:val="007522D8"/>
    <w:rsid w:val="00763910"/>
    <w:rsid w:val="0076512E"/>
    <w:rsid w:val="00765F6D"/>
    <w:rsid w:val="00780C7D"/>
    <w:rsid w:val="00780DB9"/>
    <w:rsid w:val="00792517"/>
    <w:rsid w:val="00796209"/>
    <w:rsid w:val="00796FC0"/>
    <w:rsid w:val="007A7FF6"/>
    <w:rsid w:val="007B0700"/>
    <w:rsid w:val="007C0AC1"/>
    <w:rsid w:val="007C30EE"/>
    <w:rsid w:val="007C35CA"/>
    <w:rsid w:val="007D1C57"/>
    <w:rsid w:val="007D7365"/>
    <w:rsid w:val="007E4984"/>
    <w:rsid w:val="007E51B6"/>
    <w:rsid w:val="007E65A0"/>
    <w:rsid w:val="007E7990"/>
    <w:rsid w:val="007F04B4"/>
    <w:rsid w:val="007F244C"/>
    <w:rsid w:val="007F6492"/>
    <w:rsid w:val="00800F73"/>
    <w:rsid w:val="0080305C"/>
    <w:rsid w:val="00816B6A"/>
    <w:rsid w:val="00822213"/>
    <w:rsid w:val="008369D6"/>
    <w:rsid w:val="00840B55"/>
    <w:rsid w:val="00841A3D"/>
    <w:rsid w:val="00845371"/>
    <w:rsid w:val="00847326"/>
    <w:rsid w:val="0085235C"/>
    <w:rsid w:val="0085558C"/>
    <w:rsid w:val="0086270D"/>
    <w:rsid w:val="0086321D"/>
    <w:rsid w:val="00867DCC"/>
    <w:rsid w:val="008714D9"/>
    <w:rsid w:val="008903B4"/>
    <w:rsid w:val="00891521"/>
    <w:rsid w:val="0089286D"/>
    <w:rsid w:val="0089489F"/>
    <w:rsid w:val="00896052"/>
    <w:rsid w:val="008A6BA2"/>
    <w:rsid w:val="008A7FE5"/>
    <w:rsid w:val="008D12CB"/>
    <w:rsid w:val="008E1652"/>
    <w:rsid w:val="008E39A1"/>
    <w:rsid w:val="008E5A7F"/>
    <w:rsid w:val="008F342D"/>
    <w:rsid w:val="008F5612"/>
    <w:rsid w:val="009127A9"/>
    <w:rsid w:val="009158A9"/>
    <w:rsid w:val="00920AF1"/>
    <w:rsid w:val="00921DCE"/>
    <w:rsid w:val="00925335"/>
    <w:rsid w:val="00926717"/>
    <w:rsid w:val="00955ABF"/>
    <w:rsid w:val="00964E44"/>
    <w:rsid w:val="00966A55"/>
    <w:rsid w:val="009722F8"/>
    <w:rsid w:val="00980F2D"/>
    <w:rsid w:val="009843A7"/>
    <w:rsid w:val="0098779B"/>
    <w:rsid w:val="00997107"/>
    <w:rsid w:val="009B48B7"/>
    <w:rsid w:val="009B61A9"/>
    <w:rsid w:val="009B777E"/>
    <w:rsid w:val="009D221C"/>
    <w:rsid w:val="009E2D9C"/>
    <w:rsid w:val="009E39E6"/>
    <w:rsid w:val="009E42EA"/>
    <w:rsid w:val="009E4CD9"/>
    <w:rsid w:val="009F27D6"/>
    <w:rsid w:val="00A03F3B"/>
    <w:rsid w:val="00A04139"/>
    <w:rsid w:val="00A213D9"/>
    <w:rsid w:val="00A2356E"/>
    <w:rsid w:val="00A24CE3"/>
    <w:rsid w:val="00A263A9"/>
    <w:rsid w:val="00A27E3C"/>
    <w:rsid w:val="00A36027"/>
    <w:rsid w:val="00A40BBB"/>
    <w:rsid w:val="00A44AAB"/>
    <w:rsid w:val="00A44FFC"/>
    <w:rsid w:val="00A45107"/>
    <w:rsid w:val="00A51430"/>
    <w:rsid w:val="00A53387"/>
    <w:rsid w:val="00A56295"/>
    <w:rsid w:val="00A6251F"/>
    <w:rsid w:val="00A80337"/>
    <w:rsid w:val="00A83216"/>
    <w:rsid w:val="00A85CA4"/>
    <w:rsid w:val="00A86F33"/>
    <w:rsid w:val="00A912A2"/>
    <w:rsid w:val="00AA271B"/>
    <w:rsid w:val="00AA2B1E"/>
    <w:rsid w:val="00AA3897"/>
    <w:rsid w:val="00AA4276"/>
    <w:rsid w:val="00AA5A81"/>
    <w:rsid w:val="00AA6C3E"/>
    <w:rsid w:val="00AB0234"/>
    <w:rsid w:val="00AB06BF"/>
    <w:rsid w:val="00AB5763"/>
    <w:rsid w:val="00AC277F"/>
    <w:rsid w:val="00AC4C9A"/>
    <w:rsid w:val="00AC595A"/>
    <w:rsid w:val="00AD5475"/>
    <w:rsid w:val="00AE47FF"/>
    <w:rsid w:val="00AE78B0"/>
    <w:rsid w:val="00AF4FD4"/>
    <w:rsid w:val="00B033A9"/>
    <w:rsid w:val="00B22427"/>
    <w:rsid w:val="00B22B45"/>
    <w:rsid w:val="00B32B2E"/>
    <w:rsid w:val="00B50AA8"/>
    <w:rsid w:val="00B522DD"/>
    <w:rsid w:val="00B60E70"/>
    <w:rsid w:val="00B6124F"/>
    <w:rsid w:val="00B77718"/>
    <w:rsid w:val="00B82500"/>
    <w:rsid w:val="00B90393"/>
    <w:rsid w:val="00BA7892"/>
    <w:rsid w:val="00BB44F0"/>
    <w:rsid w:val="00BD150D"/>
    <w:rsid w:val="00BD21EE"/>
    <w:rsid w:val="00BD3116"/>
    <w:rsid w:val="00BD71DF"/>
    <w:rsid w:val="00BD75A8"/>
    <w:rsid w:val="00BE0E73"/>
    <w:rsid w:val="00BE675D"/>
    <w:rsid w:val="00BF09B3"/>
    <w:rsid w:val="00C0676F"/>
    <w:rsid w:val="00C23DE1"/>
    <w:rsid w:val="00C262E1"/>
    <w:rsid w:val="00C315A1"/>
    <w:rsid w:val="00C3525D"/>
    <w:rsid w:val="00C36CEB"/>
    <w:rsid w:val="00C56CFD"/>
    <w:rsid w:val="00C6159E"/>
    <w:rsid w:val="00C6220A"/>
    <w:rsid w:val="00C64969"/>
    <w:rsid w:val="00C64DC0"/>
    <w:rsid w:val="00C66E63"/>
    <w:rsid w:val="00C67557"/>
    <w:rsid w:val="00C72C9A"/>
    <w:rsid w:val="00C73850"/>
    <w:rsid w:val="00C742A2"/>
    <w:rsid w:val="00C77A03"/>
    <w:rsid w:val="00C84BC8"/>
    <w:rsid w:val="00C85594"/>
    <w:rsid w:val="00C90C6F"/>
    <w:rsid w:val="00C9504E"/>
    <w:rsid w:val="00CA1D07"/>
    <w:rsid w:val="00CA68F0"/>
    <w:rsid w:val="00CB0CEE"/>
    <w:rsid w:val="00CB30A9"/>
    <w:rsid w:val="00CB340B"/>
    <w:rsid w:val="00CB7D6B"/>
    <w:rsid w:val="00CC550B"/>
    <w:rsid w:val="00CD2E5F"/>
    <w:rsid w:val="00CF21CF"/>
    <w:rsid w:val="00D04E2E"/>
    <w:rsid w:val="00D13772"/>
    <w:rsid w:val="00D137D9"/>
    <w:rsid w:val="00D14367"/>
    <w:rsid w:val="00D15AE2"/>
    <w:rsid w:val="00D208FF"/>
    <w:rsid w:val="00D316E6"/>
    <w:rsid w:val="00D3264E"/>
    <w:rsid w:val="00D35159"/>
    <w:rsid w:val="00D373E6"/>
    <w:rsid w:val="00D43B7D"/>
    <w:rsid w:val="00D47C6D"/>
    <w:rsid w:val="00D52080"/>
    <w:rsid w:val="00D62F39"/>
    <w:rsid w:val="00D64FB5"/>
    <w:rsid w:val="00D67550"/>
    <w:rsid w:val="00D7568D"/>
    <w:rsid w:val="00D80195"/>
    <w:rsid w:val="00D81766"/>
    <w:rsid w:val="00D82141"/>
    <w:rsid w:val="00D82D56"/>
    <w:rsid w:val="00D82F36"/>
    <w:rsid w:val="00D9105F"/>
    <w:rsid w:val="00D95A01"/>
    <w:rsid w:val="00D9654C"/>
    <w:rsid w:val="00DA0E58"/>
    <w:rsid w:val="00DB4406"/>
    <w:rsid w:val="00DC3D64"/>
    <w:rsid w:val="00DC74CA"/>
    <w:rsid w:val="00DC7C2E"/>
    <w:rsid w:val="00DD6FD6"/>
    <w:rsid w:val="00DE0A0F"/>
    <w:rsid w:val="00DE5DF6"/>
    <w:rsid w:val="00DF1E3A"/>
    <w:rsid w:val="00DF6F54"/>
    <w:rsid w:val="00E016FD"/>
    <w:rsid w:val="00E01730"/>
    <w:rsid w:val="00E3178F"/>
    <w:rsid w:val="00E31892"/>
    <w:rsid w:val="00E332D5"/>
    <w:rsid w:val="00E3361F"/>
    <w:rsid w:val="00E42720"/>
    <w:rsid w:val="00E653C1"/>
    <w:rsid w:val="00E74E66"/>
    <w:rsid w:val="00E75016"/>
    <w:rsid w:val="00E815D3"/>
    <w:rsid w:val="00E81EFE"/>
    <w:rsid w:val="00E82D9A"/>
    <w:rsid w:val="00E84766"/>
    <w:rsid w:val="00E87494"/>
    <w:rsid w:val="00EA33CC"/>
    <w:rsid w:val="00EC4C48"/>
    <w:rsid w:val="00EC68A4"/>
    <w:rsid w:val="00ED2EC1"/>
    <w:rsid w:val="00ED7613"/>
    <w:rsid w:val="00EE46A7"/>
    <w:rsid w:val="00EE4A15"/>
    <w:rsid w:val="00EE4FFB"/>
    <w:rsid w:val="00EE56CB"/>
    <w:rsid w:val="00EF5748"/>
    <w:rsid w:val="00EF6E98"/>
    <w:rsid w:val="00F009EE"/>
    <w:rsid w:val="00F00ECA"/>
    <w:rsid w:val="00F17AB9"/>
    <w:rsid w:val="00F25FE6"/>
    <w:rsid w:val="00F3056B"/>
    <w:rsid w:val="00F36827"/>
    <w:rsid w:val="00F42FDA"/>
    <w:rsid w:val="00F52A6B"/>
    <w:rsid w:val="00F53C47"/>
    <w:rsid w:val="00F57766"/>
    <w:rsid w:val="00F66F71"/>
    <w:rsid w:val="00F836F8"/>
    <w:rsid w:val="00F84EA7"/>
    <w:rsid w:val="00F91465"/>
    <w:rsid w:val="00F953CD"/>
    <w:rsid w:val="00FA30BA"/>
    <w:rsid w:val="00FA431A"/>
    <w:rsid w:val="00FB3321"/>
    <w:rsid w:val="00FB5F70"/>
    <w:rsid w:val="00FD3ACA"/>
    <w:rsid w:val="00FD3F49"/>
    <w:rsid w:val="00FD5F58"/>
    <w:rsid w:val="00FD7B69"/>
    <w:rsid w:val="00FE149C"/>
    <w:rsid w:val="00FE3FBA"/>
    <w:rsid w:val="00FF546E"/>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3605</Words>
  <Characters>20553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Rocío Alayón Morell</cp:lastModifiedBy>
  <cp:revision>3</cp:revision>
  <dcterms:created xsi:type="dcterms:W3CDTF">2026-05-11T20:24:00Z</dcterms:created>
  <dcterms:modified xsi:type="dcterms:W3CDTF">2026-05-12T14:12:00Z</dcterms:modified>
</cp:coreProperties>
</file>