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BBC01" w14:textId="77777777" w:rsidR="00AA41A5" w:rsidRPr="00D35A43" w:rsidRDefault="00AA41A5" w:rsidP="00AA41A5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D35A43">
        <w:rPr>
          <w:rFonts w:ascii="Book Antiqua" w:hAnsi="Book Antiqua"/>
          <w:sz w:val="28"/>
          <w:lang w:val="es-ES_tradnl"/>
        </w:rPr>
        <w:t>GOBIERNO DE PUERTO RICO</w:t>
      </w:r>
    </w:p>
    <w:p w14:paraId="50184D40" w14:textId="77777777" w:rsidR="00AA41A5" w:rsidRPr="00D35A43" w:rsidRDefault="00AA41A5" w:rsidP="00AA41A5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4F5876C0" w14:textId="2152E727" w:rsidR="00AA41A5" w:rsidRPr="00D35A43" w:rsidRDefault="00AA41A5" w:rsidP="00AA41A5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D35A43">
        <w:rPr>
          <w:rFonts w:ascii="Book Antiqua" w:hAnsi="Book Antiqua"/>
          <w:lang w:val="es-PR"/>
        </w:rPr>
        <w:t>20ma. Asamblea</w:t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  <w:t xml:space="preserve">           </w:t>
      </w:r>
      <w:r w:rsidR="003B1283" w:rsidRPr="00D35A43">
        <w:rPr>
          <w:rFonts w:ascii="Book Antiqua" w:hAnsi="Book Antiqua"/>
          <w:lang w:val="es-PR"/>
        </w:rPr>
        <w:t>3r</w:t>
      </w:r>
      <w:r w:rsidRPr="00D35A43">
        <w:rPr>
          <w:rFonts w:ascii="Book Antiqua" w:hAnsi="Book Antiqua"/>
          <w:lang w:val="es-PR"/>
        </w:rPr>
        <w:t>a. Sesión</w:t>
      </w:r>
    </w:p>
    <w:p w14:paraId="0FD0902D" w14:textId="77777777" w:rsidR="00AA41A5" w:rsidRPr="00D35A43" w:rsidRDefault="00AA41A5" w:rsidP="00AA41A5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D35A43">
        <w:rPr>
          <w:rFonts w:ascii="Book Antiqua" w:hAnsi="Book Antiqua"/>
          <w:lang w:val="es-PR"/>
        </w:rPr>
        <w:t xml:space="preserve">            Legislativa</w:t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  <w:t xml:space="preserve">   </w:t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</w:r>
      <w:r w:rsidRPr="00D35A43">
        <w:rPr>
          <w:rFonts w:ascii="Book Antiqua" w:hAnsi="Book Antiqua"/>
          <w:lang w:val="es-PR"/>
        </w:rPr>
        <w:tab/>
        <w:t xml:space="preserve">      Ordinaria</w:t>
      </w:r>
    </w:p>
    <w:p w14:paraId="4F37BB74" w14:textId="77777777" w:rsidR="00AA41A5" w:rsidRPr="00F92AE0" w:rsidRDefault="00AA41A5" w:rsidP="00AA41A5">
      <w:pPr>
        <w:suppressLineNumbers/>
        <w:rPr>
          <w:rFonts w:ascii="Book Antiqua" w:hAnsi="Book Antiqua"/>
          <w:lang w:val="es-PR"/>
        </w:rPr>
      </w:pPr>
    </w:p>
    <w:p w14:paraId="281F3852" w14:textId="77777777" w:rsidR="00AA41A5" w:rsidRPr="00D35A43" w:rsidRDefault="00AA41A5" w:rsidP="00AA41A5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D35A4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C059D6" w14:textId="77777777" w:rsidR="00AA41A5" w:rsidRPr="00D35A43" w:rsidRDefault="00AA41A5" w:rsidP="00AA41A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E433B7C" w14:textId="636655FE" w:rsidR="00AA41A5" w:rsidRPr="00D35A43" w:rsidRDefault="00A91136" w:rsidP="00AA41A5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D35A43">
        <w:rPr>
          <w:rFonts w:ascii="Book Antiqua" w:hAnsi="Book Antiqua"/>
          <w:b/>
          <w:sz w:val="52"/>
          <w:lang w:val="es-ES_tradnl"/>
        </w:rPr>
        <w:t>P</w:t>
      </w:r>
      <w:r w:rsidR="00AA41A5" w:rsidRPr="00D35A43">
        <w:rPr>
          <w:rFonts w:ascii="Book Antiqua" w:hAnsi="Book Antiqua"/>
          <w:b/>
          <w:sz w:val="52"/>
          <w:lang w:val="es-ES_tradnl"/>
        </w:rPr>
        <w:t>. de la C.</w:t>
      </w:r>
      <w:r w:rsidR="00C100F1">
        <w:rPr>
          <w:rFonts w:ascii="Book Antiqua" w:hAnsi="Book Antiqua"/>
          <w:b/>
          <w:sz w:val="52"/>
          <w:lang w:val="es-ES_tradnl"/>
        </w:rPr>
        <w:t xml:space="preserve"> 1274</w:t>
      </w:r>
    </w:p>
    <w:p w14:paraId="744DEE98" w14:textId="77777777" w:rsidR="00AA41A5" w:rsidRPr="00D35A43" w:rsidRDefault="00AA41A5" w:rsidP="00AA41A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CC72272" w14:textId="1925C8B3" w:rsidR="00AA41A5" w:rsidRPr="00D35A43" w:rsidRDefault="00C96D8C" w:rsidP="00AA41A5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12 </w:t>
      </w:r>
      <w:r w:rsidR="00CB12A9" w:rsidRPr="00D35A43">
        <w:rPr>
          <w:rFonts w:ascii="Book Antiqua" w:hAnsi="Book Antiqua"/>
          <w:lang w:val="es-ES_tradnl"/>
        </w:rPr>
        <w:t xml:space="preserve">DE </w:t>
      </w:r>
      <w:r w:rsidR="009E6473">
        <w:rPr>
          <w:rFonts w:ascii="Book Antiqua" w:hAnsi="Book Antiqua"/>
          <w:lang w:val="es-ES_tradnl"/>
        </w:rPr>
        <w:t>MAYO</w:t>
      </w:r>
      <w:r w:rsidR="00AA41A5" w:rsidRPr="00D35A43">
        <w:rPr>
          <w:rFonts w:ascii="Book Antiqua" w:hAnsi="Book Antiqua"/>
          <w:lang w:val="es-ES_tradnl"/>
        </w:rPr>
        <w:t xml:space="preserve"> DE 202</w:t>
      </w:r>
      <w:r w:rsidR="003B1283" w:rsidRPr="00D35A43">
        <w:rPr>
          <w:rFonts w:ascii="Book Antiqua" w:hAnsi="Book Antiqua"/>
          <w:lang w:val="es-ES_tradnl"/>
        </w:rPr>
        <w:t>6</w:t>
      </w:r>
    </w:p>
    <w:p w14:paraId="2E81588A" w14:textId="77777777" w:rsidR="00AA41A5" w:rsidRPr="00D35A43" w:rsidRDefault="00AA41A5" w:rsidP="00AA41A5">
      <w:pPr>
        <w:suppressLineNumbers/>
        <w:jc w:val="center"/>
        <w:rPr>
          <w:rFonts w:ascii="Book Antiqua" w:hAnsi="Book Antiqua"/>
          <w:lang w:val="es-ES_tradnl"/>
        </w:rPr>
      </w:pPr>
    </w:p>
    <w:p w14:paraId="332E79FB" w14:textId="65AA159A" w:rsidR="00AA41A5" w:rsidRDefault="00AA41A5" w:rsidP="00AA41A5">
      <w:pPr>
        <w:suppressLineNumbers/>
        <w:jc w:val="center"/>
        <w:rPr>
          <w:rFonts w:ascii="Book Antiqua" w:hAnsi="Book Antiqua"/>
          <w:lang w:val="es-ES_tradnl"/>
        </w:rPr>
      </w:pPr>
      <w:r w:rsidRPr="00D35A43">
        <w:rPr>
          <w:rFonts w:ascii="Book Antiqua" w:hAnsi="Book Antiqua"/>
          <w:lang w:val="es-ES_tradnl"/>
        </w:rPr>
        <w:t>Presentad</w:t>
      </w:r>
      <w:r w:rsidR="00B82443" w:rsidRPr="00D35A43">
        <w:rPr>
          <w:rFonts w:ascii="Book Antiqua" w:hAnsi="Book Antiqua"/>
          <w:lang w:val="es-ES_tradnl"/>
        </w:rPr>
        <w:t>o</w:t>
      </w:r>
      <w:r w:rsidRPr="00D35A43">
        <w:rPr>
          <w:rFonts w:ascii="Book Antiqua" w:hAnsi="Book Antiqua"/>
          <w:lang w:val="es-ES_tradnl"/>
        </w:rPr>
        <w:t xml:space="preserve"> por </w:t>
      </w:r>
      <w:r w:rsidR="00966DE0">
        <w:rPr>
          <w:rFonts w:ascii="Book Antiqua" w:hAnsi="Book Antiqua"/>
          <w:lang w:val="es-ES_tradnl"/>
        </w:rPr>
        <w:t>los</w:t>
      </w:r>
      <w:r w:rsidR="004340D7" w:rsidRPr="00D35A43">
        <w:rPr>
          <w:rFonts w:ascii="Book Antiqua" w:hAnsi="Book Antiqua"/>
          <w:lang w:val="es-ES_tradnl"/>
        </w:rPr>
        <w:t xml:space="preserve"> </w:t>
      </w:r>
      <w:r w:rsidR="00966DE0">
        <w:rPr>
          <w:rFonts w:ascii="Book Antiqua" w:hAnsi="Book Antiqua"/>
          <w:lang w:val="es-ES_tradnl"/>
        </w:rPr>
        <w:t>representantes</w:t>
      </w:r>
      <w:r w:rsidR="002348DF" w:rsidRPr="00D35A43">
        <w:rPr>
          <w:rFonts w:ascii="Book Antiqua" w:hAnsi="Book Antiqua"/>
          <w:lang w:val="es-ES_tradnl"/>
        </w:rPr>
        <w:t xml:space="preserve"> </w:t>
      </w:r>
      <w:r w:rsidR="003B1283" w:rsidRPr="00D35A43">
        <w:rPr>
          <w:rFonts w:ascii="Book Antiqua" w:hAnsi="Book Antiqua"/>
          <w:lang w:val="es-ES_tradnl"/>
        </w:rPr>
        <w:t>Franqui Atiles</w:t>
      </w:r>
      <w:r w:rsidR="00CC2D4F">
        <w:rPr>
          <w:rFonts w:ascii="Book Antiqua" w:hAnsi="Book Antiqua"/>
          <w:lang w:val="es-ES_tradnl"/>
        </w:rPr>
        <w:t xml:space="preserve"> </w:t>
      </w:r>
    </w:p>
    <w:p w14:paraId="661DE8B2" w14:textId="77777777" w:rsidR="0046454F" w:rsidRDefault="0046454F" w:rsidP="00AA41A5">
      <w:pPr>
        <w:suppressLineNumbers/>
        <w:jc w:val="center"/>
        <w:rPr>
          <w:rFonts w:ascii="Book Antiqua" w:hAnsi="Book Antiqua"/>
          <w:lang w:val="es-ES_tradnl"/>
        </w:rPr>
      </w:pPr>
    </w:p>
    <w:p w14:paraId="4D57CCB1" w14:textId="449480C0" w:rsidR="0046454F" w:rsidRPr="00D35A43" w:rsidRDefault="0046454F" w:rsidP="00AA41A5">
      <w:pPr>
        <w:suppressLineNumbers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Referido a la Comisión </w:t>
      </w:r>
      <w:r w:rsidR="00F92AE0">
        <w:rPr>
          <w:rFonts w:ascii="Book Antiqua" w:hAnsi="Book Antiqua"/>
          <w:lang w:val="es-ES_tradnl"/>
        </w:rPr>
        <w:t xml:space="preserve">de Banca, Seguros y Comercio </w:t>
      </w:r>
    </w:p>
    <w:p w14:paraId="4872333E" w14:textId="77777777" w:rsidR="00AA41A5" w:rsidRPr="00D35A43" w:rsidRDefault="00AA41A5" w:rsidP="00AA41A5">
      <w:pPr>
        <w:suppressLineNumbers/>
        <w:jc w:val="both"/>
        <w:rPr>
          <w:rFonts w:ascii="Book Antiqua" w:hAnsi="Book Antiqua"/>
          <w:lang w:val="es-ES_tradnl"/>
        </w:rPr>
      </w:pPr>
    </w:p>
    <w:p w14:paraId="79AC6201" w14:textId="101C207E" w:rsidR="00AA41A5" w:rsidRDefault="00525314" w:rsidP="00AA41A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D35A43">
        <w:rPr>
          <w:rFonts w:ascii="Book Antiqua" w:hAnsi="Book Antiqua"/>
          <w:b/>
          <w:sz w:val="28"/>
          <w:lang w:val="es-ES_tradnl"/>
        </w:rPr>
        <w:t>LEY</w:t>
      </w:r>
    </w:p>
    <w:p w14:paraId="18A5FF1D" w14:textId="77777777" w:rsidR="00F92AE0" w:rsidRPr="00D35A43" w:rsidRDefault="00F92AE0" w:rsidP="00AA41A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79BF8CF7" w14:textId="48A540E3" w:rsidR="007D178C" w:rsidRPr="007D178C" w:rsidRDefault="00E269C5" w:rsidP="007D178C">
      <w:pPr>
        <w:suppressLineNumbers/>
        <w:ind w:left="600" w:hanging="600"/>
        <w:jc w:val="both"/>
        <w:rPr>
          <w:rFonts w:ascii="Book Antiqua" w:hAnsi="Book Antiqua"/>
          <w:szCs w:val="24"/>
          <w:lang w:val="es-PR"/>
        </w:rPr>
      </w:pPr>
      <w:r w:rsidRPr="00E269C5">
        <w:rPr>
          <w:rFonts w:ascii="Book Antiqua" w:hAnsi="Book Antiqua"/>
          <w:szCs w:val="24"/>
          <w:lang w:val="es-PR"/>
        </w:rPr>
        <w:t xml:space="preserve">Para crear la </w:t>
      </w:r>
      <w:r>
        <w:rPr>
          <w:rFonts w:ascii="Book Antiqua" w:hAnsi="Book Antiqua"/>
          <w:szCs w:val="24"/>
          <w:lang w:val="es-PR"/>
        </w:rPr>
        <w:t>“</w:t>
      </w:r>
      <w:r w:rsidRPr="00E269C5">
        <w:rPr>
          <w:rFonts w:ascii="Book Antiqua" w:hAnsi="Book Antiqua"/>
          <w:szCs w:val="24"/>
          <w:lang w:val="es-PR"/>
        </w:rPr>
        <w:t xml:space="preserve">Ley </w:t>
      </w:r>
      <w:r w:rsidR="00FD33FC">
        <w:rPr>
          <w:rFonts w:ascii="Book Antiqua" w:hAnsi="Book Antiqua"/>
          <w:szCs w:val="24"/>
          <w:lang w:val="es-PR"/>
        </w:rPr>
        <w:t xml:space="preserve">de </w:t>
      </w:r>
      <w:r w:rsidR="000F4162">
        <w:rPr>
          <w:rFonts w:ascii="Book Antiqua" w:hAnsi="Book Antiqua"/>
          <w:szCs w:val="24"/>
          <w:lang w:val="es-PR"/>
        </w:rPr>
        <w:t xml:space="preserve">Flexibilidad de </w:t>
      </w:r>
      <w:r w:rsidR="000F4162" w:rsidRPr="000F4162">
        <w:rPr>
          <w:rFonts w:ascii="Book Antiqua" w:hAnsi="Book Antiqua"/>
          <w:szCs w:val="24"/>
          <w:lang w:val="es-PR"/>
        </w:rPr>
        <w:t>Herramientas de Pagos al Principal de Deudas</w:t>
      </w:r>
      <w:r w:rsidR="000F4162">
        <w:rPr>
          <w:rFonts w:ascii="Book Antiqua" w:hAnsi="Book Antiqua"/>
          <w:szCs w:val="24"/>
          <w:lang w:val="es-PR"/>
        </w:rPr>
        <w:t xml:space="preserve"> y Transparencia Financiera</w:t>
      </w:r>
      <w:r w:rsidR="00223F07">
        <w:rPr>
          <w:rFonts w:ascii="Book Antiqua" w:hAnsi="Book Antiqua"/>
          <w:szCs w:val="24"/>
          <w:lang w:val="es-PR"/>
        </w:rPr>
        <w:t xml:space="preserve"> de </w:t>
      </w:r>
      <w:r w:rsidRPr="00E269C5">
        <w:rPr>
          <w:rFonts w:ascii="Book Antiqua" w:hAnsi="Book Antiqua"/>
          <w:szCs w:val="24"/>
          <w:lang w:val="es-PR"/>
        </w:rPr>
        <w:t>Puerto Rico</w:t>
      </w:r>
      <w:r>
        <w:rPr>
          <w:rFonts w:ascii="Book Antiqua" w:hAnsi="Book Antiqua"/>
          <w:szCs w:val="24"/>
          <w:lang w:val="es-PR"/>
        </w:rPr>
        <w:t>”;</w:t>
      </w:r>
      <w:r w:rsidR="000F4162">
        <w:rPr>
          <w:rFonts w:ascii="Book Antiqua" w:hAnsi="Book Antiqua"/>
          <w:szCs w:val="24"/>
          <w:lang w:val="es-PR"/>
        </w:rPr>
        <w:t xml:space="preserve"> </w:t>
      </w:r>
      <w:r w:rsidR="007D178C" w:rsidRPr="007D178C">
        <w:rPr>
          <w:rFonts w:ascii="Book Antiqua" w:hAnsi="Book Antiqua"/>
          <w:szCs w:val="24"/>
          <w:lang w:val="es-PR"/>
        </w:rPr>
        <w:t>a los fines de establecer la obligación de que todas las instituciones financieras, casas de empeño</w:t>
      </w:r>
      <w:r w:rsidR="007D178C">
        <w:rPr>
          <w:rFonts w:ascii="Book Antiqua" w:hAnsi="Book Antiqua"/>
          <w:szCs w:val="24"/>
          <w:lang w:val="es-PR"/>
        </w:rPr>
        <w:t>, así como otras</w:t>
      </w:r>
      <w:r w:rsidR="007D178C" w:rsidRPr="007D178C">
        <w:rPr>
          <w:rFonts w:ascii="Book Antiqua" w:hAnsi="Book Antiqua"/>
          <w:szCs w:val="24"/>
          <w:lang w:val="es-PR"/>
        </w:rPr>
        <w:t xml:space="preserve"> entidades que ofrezcan productos de crédito, préstamos o financiamientos</w:t>
      </w:r>
      <w:r w:rsidR="007D178C">
        <w:rPr>
          <w:rFonts w:ascii="Book Antiqua" w:hAnsi="Book Antiqua"/>
          <w:szCs w:val="24"/>
          <w:lang w:val="es-PR"/>
        </w:rPr>
        <w:t>,</w:t>
      </w:r>
      <w:r w:rsidR="007D178C" w:rsidRPr="007D178C">
        <w:rPr>
          <w:rFonts w:ascii="Book Antiqua" w:hAnsi="Book Antiqua"/>
          <w:szCs w:val="24"/>
          <w:lang w:val="es-PR"/>
        </w:rPr>
        <w:t xml:space="preserve"> provean al consumidor </w:t>
      </w:r>
      <w:r w:rsidR="007D178C">
        <w:rPr>
          <w:rFonts w:ascii="Book Antiqua" w:hAnsi="Book Antiqua"/>
          <w:szCs w:val="24"/>
          <w:lang w:val="es-PR"/>
        </w:rPr>
        <w:t>opciones</w:t>
      </w:r>
      <w:r w:rsidR="007D178C" w:rsidRPr="007D178C">
        <w:rPr>
          <w:rFonts w:ascii="Book Antiqua" w:hAnsi="Book Antiqua"/>
          <w:szCs w:val="24"/>
          <w:lang w:val="es-PR"/>
        </w:rPr>
        <w:t xml:space="preserve"> accesibles, claros y sin restricciones para realizar pagos directamente al principal de sus deudas</w:t>
      </w:r>
      <w:r w:rsidR="007D178C">
        <w:rPr>
          <w:rFonts w:ascii="Book Antiqua" w:hAnsi="Book Antiqua"/>
          <w:szCs w:val="24"/>
          <w:lang w:val="es-PR"/>
        </w:rPr>
        <w:t>, del mismo modo en que realizan sus pagos mensuales</w:t>
      </w:r>
      <w:r w:rsidR="007D178C" w:rsidRPr="007D178C">
        <w:rPr>
          <w:rFonts w:ascii="Book Antiqua" w:hAnsi="Book Antiqua"/>
          <w:szCs w:val="24"/>
          <w:lang w:val="es-PR"/>
        </w:rPr>
        <w:t xml:space="preserve"> en cualquiera de sus plataformas de pago, ya sean presenciales, telefónicas o electrónicas; y para otros fines relacionados.</w:t>
      </w:r>
    </w:p>
    <w:p w14:paraId="036A1C6E" w14:textId="77777777" w:rsidR="00F92AE0" w:rsidRDefault="00F92AE0" w:rsidP="00BE4ED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48527258" w14:textId="504508A9" w:rsidR="00BE4ED8" w:rsidRPr="00F92AE0" w:rsidRDefault="00AA41A5" w:rsidP="00BE4ED8">
      <w:pPr>
        <w:suppressLineNumbers/>
        <w:jc w:val="center"/>
        <w:rPr>
          <w:rStyle w:val="textonormal1"/>
          <w:rFonts w:ascii="Book Antiqua" w:eastAsiaTheme="majorEastAsia" w:hAnsi="Book Antiqua"/>
          <w:sz w:val="24"/>
          <w:szCs w:val="24"/>
          <w:lang w:val="es-PR"/>
        </w:rPr>
      </w:pPr>
      <w:r w:rsidRPr="00F92AE0">
        <w:rPr>
          <w:rFonts w:ascii="Book Antiqua" w:hAnsi="Book Antiqua"/>
          <w:szCs w:val="24"/>
          <w:lang w:val="es-ES_tradnl"/>
        </w:rPr>
        <w:t>EXPOSICIÓN DE MOTIVOS</w:t>
      </w:r>
      <w:r w:rsidRPr="00F92AE0">
        <w:rPr>
          <w:rStyle w:val="textonormal1"/>
          <w:rFonts w:ascii="Book Antiqua" w:eastAsiaTheme="majorEastAsia" w:hAnsi="Book Antiqua"/>
          <w:sz w:val="24"/>
          <w:szCs w:val="24"/>
          <w:lang w:val="es-PR"/>
        </w:rPr>
        <w:t xml:space="preserve"> </w:t>
      </w:r>
    </w:p>
    <w:p w14:paraId="05C860AF" w14:textId="77777777" w:rsidR="00BE4ED8" w:rsidRPr="00D35A43" w:rsidRDefault="00BE4ED8" w:rsidP="00BE4ED8">
      <w:pPr>
        <w:suppressLineNumbers/>
        <w:rPr>
          <w:rStyle w:val="textonormal1"/>
          <w:rFonts w:ascii="Book Antiqua" w:eastAsiaTheme="majorEastAsia" w:hAnsi="Book Antiqua"/>
          <w:sz w:val="24"/>
          <w:szCs w:val="24"/>
          <w:lang w:val="es-PR"/>
        </w:rPr>
      </w:pPr>
    </w:p>
    <w:p w14:paraId="774B16C1" w14:textId="77777777" w:rsidR="007D178C" w:rsidRDefault="0014272B" w:rsidP="007D178C">
      <w:pPr>
        <w:suppressLineNumbers/>
        <w:jc w:val="both"/>
        <w:rPr>
          <w:rFonts w:ascii="Book Antiqua" w:eastAsiaTheme="majorEastAsia" w:hAnsi="Book Antiqua" w:cs="Arial"/>
          <w:color w:val="000000"/>
          <w:lang w:val="es-PR"/>
        </w:rPr>
      </w:pPr>
      <w:r w:rsidRPr="00D35A43">
        <w:rPr>
          <w:rFonts w:ascii="Book Antiqua" w:eastAsiaTheme="majorEastAsia" w:hAnsi="Book Antiqua" w:cs="Arial"/>
          <w:color w:val="000000"/>
          <w:szCs w:val="24"/>
          <w:lang w:val="es-PR"/>
        </w:rPr>
        <w:tab/>
      </w:r>
      <w:r w:rsidR="007D178C" w:rsidRPr="007D178C">
        <w:rPr>
          <w:rFonts w:ascii="Book Antiqua" w:eastAsiaTheme="majorEastAsia" w:hAnsi="Book Antiqua" w:cs="Arial"/>
          <w:color w:val="000000"/>
          <w:lang w:val="es-PR"/>
        </w:rPr>
        <w:t>En Puerto Rico, miles de consumidores interactúan diariamente con diversos productos financieros, tales como tarjetas de crédito, préstamos personales, hipotecarios, de autos y acuerdos con casas de empeño, entre otros. Estos instrumentos constituyen herramientas esenciales para la actividad económica y para la estabilidad financiera de individuos y familias. Sin embargo, persisten prácticas que limitan la capacidad del consumidor para gestionar sus deudas de manera eficiente y transparente, particularmente cuando desean realizar pagos dirigidos exclusivamente al principal adeudado.</w:t>
      </w:r>
    </w:p>
    <w:p w14:paraId="1055E216" w14:textId="77777777" w:rsidR="007D178C" w:rsidRPr="007D178C" w:rsidRDefault="007D178C" w:rsidP="007D178C">
      <w:pPr>
        <w:suppressLineNumbers/>
        <w:jc w:val="both"/>
        <w:rPr>
          <w:rFonts w:ascii="Book Antiqua" w:eastAsiaTheme="majorEastAsia" w:hAnsi="Book Antiqua" w:cs="Arial"/>
          <w:color w:val="000000"/>
          <w:lang w:val="es-PR"/>
        </w:rPr>
      </w:pPr>
    </w:p>
    <w:p w14:paraId="35583B17" w14:textId="77777777" w:rsidR="007D178C" w:rsidRDefault="007D178C" w:rsidP="007D178C">
      <w:pPr>
        <w:suppressLineNumbers/>
        <w:jc w:val="both"/>
        <w:rPr>
          <w:rFonts w:ascii="Book Antiqua" w:eastAsiaTheme="majorEastAsia" w:hAnsi="Book Antiqua" w:cs="Arial"/>
          <w:color w:val="000000"/>
          <w:szCs w:val="24"/>
          <w:lang w:val="es-PR"/>
        </w:rPr>
      </w:pP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>En muchos casos, las instituciones financieras y entidades que otorgan crédito estructuran sus plataformas de repago de forma tal que dificultan o restringen el acceso a la opción de abonar directamente al principal. Esta ausencia de mecanismos claros y accesibles provoca demoras, confusión y, en ocasiones, impide</w:t>
      </w:r>
      <w:r>
        <w:rPr>
          <w:rFonts w:ascii="Book Antiqua" w:eastAsiaTheme="majorEastAsia" w:hAnsi="Book Antiqua" w:cs="Arial"/>
          <w:color w:val="000000"/>
          <w:szCs w:val="24"/>
          <w:lang w:val="es-PR"/>
        </w:rPr>
        <w:t>n</w:t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 xml:space="preserve"> que el consumidor </w:t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lastRenderedPageBreak/>
        <w:t xml:space="preserve">pueda reducir de manera efectiva el costo total de su deuda mediante pagos acelerados al principal. </w:t>
      </w:r>
    </w:p>
    <w:p w14:paraId="62F2A34E" w14:textId="77777777" w:rsidR="007D178C" w:rsidRDefault="007D178C" w:rsidP="007D178C">
      <w:pPr>
        <w:suppressLineNumbers/>
        <w:jc w:val="both"/>
        <w:rPr>
          <w:rFonts w:ascii="Book Antiqua" w:eastAsiaTheme="majorEastAsia" w:hAnsi="Book Antiqua" w:cs="Arial"/>
          <w:color w:val="000000"/>
          <w:szCs w:val="24"/>
          <w:lang w:val="es-PR"/>
        </w:rPr>
      </w:pPr>
    </w:p>
    <w:p w14:paraId="35F85250" w14:textId="1AD29CBE" w:rsidR="007D178C" w:rsidRDefault="007D178C" w:rsidP="007D178C">
      <w:pPr>
        <w:suppressLineNumbers/>
        <w:jc w:val="both"/>
        <w:rPr>
          <w:rFonts w:ascii="Book Antiqua" w:eastAsiaTheme="majorEastAsia" w:hAnsi="Book Antiqua" w:cs="Arial"/>
          <w:color w:val="000000"/>
          <w:szCs w:val="24"/>
          <w:lang w:val="es-PR"/>
        </w:rPr>
      </w:pPr>
      <w:r>
        <w:rPr>
          <w:rFonts w:ascii="Book Antiqua" w:eastAsiaTheme="majorEastAsia" w:hAnsi="Book Antiqua" w:cs="Arial"/>
          <w:color w:val="000000"/>
          <w:szCs w:val="24"/>
          <w:lang w:val="es-PR"/>
        </w:rPr>
        <w:tab/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>Tales trabas afectan negativamente la salud financiera de los ciudadanos, prolongan la duración de las obligaciones y limitan la movilidad económica de los hogares.</w:t>
      </w:r>
      <w:r>
        <w:rPr>
          <w:rFonts w:ascii="Book Antiqua" w:eastAsiaTheme="majorEastAsia" w:hAnsi="Book Antiqua" w:cs="Arial"/>
          <w:color w:val="000000"/>
          <w:szCs w:val="24"/>
          <w:lang w:val="es-PR"/>
        </w:rPr>
        <w:t xml:space="preserve"> </w:t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>Facilitar y estandarizar la disponibilidad de una opción directa y sin obstáculos para el pago al principal representa una herramienta esencial para promover responsabilidad financiera, transparencia y libertad de elección. Permitir que los consumidores apliquen pagos adicionales directamente al principal de sus deudas contribuye a reducir intereses acumulados, disminuir riesgos de morosidad y fomentar prácticas crediticias más justas y equitativas. Esta medida también incentiva una mayor competencia entre instituciones financieras, promoviendo servicios más eficientes y centrados en el usuario.</w:t>
      </w:r>
    </w:p>
    <w:p w14:paraId="77877490" w14:textId="77777777" w:rsidR="007D178C" w:rsidRPr="007D178C" w:rsidRDefault="007D178C" w:rsidP="007D178C">
      <w:pPr>
        <w:suppressLineNumbers/>
        <w:jc w:val="both"/>
        <w:rPr>
          <w:rFonts w:ascii="Book Antiqua" w:eastAsiaTheme="majorEastAsia" w:hAnsi="Book Antiqua" w:cs="Arial"/>
          <w:color w:val="000000"/>
          <w:szCs w:val="24"/>
          <w:lang w:val="es-PR"/>
        </w:rPr>
      </w:pPr>
    </w:p>
    <w:p w14:paraId="058FAEB0" w14:textId="20D52AAA" w:rsidR="007D178C" w:rsidRPr="007D178C" w:rsidRDefault="007D178C" w:rsidP="007D178C">
      <w:pPr>
        <w:suppressLineNumbers/>
        <w:jc w:val="both"/>
        <w:rPr>
          <w:rFonts w:ascii="Book Antiqua" w:eastAsiaTheme="majorEastAsia" w:hAnsi="Book Antiqua" w:cs="Arial"/>
          <w:color w:val="000000"/>
          <w:szCs w:val="24"/>
          <w:lang w:val="es-PR"/>
        </w:rPr>
      </w:pPr>
      <w:r>
        <w:rPr>
          <w:rFonts w:ascii="Book Antiqua" w:eastAsiaTheme="majorEastAsia" w:hAnsi="Book Antiqua" w:cs="Arial"/>
          <w:color w:val="000000"/>
          <w:szCs w:val="24"/>
          <w:lang w:val="es-PR"/>
        </w:rPr>
        <w:tab/>
        <w:t>Est</w:t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 xml:space="preserve">a Asamblea Legislativa reconoce la importancia de garantizar que todo consumidor tenga la capacidad de ejercer este derecho sin trabas ni condiciones discrecionales. Por ello, se hace </w:t>
      </w:r>
      <w:r>
        <w:rPr>
          <w:rFonts w:ascii="Book Antiqua" w:eastAsiaTheme="majorEastAsia" w:hAnsi="Book Antiqua" w:cs="Arial"/>
          <w:color w:val="000000"/>
          <w:szCs w:val="24"/>
          <w:lang w:val="es-PR"/>
        </w:rPr>
        <w:t>meritorio</w:t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 xml:space="preserve"> establecer </w:t>
      </w:r>
      <w:r>
        <w:rPr>
          <w:rFonts w:ascii="Book Antiqua" w:eastAsiaTheme="majorEastAsia" w:hAnsi="Book Antiqua" w:cs="Arial"/>
          <w:color w:val="000000"/>
          <w:szCs w:val="24"/>
          <w:lang w:val="es-PR"/>
        </w:rPr>
        <w:t>con claridad</w:t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 xml:space="preserve"> la obligación de que cualquier institución financiera, casa de empeño o entidad que ofrezca crédito o financiamiento </w:t>
      </w:r>
      <w:r w:rsidR="00F341A5">
        <w:rPr>
          <w:rFonts w:ascii="Book Antiqua" w:eastAsiaTheme="majorEastAsia" w:hAnsi="Book Antiqua" w:cs="Arial"/>
          <w:color w:val="000000"/>
          <w:szCs w:val="24"/>
          <w:lang w:val="es-PR"/>
        </w:rPr>
        <w:t xml:space="preserve">de cualquier tipo en Puerto Rico, </w:t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>provea en todas sus modalidades de pago, una opción accesible, evidente y libre de obstáculos para realizar pagos dirigidos directamente al principal.</w:t>
      </w:r>
      <w:r w:rsidR="00F341A5">
        <w:rPr>
          <w:rFonts w:ascii="Book Antiqua" w:eastAsiaTheme="majorEastAsia" w:hAnsi="Book Antiqua" w:cs="Arial"/>
          <w:color w:val="000000"/>
          <w:szCs w:val="24"/>
          <w:lang w:val="es-PR"/>
        </w:rPr>
        <w:t xml:space="preserve"> </w:t>
      </w:r>
      <w:r w:rsidRPr="007D178C">
        <w:rPr>
          <w:rFonts w:ascii="Book Antiqua" w:eastAsiaTheme="majorEastAsia" w:hAnsi="Book Antiqua" w:cs="Arial"/>
          <w:color w:val="000000"/>
          <w:szCs w:val="24"/>
          <w:lang w:val="es-PR"/>
        </w:rPr>
        <w:t>Con esta acción se fortalece la transparencia financiera, se protege al consumidor y se promueve un ecosistema crediticio más justo, moderno y alineado con las mejores prácticas de servicio al cliente. Esta Ley pretende facilitar herramientas que permitan a las personas adelantar su estabilidad económica, reducir el peso de sus deudas y ejercer un mayor control sobre su futuro financiero.</w:t>
      </w:r>
    </w:p>
    <w:p w14:paraId="059B9063" w14:textId="77777777" w:rsidR="00D94B9B" w:rsidRPr="00D35A43" w:rsidRDefault="00D94B9B" w:rsidP="008E4347">
      <w:pPr>
        <w:suppressLineNumbers/>
        <w:jc w:val="both"/>
        <w:outlineLvl w:val="3"/>
        <w:rPr>
          <w:rFonts w:ascii="Book Antiqua" w:hAnsi="Book Antiqua"/>
          <w:szCs w:val="24"/>
          <w:lang w:val="es-PR"/>
        </w:rPr>
      </w:pPr>
    </w:p>
    <w:p w14:paraId="2FEF9A79" w14:textId="211ED9CD" w:rsidR="00AA41A5" w:rsidRPr="00D35A43" w:rsidRDefault="00A91136" w:rsidP="00AA41A5">
      <w:pPr>
        <w:suppressLineNumbers/>
        <w:spacing w:line="480" w:lineRule="auto"/>
        <w:jc w:val="both"/>
        <w:rPr>
          <w:rFonts w:ascii="Book Antiqua" w:hAnsi="Book Antiqua"/>
          <w:i/>
          <w:lang w:val="es-ES"/>
        </w:rPr>
      </w:pPr>
      <w:r w:rsidRPr="00D35A43">
        <w:rPr>
          <w:rFonts w:ascii="Book Antiqua" w:hAnsi="Book Antiqua"/>
          <w:i/>
          <w:lang w:val="es-ES"/>
        </w:rPr>
        <w:t>DECR</w:t>
      </w:r>
      <w:r w:rsidR="00F92AE0">
        <w:rPr>
          <w:rFonts w:ascii="Book Antiqua" w:hAnsi="Book Antiqua"/>
          <w:i/>
          <w:lang w:val="es-ES"/>
        </w:rPr>
        <w:t>É</w:t>
      </w:r>
      <w:r w:rsidRPr="00D35A43">
        <w:rPr>
          <w:rFonts w:ascii="Book Antiqua" w:hAnsi="Book Antiqua"/>
          <w:i/>
          <w:lang w:val="es-ES"/>
        </w:rPr>
        <w:t>TESE</w:t>
      </w:r>
      <w:r w:rsidR="00AA41A5" w:rsidRPr="00D35A43">
        <w:rPr>
          <w:rFonts w:ascii="Book Antiqua" w:hAnsi="Book Antiqua"/>
          <w:i/>
          <w:lang w:val="es-ES"/>
        </w:rPr>
        <w:t xml:space="preserve"> POR LA CÁMARA DE REPRESENTANTES DE PUERTO RICO:</w:t>
      </w:r>
    </w:p>
    <w:p w14:paraId="1BC5164F" w14:textId="3C68A363" w:rsidR="00DA6E0D" w:rsidRPr="00F341A5" w:rsidRDefault="00E70FA6" w:rsidP="009C22E8">
      <w:pPr>
        <w:spacing w:line="480" w:lineRule="auto"/>
        <w:ind w:firstLine="600"/>
        <w:jc w:val="both"/>
        <w:rPr>
          <w:rFonts w:ascii="Book Antiqua" w:hAnsi="Book Antiqua"/>
          <w:lang w:val="es-ES"/>
        </w:rPr>
      </w:pPr>
      <w:r w:rsidRPr="00F341A5">
        <w:rPr>
          <w:rFonts w:ascii="Book Antiqua" w:hAnsi="Book Antiqua"/>
          <w:lang w:val="es-PR"/>
        </w:rPr>
        <w:t>ARTÍCULO</w:t>
      </w:r>
      <w:r w:rsidRPr="00F341A5">
        <w:rPr>
          <w:rFonts w:ascii="Book Antiqua" w:hAnsi="Book Antiqua"/>
          <w:lang w:val="es-ES"/>
        </w:rPr>
        <w:t xml:space="preserve"> </w:t>
      </w:r>
      <w:r w:rsidR="00DA6E0D" w:rsidRPr="00F341A5">
        <w:rPr>
          <w:rFonts w:ascii="Book Antiqua" w:hAnsi="Book Antiqua"/>
          <w:lang w:val="es-ES"/>
        </w:rPr>
        <w:t xml:space="preserve">1- </w:t>
      </w:r>
      <w:r w:rsidR="009C22E8" w:rsidRPr="00F341A5">
        <w:rPr>
          <w:rFonts w:ascii="Book Antiqua" w:hAnsi="Book Antiqua"/>
          <w:lang w:val="es-ES"/>
        </w:rPr>
        <w:t>Propósito</w:t>
      </w:r>
    </w:p>
    <w:p w14:paraId="408C6B7D" w14:textId="42065F62" w:rsidR="00EE7D0E" w:rsidRPr="00F341A5" w:rsidRDefault="00E269C5" w:rsidP="000F4162">
      <w:pPr>
        <w:spacing w:line="480" w:lineRule="auto"/>
        <w:ind w:firstLine="600"/>
        <w:jc w:val="both"/>
        <w:rPr>
          <w:rFonts w:ascii="Book Antiqua" w:hAnsi="Book Antiqua"/>
          <w:szCs w:val="24"/>
          <w:lang w:val="es-PR"/>
        </w:rPr>
      </w:pPr>
      <w:r w:rsidRPr="00F341A5">
        <w:rPr>
          <w:rFonts w:ascii="Book Antiqua" w:hAnsi="Book Antiqua"/>
          <w:lang w:val="es-ES"/>
        </w:rPr>
        <w:t>E</w:t>
      </w:r>
      <w:proofErr w:type="spellStart"/>
      <w:r w:rsidRPr="00F341A5">
        <w:rPr>
          <w:rFonts w:ascii="Book Antiqua" w:hAnsi="Book Antiqua"/>
          <w:lang w:val="es-PR"/>
        </w:rPr>
        <w:t>sta</w:t>
      </w:r>
      <w:proofErr w:type="spellEnd"/>
      <w:r w:rsidRPr="00F341A5">
        <w:rPr>
          <w:rFonts w:ascii="Book Antiqua" w:hAnsi="Book Antiqua"/>
          <w:lang w:val="es-PR"/>
        </w:rPr>
        <w:t xml:space="preserve"> ley se conocerá y podrá ser citada como la </w:t>
      </w:r>
      <w:r w:rsidR="000F4162" w:rsidRPr="00F341A5">
        <w:rPr>
          <w:rFonts w:ascii="Book Antiqua" w:hAnsi="Book Antiqua"/>
          <w:szCs w:val="24"/>
          <w:lang w:val="es-PR"/>
        </w:rPr>
        <w:t>“Ley de Flexibilidad de Herramientas de Pagos al Principal de Deudas y Transparencia Financiera de Puerto Rico”</w:t>
      </w:r>
      <w:r w:rsidR="00F341A5" w:rsidRPr="00F341A5">
        <w:rPr>
          <w:rFonts w:ascii="Book Antiqua" w:hAnsi="Book Antiqua"/>
          <w:szCs w:val="24"/>
          <w:lang w:val="es-PR"/>
        </w:rPr>
        <w:t xml:space="preserve">. </w:t>
      </w:r>
    </w:p>
    <w:p w14:paraId="52061E19" w14:textId="77777777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 xml:space="preserve">El propósito de esta Ley es garantizar que todos los consumidores en Puerto Rico cuenten con herramientas accesibles, claras y libres de restricciones para realizar pagos dirigidos directamente al principal de cualquier producto financiero. </w:t>
      </w:r>
    </w:p>
    <w:p w14:paraId="44CD104A" w14:textId="22D05FA2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lastRenderedPageBreak/>
        <w:t>Esta medida busca asegurar que las instituciones financieras, casas de empeño y entidades que ofrezcan crédito, préstamos o financiamientos, integren en todas sus modalidades de pago, ya sean presenciales, telefónicas o electrónicas, una opción explícita que permita al consumidor abonar al principal sin trabas, demoras o requisitos adicionales.</w:t>
      </w:r>
    </w:p>
    <w:p w14:paraId="09F6B3C3" w14:textId="7E530C4A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Mediante esta disposición, se pretende promover mayor transparencia financiera, fortalecer la capacidad del consumidor para reducir el costo total de sus deudas y fomentar prácticas crediticias justas que respondan a las necesidades reales de los ciudadanos. Asimismo, esta Ley procura modernizar y uniformar los mecanismos de repago disponibles en el mercado, ofreciendo al público herramientas más flexibles que apoyen la estabilidad económica y la responsabilidad financiera.</w:t>
      </w:r>
    </w:p>
    <w:p w14:paraId="46A84A0D" w14:textId="515295CC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ARTÍCULO 2 — Aplicabilidad</w:t>
      </w:r>
    </w:p>
    <w:p w14:paraId="412DB634" w14:textId="77777777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Las disposiciones de esta Ley serán aplicables a todas las instituciones financieras, cooperativas de ahorro y crédito, bancos, uniones de crédito, casas de empeño, compañías de financiamiento, emisores de tarjetas de crédito y a cualquier entidad pública o privada que ofrezca, administre o gestione productos de crédito, préstamos o financiamientos en Puerto Rico.</w:t>
      </w:r>
    </w:p>
    <w:p w14:paraId="11B3CECC" w14:textId="77777777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Esta Ley aplicará a toda modalidad de recolección de pagos provista por estas entidades, incluyendo plataformas presenciales, telefónicas, electrónicas, aplicaciones móviles, portales de internet, sistemas automatizados y cualquier otro mecanismo o canal utilizado para tramitar pagos relacionados con deudas o productos financieros.</w:t>
      </w:r>
    </w:p>
    <w:p w14:paraId="3A111CC9" w14:textId="77777777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lastRenderedPageBreak/>
        <w:t>Las entidades sujetas a esta Ley deberán asegurar que sus sistemas y herramientas de cobro incorporen, de manera permanente, accesible y claramente identificada, la opción que permita a los consumidores realizar pagos dirigidos exclusivamente al principal de sus deudas, sin imponer requisitos adicionales, restricciones innecesarias ni procesos que limiten o dilaten el ejercicio de este derecho.</w:t>
      </w:r>
    </w:p>
    <w:p w14:paraId="33BBF0AF" w14:textId="2D38D114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ARTÍCULO</w:t>
      </w:r>
      <w:r w:rsidRPr="00F341A5">
        <w:rPr>
          <w:rFonts w:ascii="Book Antiqua" w:hAnsi="Book Antiqua"/>
          <w:b/>
          <w:bCs/>
          <w:lang w:val="es-PR"/>
        </w:rPr>
        <w:t xml:space="preserve"> 3 </w:t>
      </w:r>
      <w:r w:rsidRPr="00F403C2">
        <w:rPr>
          <w:rFonts w:ascii="Book Antiqua" w:hAnsi="Book Antiqua"/>
          <w:lang w:val="es-PR"/>
        </w:rPr>
        <w:t>— Definiciones</w:t>
      </w:r>
    </w:p>
    <w:p w14:paraId="4C0D3DB8" w14:textId="77777777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Para fines de esta Ley, los siguientes términos tendrán el significado que se expresa a continuación, excepto cuando del contexto surja claramente otra interpretación:</w:t>
      </w:r>
    </w:p>
    <w:p w14:paraId="33059502" w14:textId="77777777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a. Institución financiera: Toda entidad pública o privada autorizada a realizar actividades bancarias o financieras en Puerto Rico, incluyendo bancos, bancos internacionales, cooperativas de ahorro y crédito, uniones de crédito, compañías de financiamiento y cualquier entidad similar que ofrezca productos o servicios crediticios.</w:t>
      </w:r>
    </w:p>
    <w:p w14:paraId="3CD08D43" w14:textId="78162357" w:rsidR="00F341A5" w:rsidRPr="00F341A5" w:rsidRDefault="00F341A5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b. Producto financiero o de crédito: Cualquier instrumento, contrato, acuerdo o mecanismo mediante el cual un consumidor adquiere una deuda u obligación de pago, incluyendo, pero sin limitarse a</w:t>
      </w:r>
      <w:r>
        <w:rPr>
          <w:rFonts w:ascii="Book Antiqua" w:hAnsi="Book Antiqua"/>
          <w:lang w:val="es-PR"/>
        </w:rPr>
        <w:t>,</w:t>
      </w:r>
      <w:r w:rsidRPr="00F341A5">
        <w:rPr>
          <w:rFonts w:ascii="Book Antiqua" w:hAnsi="Book Antiqua"/>
          <w:lang w:val="es-PR"/>
        </w:rPr>
        <w:t xml:space="preserve"> tarjetas de crédito, préstamos personales, hipotecarios, de autos, líneas de crédito, financiamientos comerciales, acuerdos con casas de empeño y cualquier modalidad de crédito al consumo.</w:t>
      </w:r>
    </w:p>
    <w:p w14:paraId="27C80E32" w14:textId="56306BFF" w:rsidR="00F341A5" w:rsidRPr="00F341A5" w:rsidRDefault="00F403C2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</w:t>
      </w:r>
      <w:r w:rsidR="00F341A5" w:rsidRPr="00F341A5">
        <w:rPr>
          <w:rFonts w:ascii="Book Antiqua" w:hAnsi="Book Antiqua"/>
          <w:lang w:val="es-PR"/>
        </w:rPr>
        <w:t>. Principal: La suma original adeudada por el consumidor, excluyendo intereses, recargos, penalidades, cargos por pagos tardíos, cargos por servicio u otros costos financieros asociados al producto.</w:t>
      </w:r>
    </w:p>
    <w:p w14:paraId="40D55940" w14:textId="49D850EF" w:rsidR="00F341A5" w:rsidRPr="00F341A5" w:rsidRDefault="00F403C2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d</w:t>
      </w:r>
      <w:r w:rsidR="00F341A5" w:rsidRPr="00F341A5">
        <w:rPr>
          <w:rFonts w:ascii="Book Antiqua" w:hAnsi="Book Antiqua"/>
          <w:lang w:val="es-PR"/>
        </w:rPr>
        <w:t>. Pago al principal: Todo pago efectuado por el consumidor con el propósito explícito y exclusivo de reducir la cantidad adeudada del principal, independientemente de la frecuencia, monto o momento en que se realice.</w:t>
      </w:r>
    </w:p>
    <w:p w14:paraId="53CDB1DC" w14:textId="75B559BC" w:rsidR="00F341A5" w:rsidRPr="00F341A5" w:rsidRDefault="00F403C2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</w:t>
      </w:r>
      <w:r w:rsidR="00F341A5" w:rsidRPr="00F341A5">
        <w:rPr>
          <w:rFonts w:ascii="Book Antiqua" w:hAnsi="Book Antiqua"/>
          <w:lang w:val="es-PR"/>
        </w:rPr>
        <w:t xml:space="preserve">. Herramientas o modalidades de pago: Todo sistema, plataforma o mecanismo mediante el cual una entidad permite la realización de pagos relacionados con un producto financiero, incluyendo pagos presenciales, telefónicos, electrónicos, aplicaciones móviles, páginas web, sistemas automatizados de respuesta interactiva </w:t>
      </w:r>
      <w:r>
        <w:rPr>
          <w:rFonts w:ascii="Book Antiqua" w:hAnsi="Book Antiqua"/>
          <w:lang w:val="es-PR"/>
        </w:rPr>
        <w:t>o</w:t>
      </w:r>
      <w:r w:rsidR="00F341A5" w:rsidRPr="00F341A5">
        <w:rPr>
          <w:rFonts w:ascii="Book Antiqua" w:hAnsi="Book Antiqua"/>
          <w:lang w:val="es-PR"/>
        </w:rPr>
        <w:t xml:space="preserve"> cualquier otra tecnología o método que facilite transacciones de pago.</w:t>
      </w:r>
    </w:p>
    <w:p w14:paraId="152D14F3" w14:textId="0B89EA88" w:rsidR="00F341A5" w:rsidRPr="00F341A5" w:rsidRDefault="00F403C2" w:rsidP="00F341A5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f</w:t>
      </w:r>
      <w:r w:rsidR="00F341A5" w:rsidRPr="00F341A5">
        <w:rPr>
          <w:rFonts w:ascii="Book Antiqua" w:hAnsi="Book Antiqua"/>
          <w:lang w:val="es-PR"/>
        </w:rPr>
        <w:t>. Consumidor: Toda persona natural</w:t>
      </w:r>
      <w:r>
        <w:rPr>
          <w:rFonts w:ascii="Book Antiqua" w:hAnsi="Book Antiqua"/>
          <w:lang w:val="es-PR"/>
        </w:rPr>
        <w:t xml:space="preserve"> o jurídica</w:t>
      </w:r>
      <w:r w:rsidR="00F341A5" w:rsidRPr="00F341A5">
        <w:rPr>
          <w:rFonts w:ascii="Book Antiqua" w:hAnsi="Book Antiqua"/>
          <w:lang w:val="es-PR"/>
        </w:rPr>
        <w:t xml:space="preserve"> que adquiere, utiliza o mantiene un producto financiero o de crédito sujeto a repago bajo los términos de esta </w:t>
      </w:r>
      <w:r>
        <w:rPr>
          <w:rFonts w:ascii="Book Antiqua" w:hAnsi="Book Antiqua"/>
          <w:lang w:val="es-PR"/>
        </w:rPr>
        <w:t>u otras l</w:t>
      </w:r>
      <w:r w:rsidR="00F341A5" w:rsidRPr="00F341A5">
        <w:rPr>
          <w:rFonts w:ascii="Book Antiqua" w:hAnsi="Book Antiqua"/>
          <w:lang w:val="es-PR"/>
        </w:rPr>
        <w:t>ey</w:t>
      </w:r>
      <w:r>
        <w:rPr>
          <w:rFonts w:ascii="Book Antiqua" w:hAnsi="Book Antiqua"/>
          <w:lang w:val="es-PR"/>
        </w:rPr>
        <w:t>es</w:t>
      </w:r>
      <w:r w:rsidR="00F341A5" w:rsidRPr="00F341A5">
        <w:rPr>
          <w:rFonts w:ascii="Book Antiqua" w:hAnsi="Book Antiqua"/>
          <w:lang w:val="es-PR"/>
        </w:rPr>
        <w:t>.</w:t>
      </w:r>
    </w:p>
    <w:p w14:paraId="4C4E25B7" w14:textId="7484EA66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ARTÍCULO 4 — Obligación de Proveer la Opción de Pago Directo al Principal</w:t>
      </w:r>
    </w:p>
    <w:p w14:paraId="6D09B179" w14:textId="77777777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Todas las instituciones financieras, cooperativas de ahorro y crédito, bancos, uniones de crédito, casas de empeño, compañías de financiamiento, emisores de tarjetas de crédito y cualquier entidad pública o privada que ofrezca, administre o gestione productos de crédito, préstamos o financiamientos en Puerto Rico estarán obligadas a proveer, en todas sus herramientas y modalidades de pago, una opción accesible, visible y claramente identificada que permita al consumidor realizar pagos dirigidos exclusivamente al principal de su deuda.</w:t>
      </w:r>
    </w:p>
    <w:p w14:paraId="27EA608D" w14:textId="77777777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La opción para realizar pagos al principal deberá estar disponible de forma permanente en cada uno de los canales de pago que la entidad utilice, incluyendo, sin limitarse a:</w:t>
      </w:r>
    </w:p>
    <w:p w14:paraId="6586C2C8" w14:textId="77777777" w:rsidR="00F403C2" w:rsidRPr="00F403C2" w:rsidRDefault="00F403C2" w:rsidP="00F403C2">
      <w:pPr>
        <w:numPr>
          <w:ilvl w:val="0"/>
          <w:numId w:val="28"/>
        </w:numPr>
        <w:spacing w:line="480" w:lineRule="auto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Pagos presenciales en oficinas o sucursales.</w:t>
      </w:r>
    </w:p>
    <w:p w14:paraId="7DEB7062" w14:textId="7D690D00" w:rsidR="00F403C2" w:rsidRPr="00F403C2" w:rsidRDefault="00F403C2" w:rsidP="00F403C2">
      <w:pPr>
        <w:numPr>
          <w:ilvl w:val="0"/>
          <w:numId w:val="28"/>
        </w:numPr>
        <w:spacing w:line="480" w:lineRule="auto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lastRenderedPageBreak/>
        <w:t>Pagos telefónicos asistidos o mediante sistemas automatizados.</w:t>
      </w:r>
    </w:p>
    <w:p w14:paraId="4C4357DC" w14:textId="77777777" w:rsidR="00F403C2" w:rsidRPr="00F403C2" w:rsidRDefault="00F403C2" w:rsidP="00F403C2">
      <w:pPr>
        <w:numPr>
          <w:ilvl w:val="0"/>
          <w:numId w:val="28"/>
        </w:numPr>
        <w:spacing w:line="480" w:lineRule="auto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Pagos electrónicos a través de aplicaciones móviles, portales de internet, plataformas digitales, sistemas de transferencia electrónica o cualquier tecnología equivalente.</w:t>
      </w:r>
    </w:p>
    <w:p w14:paraId="4E8E814A" w14:textId="542033C3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Las entidades sujetas a esta Ley no podrán imponer requisitos adicionales, condiciones discrecionales, procesos redundantes ni mecanismos que retrasen o dificulten el ejercicio por parte del consumidor de su derecho a aplicar pagos directamente al principal. Asimismo, deberá garantizarse que los pagos al principal sean procesados de manera expedita y aplicados correctamente en los sistemas de contabilidad del producto financiero correspondiente</w:t>
      </w:r>
      <w:r>
        <w:rPr>
          <w:rFonts w:ascii="Book Antiqua" w:hAnsi="Book Antiqua"/>
          <w:lang w:val="es-PR"/>
        </w:rPr>
        <w:t xml:space="preserve"> y sin cargos adicionales</w:t>
      </w:r>
      <w:r w:rsidRPr="00F403C2">
        <w:rPr>
          <w:rFonts w:ascii="Book Antiqua" w:hAnsi="Book Antiqua"/>
          <w:lang w:val="es-PR"/>
        </w:rPr>
        <w:t>.</w:t>
      </w:r>
    </w:p>
    <w:p w14:paraId="4C02E313" w14:textId="43265C60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 xml:space="preserve">Toda entidad regulada deberá adoptar las medidas tecnológicas, operacionales y administrativas necesarias para cumplir con estas disposiciones dentro del término establecido en esta Ley y en conformidad con los reglamentos </w:t>
      </w:r>
      <w:r>
        <w:rPr>
          <w:rFonts w:ascii="Book Antiqua" w:hAnsi="Book Antiqua"/>
          <w:lang w:val="es-PR"/>
        </w:rPr>
        <w:t>y leyes aplicables</w:t>
      </w:r>
      <w:r w:rsidRPr="00F403C2">
        <w:rPr>
          <w:rFonts w:ascii="Book Antiqua" w:hAnsi="Book Antiqua"/>
          <w:lang w:val="es-PR"/>
        </w:rPr>
        <w:t>.</w:t>
      </w:r>
    </w:p>
    <w:p w14:paraId="4EB3E2EA" w14:textId="153B9BAE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ARTÍCULO</w:t>
      </w:r>
      <w:r w:rsidRPr="00F403C2">
        <w:rPr>
          <w:rFonts w:ascii="Book Antiqua" w:hAnsi="Book Antiqua"/>
          <w:b/>
          <w:bCs/>
          <w:lang w:val="es-PR"/>
        </w:rPr>
        <w:t xml:space="preserve"> </w:t>
      </w:r>
      <w:r w:rsidRPr="00F403C2">
        <w:rPr>
          <w:rFonts w:ascii="Book Antiqua" w:hAnsi="Book Antiqua"/>
          <w:lang w:val="es-PR"/>
        </w:rPr>
        <w:t>5 — Reglamentación</w:t>
      </w:r>
    </w:p>
    <w:p w14:paraId="66151494" w14:textId="2FC993C4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 xml:space="preserve">Las agencias y entidades </w:t>
      </w:r>
      <w:r>
        <w:rPr>
          <w:rFonts w:ascii="Book Antiqua" w:hAnsi="Book Antiqua"/>
          <w:lang w:val="es-PR"/>
        </w:rPr>
        <w:t xml:space="preserve">gubernamentales </w:t>
      </w:r>
      <w:r w:rsidRPr="00F403C2">
        <w:rPr>
          <w:rFonts w:ascii="Book Antiqua" w:hAnsi="Book Antiqua"/>
          <w:lang w:val="es-PR"/>
        </w:rPr>
        <w:t xml:space="preserve">reguladoras con jurisdicción sobre las instituciones financieras, cooperativas de ahorro y crédito, compañías de financiamiento, emisores de tarjetas de crédito, casas de empeño y cualquier otra entidad cubierta bajo esta Ley deberán adoptar, en un término que no excederá de </w:t>
      </w:r>
      <w:r>
        <w:rPr>
          <w:rFonts w:ascii="Book Antiqua" w:hAnsi="Book Antiqua"/>
          <w:lang w:val="es-PR"/>
        </w:rPr>
        <w:t>noventa</w:t>
      </w:r>
      <w:r w:rsidRPr="00F403C2">
        <w:rPr>
          <w:rFonts w:ascii="Book Antiqua" w:hAnsi="Book Antiqua"/>
          <w:lang w:val="es-PR"/>
        </w:rPr>
        <w:t xml:space="preserve"> (</w:t>
      </w:r>
      <w:r>
        <w:rPr>
          <w:rFonts w:ascii="Book Antiqua" w:hAnsi="Book Antiqua"/>
          <w:lang w:val="es-PR"/>
        </w:rPr>
        <w:t>90</w:t>
      </w:r>
      <w:r w:rsidRPr="00F403C2">
        <w:rPr>
          <w:rFonts w:ascii="Book Antiqua" w:hAnsi="Book Antiqua"/>
          <w:lang w:val="es-PR"/>
        </w:rPr>
        <w:t>) días a partir de la aprobación de esta Ley, la reglamentación necesaria para asegurar su implantación efectiva.</w:t>
      </w:r>
    </w:p>
    <w:p w14:paraId="51C36F58" w14:textId="77777777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Dichas reglamentaciones deberán, entre otros fines:</w:t>
      </w:r>
    </w:p>
    <w:p w14:paraId="51936D4B" w14:textId="77777777" w:rsidR="00F403C2" w:rsidRPr="00F403C2" w:rsidRDefault="00F403C2" w:rsidP="00F403C2">
      <w:pPr>
        <w:numPr>
          <w:ilvl w:val="0"/>
          <w:numId w:val="29"/>
        </w:numPr>
        <w:spacing w:line="480" w:lineRule="auto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lastRenderedPageBreak/>
        <w:t>Establecer estándares mínimos para la integración, diseño y funcionamiento de las herramientas y modalidades de pago que incorporen la opción de pago directo al principal.</w:t>
      </w:r>
    </w:p>
    <w:p w14:paraId="1FD4A66C" w14:textId="77777777" w:rsidR="00F403C2" w:rsidRPr="00F403C2" w:rsidRDefault="00F403C2" w:rsidP="00F403C2">
      <w:pPr>
        <w:numPr>
          <w:ilvl w:val="0"/>
          <w:numId w:val="29"/>
        </w:numPr>
        <w:spacing w:line="480" w:lineRule="auto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Requerir procedimientos uniformes para la correcta aplicación, contabilización y notificación de los pagos realizados al principal.</w:t>
      </w:r>
    </w:p>
    <w:p w14:paraId="3C013E59" w14:textId="77777777" w:rsidR="00F403C2" w:rsidRPr="00F403C2" w:rsidRDefault="00F403C2" w:rsidP="00F403C2">
      <w:pPr>
        <w:numPr>
          <w:ilvl w:val="0"/>
          <w:numId w:val="29"/>
        </w:numPr>
        <w:spacing w:line="480" w:lineRule="auto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Definir los requisitos de accesibilidad y visibilidad que garanticen que el consumidor pueda identificar y utilizar la opción de pago al principal sin dificultad.</w:t>
      </w:r>
    </w:p>
    <w:p w14:paraId="16C1B041" w14:textId="77777777" w:rsidR="00F403C2" w:rsidRPr="00F403C2" w:rsidRDefault="00F403C2" w:rsidP="00F403C2">
      <w:pPr>
        <w:numPr>
          <w:ilvl w:val="0"/>
          <w:numId w:val="29"/>
        </w:numPr>
        <w:spacing w:line="480" w:lineRule="auto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Establecer mecanismos de supervisión, auditoría y cumplimiento que aseguren la implementación adecuada de esta Ley por parte de todas las entidades reguladas.</w:t>
      </w:r>
    </w:p>
    <w:p w14:paraId="1F9371E0" w14:textId="77777777" w:rsidR="00F403C2" w:rsidRPr="00F403C2" w:rsidRDefault="00F403C2" w:rsidP="00F403C2">
      <w:pPr>
        <w:numPr>
          <w:ilvl w:val="0"/>
          <w:numId w:val="29"/>
        </w:numPr>
        <w:spacing w:line="480" w:lineRule="auto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Desarrollar protocolos para la recepción, investigación y adjudicación de querellas relacionadas con incumplimientos, en coordinación con las agencias pertinentes.</w:t>
      </w:r>
    </w:p>
    <w:p w14:paraId="7684640E" w14:textId="77777777" w:rsidR="00F403C2" w:rsidRPr="00F403C2" w:rsidRDefault="00F403C2" w:rsidP="00F403C2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403C2">
        <w:rPr>
          <w:rFonts w:ascii="Book Antiqua" w:hAnsi="Book Antiqua"/>
          <w:lang w:val="es-PR"/>
        </w:rPr>
        <w:t>Las agencias reguladoras podrán emitir guías administrativas temporeras mientras completan su reglamentación formal, siempre que tales guías sean consistentes con las disposiciones de esta Ley.</w:t>
      </w:r>
    </w:p>
    <w:p w14:paraId="06C48D15" w14:textId="7BAFDB97" w:rsidR="00CD4648" w:rsidRPr="00CD4648" w:rsidRDefault="00CD4648" w:rsidP="00CD4648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F341A5">
        <w:rPr>
          <w:rFonts w:ascii="Book Antiqua" w:hAnsi="Book Antiqua"/>
          <w:lang w:val="es-PR"/>
        </w:rPr>
        <w:t>ARTÍCULO</w:t>
      </w:r>
      <w:r w:rsidRPr="00CD4648">
        <w:rPr>
          <w:rFonts w:ascii="Book Antiqua" w:hAnsi="Book Antiqua"/>
          <w:b/>
          <w:bCs/>
          <w:lang w:val="es-PR"/>
        </w:rPr>
        <w:t xml:space="preserve"> </w:t>
      </w:r>
      <w:r w:rsidRPr="00CD4648">
        <w:rPr>
          <w:rFonts w:ascii="Book Antiqua" w:hAnsi="Book Antiqua"/>
          <w:lang w:val="es-PR"/>
        </w:rPr>
        <w:t>6 — Penalidades</w:t>
      </w:r>
    </w:p>
    <w:p w14:paraId="3D651AB9" w14:textId="77777777" w:rsidR="00CD4648" w:rsidRPr="00CD4648" w:rsidRDefault="00CD4648" w:rsidP="00CD4648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CD4648">
        <w:rPr>
          <w:rFonts w:ascii="Book Antiqua" w:hAnsi="Book Antiqua"/>
          <w:lang w:val="es-PR"/>
        </w:rPr>
        <w:t>Toda institución financiera, cooperativa de ahorro y crédito, banco, unión de crédito, casa de empeño, compañía de financiamiento, emisor de tarjetas de crédito o cualquier entidad sujeta a las disposiciones de esta Ley que incumpla con la obligación de proveer una opción accesible y claramente identificada para que los consumidores realicen pagos dirigidos exclusivamente al principal estará sujeta a las penalidades establecidas en este Artículo.</w:t>
      </w:r>
    </w:p>
    <w:p w14:paraId="6ABEF89B" w14:textId="2DEAE880" w:rsidR="00CD4648" w:rsidRPr="00CD4648" w:rsidRDefault="00CD4648" w:rsidP="00CD4648">
      <w:pPr>
        <w:numPr>
          <w:ilvl w:val="0"/>
          <w:numId w:val="30"/>
        </w:numPr>
        <w:spacing w:line="480" w:lineRule="auto"/>
        <w:jc w:val="both"/>
        <w:rPr>
          <w:rFonts w:ascii="Book Antiqua" w:hAnsi="Book Antiqua"/>
          <w:lang w:val="es-PR"/>
        </w:rPr>
      </w:pPr>
      <w:r w:rsidRPr="00CD4648">
        <w:rPr>
          <w:rFonts w:ascii="Book Antiqua" w:hAnsi="Book Antiqua"/>
          <w:lang w:val="es-PR"/>
        </w:rPr>
        <w:lastRenderedPageBreak/>
        <w:t>Multas administrativas- La entidad reguladora con jurisdicción podrá imponer multas administrativas que no serán menores de mil dólares ($1,000) ni mayores de diez mil dólares ($10,000) por cada violación individual. Cada día en que una entidad continúe en incumplimiento constituirá una violación adicional para fines de penalidad.</w:t>
      </w:r>
    </w:p>
    <w:p w14:paraId="3B544480" w14:textId="2FD2EFA3" w:rsidR="00CD4648" w:rsidRPr="00CD4648" w:rsidRDefault="00CD4648" w:rsidP="00CD4648">
      <w:pPr>
        <w:numPr>
          <w:ilvl w:val="0"/>
          <w:numId w:val="30"/>
        </w:numPr>
        <w:spacing w:line="480" w:lineRule="auto"/>
        <w:jc w:val="both"/>
        <w:rPr>
          <w:rFonts w:ascii="Book Antiqua" w:hAnsi="Book Antiqua"/>
          <w:lang w:val="es-PR"/>
        </w:rPr>
      </w:pPr>
      <w:r w:rsidRPr="00CD4648">
        <w:rPr>
          <w:rFonts w:ascii="Book Antiqua" w:hAnsi="Book Antiqua"/>
          <w:lang w:val="es-PR"/>
        </w:rPr>
        <w:t xml:space="preserve">Órdenes de cumplimiento- La agencia reguladora podrá emitir órdenes </w:t>
      </w:r>
      <w:proofErr w:type="spellStart"/>
      <w:r w:rsidRPr="00CD4648">
        <w:rPr>
          <w:rFonts w:ascii="Book Antiqua" w:hAnsi="Book Antiqua"/>
          <w:lang w:val="es-PR"/>
        </w:rPr>
        <w:t>mandatorias</w:t>
      </w:r>
      <w:proofErr w:type="spellEnd"/>
      <w:r w:rsidRPr="00CD4648">
        <w:rPr>
          <w:rFonts w:ascii="Book Antiqua" w:hAnsi="Book Antiqua"/>
          <w:lang w:val="es-PR"/>
        </w:rPr>
        <w:t xml:space="preserve"> de cumplimiento inmediato, requerir ajustes operacionales, tecnológicos o administrativos, y disponer la adopción de medidas correctivas necesarias para garantizar la implantación de esta Ley.</w:t>
      </w:r>
    </w:p>
    <w:p w14:paraId="2AD4B572" w14:textId="509DAEA8" w:rsidR="00CD4648" w:rsidRPr="00CD4648" w:rsidRDefault="00CD4648" w:rsidP="00CD4648">
      <w:pPr>
        <w:numPr>
          <w:ilvl w:val="0"/>
          <w:numId w:val="30"/>
        </w:numPr>
        <w:spacing w:line="480" w:lineRule="auto"/>
        <w:jc w:val="both"/>
        <w:rPr>
          <w:rFonts w:ascii="Book Antiqua" w:hAnsi="Book Antiqua"/>
          <w:lang w:val="es-PR"/>
        </w:rPr>
      </w:pPr>
      <w:r w:rsidRPr="00CD4648">
        <w:rPr>
          <w:rFonts w:ascii="Book Antiqua" w:hAnsi="Book Antiqua"/>
          <w:lang w:val="es-PR"/>
        </w:rPr>
        <w:t>Querellas y remedios adicionales- Cualquier consumidor afectado por el incumplimiento podrá presentar una querella ante la entidad reguladora correspondiente, la cual deberá investigar y adjudicar conforme a sus procedimientos internos. Nada de lo dispuesto impedirá que un consumidor afectado pueda recurrir a los mecanismos legales adicionales disponibles bajo otras leyes aplicables.</w:t>
      </w:r>
    </w:p>
    <w:p w14:paraId="3D41B32D" w14:textId="46850911" w:rsidR="00CD4648" w:rsidRPr="00CD4648" w:rsidRDefault="00CD4648" w:rsidP="00CD4648">
      <w:pPr>
        <w:numPr>
          <w:ilvl w:val="0"/>
          <w:numId w:val="30"/>
        </w:numPr>
        <w:spacing w:line="480" w:lineRule="auto"/>
        <w:jc w:val="both"/>
        <w:rPr>
          <w:rFonts w:ascii="Book Antiqua" w:hAnsi="Book Antiqua"/>
          <w:lang w:val="es-PR"/>
        </w:rPr>
      </w:pPr>
      <w:r w:rsidRPr="00CD4648">
        <w:rPr>
          <w:rFonts w:ascii="Book Antiqua" w:hAnsi="Book Antiqua"/>
          <w:lang w:val="es-PR"/>
        </w:rPr>
        <w:t>Suspensión de autorizaciones-</w:t>
      </w:r>
      <w:r>
        <w:rPr>
          <w:rFonts w:ascii="Book Antiqua" w:hAnsi="Book Antiqua"/>
          <w:b/>
          <w:bCs/>
          <w:lang w:val="es-PR"/>
        </w:rPr>
        <w:t xml:space="preserve"> </w:t>
      </w:r>
      <w:r w:rsidRPr="00CD4648">
        <w:rPr>
          <w:rFonts w:ascii="Book Antiqua" w:hAnsi="Book Antiqua"/>
          <w:lang w:val="es-PR"/>
        </w:rPr>
        <w:t>En casos de incumplimiento reiterado</w:t>
      </w:r>
      <w:r w:rsidR="00CB6D5A">
        <w:rPr>
          <w:rFonts w:ascii="Book Antiqua" w:hAnsi="Book Antiqua"/>
          <w:lang w:val="es-PR"/>
        </w:rPr>
        <w:t xml:space="preserve"> e</w:t>
      </w:r>
      <w:r w:rsidRPr="00CD4648">
        <w:rPr>
          <w:rFonts w:ascii="Book Antiqua" w:hAnsi="Book Antiqua"/>
          <w:lang w:val="es-PR"/>
        </w:rPr>
        <w:t xml:space="preserve"> intencional, la agencia reguladora podrá evaluar la suspensión, limitación o revocación de licencias, permisos u otras autorizaciones operacionales, conforme a los poderes conferidos por las leyes vigentes.</w:t>
      </w:r>
    </w:p>
    <w:p w14:paraId="1C839A3E" w14:textId="77777777" w:rsidR="00CD4648" w:rsidRPr="00CD4648" w:rsidRDefault="00CD4648" w:rsidP="00CD4648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CD4648">
        <w:rPr>
          <w:rFonts w:ascii="Book Antiqua" w:hAnsi="Book Antiqua"/>
          <w:lang w:val="es-PR"/>
        </w:rPr>
        <w:t>Estas penalidades serán aplicables sin perjuicio de cualquier otro remedio, sanción o acción administrativa o civil autorizada por ley.</w:t>
      </w:r>
    </w:p>
    <w:p w14:paraId="617EAE19" w14:textId="1D05B84F" w:rsidR="00CB6D5A" w:rsidRPr="00CB6D5A" w:rsidRDefault="00CB6D5A" w:rsidP="00CB6D5A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CB6D5A">
        <w:rPr>
          <w:rFonts w:ascii="Book Antiqua" w:hAnsi="Book Antiqua"/>
          <w:lang w:val="es-PR"/>
        </w:rPr>
        <w:t>ARTÍCULO 7 — Vigencia</w:t>
      </w:r>
    </w:p>
    <w:p w14:paraId="53E9D1EB" w14:textId="62F516DA" w:rsidR="00CB6D5A" w:rsidRPr="00CB6D5A" w:rsidRDefault="00CB6D5A" w:rsidP="00CB6D5A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CB6D5A">
        <w:rPr>
          <w:rFonts w:ascii="Book Antiqua" w:hAnsi="Book Antiqua"/>
          <w:lang w:val="es-PR"/>
        </w:rPr>
        <w:lastRenderedPageBreak/>
        <w:t xml:space="preserve">Esta Ley entrará en vigor inmediatamente después de su aprobación. No obstante, las entidades sujetas a sus disposiciones contarán con un término de hasta </w:t>
      </w:r>
      <w:r>
        <w:rPr>
          <w:rFonts w:ascii="Book Antiqua" w:hAnsi="Book Antiqua"/>
          <w:lang w:val="es-PR"/>
        </w:rPr>
        <w:t>noventa</w:t>
      </w:r>
      <w:r w:rsidRPr="00CB6D5A">
        <w:rPr>
          <w:rFonts w:ascii="Book Antiqua" w:hAnsi="Book Antiqua"/>
          <w:lang w:val="es-PR"/>
        </w:rPr>
        <w:t xml:space="preserve"> (</w:t>
      </w:r>
      <w:r>
        <w:rPr>
          <w:rFonts w:ascii="Book Antiqua" w:hAnsi="Book Antiqua"/>
          <w:lang w:val="es-PR"/>
        </w:rPr>
        <w:t>9</w:t>
      </w:r>
      <w:r w:rsidRPr="00CB6D5A">
        <w:rPr>
          <w:rFonts w:ascii="Book Antiqua" w:hAnsi="Book Antiqua"/>
          <w:lang w:val="es-PR"/>
        </w:rPr>
        <w:t>0) días, a partir de la fecha de vigencia, para realizar los ajustes operacionales, tecnológicos y administrativos necesarios para asegurar su cumplimiento pleno.</w:t>
      </w:r>
    </w:p>
    <w:p w14:paraId="5292AB99" w14:textId="1A14C780" w:rsidR="00DA6E0D" w:rsidRPr="00F341A5" w:rsidRDefault="002F2F57" w:rsidP="00EE7D0E">
      <w:pPr>
        <w:spacing w:line="480" w:lineRule="auto"/>
        <w:ind w:firstLine="600"/>
        <w:jc w:val="both"/>
        <w:rPr>
          <w:rFonts w:ascii="Book Antiqua" w:hAnsi="Book Antiqua"/>
          <w:lang w:val="es-ES"/>
        </w:rPr>
      </w:pPr>
      <w:r w:rsidRPr="00F341A5">
        <w:rPr>
          <w:rFonts w:ascii="Book Antiqua" w:hAnsi="Book Antiqua"/>
          <w:lang w:val="es-PR"/>
        </w:rPr>
        <w:t xml:space="preserve">ARTÍCULO </w:t>
      </w:r>
      <w:r w:rsidR="00CB6D5A">
        <w:rPr>
          <w:rFonts w:ascii="Book Antiqua" w:hAnsi="Book Antiqua"/>
          <w:lang w:val="es-PR"/>
        </w:rPr>
        <w:t>8</w:t>
      </w:r>
      <w:r w:rsidRPr="00F341A5">
        <w:rPr>
          <w:rFonts w:ascii="Book Antiqua" w:hAnsi="Book Antiqua"/>
          <w:lang w:val="es-PR"/>
        </w:rPr>
        <w:t xml:space="preserve"> —</w:t>
      </w:r>
      <w:r w:rsidR="00DA6E0D" w:rsidRPr="00F341A5">
        <w:rPr>
          <w:rFonts w:ascii="Book Antiqua" w:hAnsi="Book Antiqua"/>
          <w:lang w:val="es-ES"/>
        </w:rPr>
        <w:t>Cláusula de Separabilidad</w:t>
      </w:r>
    </w:p>
    <w:p w14:paraId="5FCDFE3F" w14:textId="5905915D" w:rsidR="00DA6E0D" w:rsidRPr="00F341A5" w:rsidRDefault="00DA6E0D" w:rsidP="00DA6E0D">
      <w:pPr>
        <w:spacing w:line="480" w:lineRule="auto"/>
        <w:ind w:firstLine="600"/>
        <w:jc w:val="both"/>
        <w:rPr>
          <w:rFonts w:ascii="Book Antiqua" w:hAnsi="Book Antiqua"/>
          <w:lang w:val="es-ES"/>
        </w:rPr>
      </w:pPr>
      <w:r w:rsidRPr="00F341A5">
        <w:rPr>
          <w:rFonts w:ascii="Book Antiqua" w:hAnsi="Book Antiqua"/>
          <w:lang w:val="es-ES"/>
        </w:rPr>
        <w:t xml:space="preserve">Si cualquier disposición de esta </w:t>
      </w:r>
      <w:r w:rsidR="008F38C2" w:rsidRPr="00F341A5">
        <w:rPr>
          <w:rFonts w:ascii="Book Antiqua" w:hAnsi="Book Antiqua"/>
          <w:lang w:val="es-ES"/>
        </w:rPr>
        <w:t>l</w:t>
      </w:r>
      <w:r w:rsidRPr="00F341A5">
        <w:rPr>
          <w:rFonts w:ascii="Book Antiqua" w:hAnsi="Book Antiqua"/>
          <w:lang w:val="es-ES"/>
        </w:rPr>
        <w:t>ey fuera declarada nula o inconstitucional, tal determinación no afectará el resto de las disposiciones, las cuales permanecerán en pleno vigor y efecto.</w:t>
      </w:r>
    </w:p>
    <w:sectPr w:rsidR="00DA6E0D" w:rsidRPr="00F341A5" w:rsidSect="00AA41A5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0A107" w14:textId="77777777" w:rsidR="00181297" w:rsidRDefault="00181297" w:rsidP="00AA41A5">
      <w:r>
        <w:separator/>
      </w:r>
    </w:p>
  </w:endnote>
  <w:endnote w:type="continuationSeparator" w:id="0">
    <w:p w14:paraId="68FB975E" w14:textId="77777777" w:rsidR="00181297" w:rsidRDefault="00181297" w:rsidP="00AA4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59486" w14:textId="77777777" w:rsidR="00181297" w:rsidRDefault="00181297" w:rsidP="00AA41A5">
      <w:r>
        <w:separator/>
      </w:r>
    </w:p>
  </w:footnote>
  <w:footnote w:type="continuationSeparator" w:id="0">
    <w:p w14:paraId="0C9EFF42" w14:textId="77777777" w:rsidR="00181297" w:rsidRDefault="00181297" w:rsidP="00AA4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F9346" w14:textId="77777777" w:rsidR="001D2DBF" w:rsidRDefault="001D2DBF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6D1EF6C" w14:textId="77777777" w:rsidR="001D2DBF" w:rsidRDefault="001D2D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91A33" w14:textId="77777777" w:rsidR="001D2DBF" w:rsidRDefault="001D2DBF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59EC9DB" w14:textId="77777777" w:rsidR="001D2DBF" w:rsidRDefault="001D2DBF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610E2" w14:textId="77777777" w:rsidR="001D2DBF" w:rsidRPr="00572FDC" w:rsidRDefault="001D2DBF">
    <w:pPr>
      <w:pStyle w:val="Encabezado"/>
      <w:jc w:val="cent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50A4"/>
    <w:multiLevelType w:val="multilevel"/>
    <w:tmpl w:val="3AA89B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D05AE"/>
    <w:multiLevelType w:val="hybridMultilevel"/>
    <w:tmpl w:val="426ED0F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40752"/>
    <w:multiLevelType w:val="multilevel"/>
    <w:tmpl w:val="FB5811B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22A50"/>
    <w:multiLevelType w:val="multilevel"/>
    <w:tmpl w:val="0FDA8C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D2144C"/>
    <w:multiLevelType w:val="multilevel"/>
    <w:tmpl w:val="BF28E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5A6E8A"/>
    <w:multiLevelType w:val="multilevel"/>
    <w:tmpl w:val="CD00F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706ED2"/>
    <w:multiLevelType w:val="hybridMultilevel"/>
    <w:tmpl w:val="7412784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D62E51"/>
    <w:multiLevelType w:val="multilevel"/>
    <w:tmpl w:val="442E0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8B040F"/>
    <w:multiLevelType w:val="hybridMultilevel"/>
    <w:tmpl w:val="B144FA4C"/>
    <w:lvl w:ilvl="0" w:tplc="04090017">
      <w:start w:val="1"/>
      <w:numFmt w:val="lowerLetter"/>
      <w:lvlText w:val="%1)"/>
      <w:lvlJc w:val="left"/>
      <w:pPr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" w15:restartNumberingAfterBreak="0">
    <w:nsid w:val="288F2587"/>
    <w:multiLevelType w:val="multilevel"/>
    <w:tmpl w:val="CCC2E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8F7AC2"/>
    <w:multiLevelType w:val="multilevel"/>
    <w:tmpl w:val="70B2F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FD420F"/>
    <w:multiLevelType w:val="multilevel"/>
    <w:tmpl w:val="D0BC4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2A74B7"/>
    <w:multiLevelType w:val="multilevel"/>
    <w:tmpl w:val="C6B80F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D30890"/>
    <w:multiLevelType w:val="multilevel"/>
    <w:tmpl w:val="6582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EC517F"/>
    <w:multiLevelType w:val="multilevel"/>
    <w:tmpl w:val="5BA06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B027B5"/>
    <w:multiLevelType w:val="hybridMultilevel"/>
    <w:tmpl w:val="E542CA62"/>
    <w:lvl w:ilvl="0" w:tplc="54386868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502F3"/>
    <w:multiLevelType w:val="multilevel"/>
    <w:tmpl w:val="B1E65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045E01"/>
    <w:multiLevelType w:val="multilevel"/>
    <w:tmpl w:val="2B689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CD0CEC"/>
    <w:multiLevelType w:val="multilevel"/>
    <w:tmpl w:val="EF96E6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061AE1"/>
    <w:multiLevelType w:val="multilevel"/>
    <w:tmpl w:val="C0A64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0A4028"/>
    <w:multiLevelType w:val="multilevel"/>
    <w:tmpl w:val="047A1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3856F4"/>
    <w:multiLevelType w:val="hybridMultilevel"/>
    <w:tmpl w:val="0CE625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66F78"/>
    <w:multiLevelType w:val="multilevel"/>
    <w:tmpl w:val="55449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475DF8"/>
    <w:multiLevelType w:val="multilevel"/>
    <w:tmpl w:val="58505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8A518A"/>
    <w:multiLevelType w:val="multilevel"/>
    <w:tmpl w:val="CF02F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B06A52"/>
    <w:multiLevelType w:val="multilevel"/>
    <w:tmpl w:val="4070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F5B3719"/>
    <w:multiLevelType w:val="multilevel"/>
    <w:tmpl w:val="13921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6E3B1E"/>
    <w:multiLevelType w:val="multilevel"/>
    <w:tmpl w:val="20CC93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E83417"/>
    <w:multiLevelType w:val="multilevel"/>
    <w:tmpl w:val="04DA9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C116C7D"/>
    <w:multiLevelType w:val="multilevel"/>
    <w:tmpl w:val="A246D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9560691">
    <w:abstractNumId w:val="11"/>
  </w:num>
  <w:num w:numId="2" w16cid:durableId="485820518">
    <w:abstractNumId w:val="9"/>
  </w:num>
  <w:num w:numId="3" w16cid:durableId="172915716">
    <w:abstractNumId w:val="2"/>
  </w:num>
  <w:num w:numId="4" w16cid:durableId="11811001">
    <w:abstractNumId w:val="25"/>
  </w:num>
  <w:num w:numId="5" w16cid:durableId="1161002829">
    <w:abstractNumId w:val="1"/>
  </w:num>
  <w:num w:numId="6" w16cid:durableId="512957640">
    <w:abstractNumId w:val="21"/>
  </w:num>
  <w:num w:numId="7" w16cid:durableId="243074712">
    <w:abstractNumId w:val="20"/>
  </w:num>
  <w:num w:numId="8" w16cid:durableId="1435857935">
    <w:abstractNumId w:val="7"/>
  </w:num>
  <w:num w:numId="9" w16cid:durableId="345718953">
    <w:abstractNumId w:val="17"/>
  </w:num>
  <w:num w:numId="10" w16cid:durableId="1123156179">
    <w:abstractNumId w:val="23"/>
  </w:num>
  <w:num w:numId="11" w16cid:durableId="780491759">
    <w:abstractNumId w:val="24"/>
  </w:num>
  <w:num w:numId="12" w16cid:durableId="325208526">
    <w:abstractNumId w:val="15"/>
  </w:num>
  <w:num w:numId="13" w16cid:durableId="1602487505">
    <w:abstractNumId w:val="13"/>
  </w:num>
  <w:num w:numId="14" w16cid:durableId="1987465993">
    <w:abstractNumId w:val="29"/>
  </w:num>
  <w:num w:numId="15" w16cid:durableId="1157916577">
    <w:abstractNumId w:val="22"/>
  </w:num>
  <w:num w:numId="16" w16cid:durableId="492448361">
    <w:abstractNumId w:val="4"/>
  </w:num>
  <w:num w:numId="17" w16cid:durableId="1930691547">
    <w:abstractNumId w:val="8"/>
  </w:num>
  <w:num w:numId="18" w16cid:durableId="1220897325">
    <w:abstractNumId w:val="16"/>
  </w:num>
  <w:num w:numId="19" w16cid:durableId="1596938675">
    <w:abstractNumId w:val="12"/>
  </w:num>
  <w:num w:numId="20" w16cid:durableId="465854643">
    <w:abstractNumId w:val="28"/>
  </w:num>
  <w:num w:numId="21" w16cid:durableId="32850534">
    <w:abstractNumId w:val="3"/>
  </w:num>
  <w:num w:numId="22" w16cid:durableId="1595747173">
    <w:abstractNumId w:val="18"/>
  </w:num>
  <w:num w:numId="23" w16cid:durableId="378869351">
    <w:abstractNumId w:val="6"/>
  </w:num>
  <w:num w:numId="24" w16cid:durableId="746728921">
    <w:abstractNumId w:val="14"/>
  </w:num>
  <w:num w:numId="25" w16cid:durableId="1859001369">
    <w:abstractNumId w:val="0"/>
  </w:num>
  <w:num w:numId="26" w16cid:durableId="1094474924">
    <w:abstractNumId w:val="19"/>
  </w:num>
  <w:num w:numId="27" w16cid:durableId="875235301">
    <w:abstractNumId w:val="27"/>
  </w:num>
  <w:num w:numId="28" w16cid:durableId="2129735185">
    <w:abstractNumId w:val="5"/>
  </w:num>
  <w:num w:numId="29" w16cid:durableId="1022626621">
    <w:abstractNumId w:val="10"/>
  </w:num>
  <w:num w:numId="30" w16cid:durableId="141139106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1A5"/>
    <w:rsid w:val="00017F74"/>
    <w:rsid w:val="00021F53"/>
    <w:rsid w:val="000270BD"/>
    <w:rsid w:val="00042DF8"/>
    <w:rsid w:val="000451FD"/>
    <w:rsid w:val="00052C14"/>
    <w:rsid w:val="000538DA"/>
    <w:rsid w:val="000613BB"/>
    <w:rsid w:val="00066AF6"/>
    <w:rsid w:val="00083B26"/>
    <w:rsid w:val="00084056"/>
    <w:rsid w:val="000A30E3"/>
    <w:rsid w:val="000A4629"/>
    <w:rsid w:val="000B3219"/>
    <w:rsid w:val="000D1F1F"/>
    <w:rsid w:val="000E4B18"/>
    <w:rsid w:val="000F4162"/>
    <w:rsid w:val="000F7D03"/>
    <w:rsid w:val="00107165"/>
    <w:rsid w:val="001320DC"/>
    <w:rsid w:val="0014272B"/>
    <w:rsid w:val="00152E0A"/>
    <w:rsid w:val="00160F6D"/>
    <w:rsid w:val="00174B98"/>
    <w:rsid w:val="00181297"/>
    <w:rsid w:val="00193155"/>
    <w:rsid w:val="00194286"/>
    <w:rsid w:val="001D231E"/>
    <w:rsid w:val="001D2DBF"/>
    <w:rsid w:val="001F539F"/>
    <w:rsid w:val="002052E6"/>
    <w:rsid w:val="00223F07"/>
    <w:rsid w:val="00230E11"/>
    <w:rsid w:val="002348DF"/>
    <w:rsid w:val="002424DB"/>
    <w:rsid w:val="00242E0A"/>
    <w:rsid w:val="002458B1"/>
    <w:rsid w:val="00246126"/>
    <w:rsid w:val="0024736A"/>
    <w:rsid w:val="0026215B"/>
    <w:rsid w:val="0027278C"/>
    <w:rsid w:val="00277CDF"/>
    <w:rsid w:val="00282514"/>
    <w:rsid w:val="002A09AB"/>
    <w:rsid w:val="002A3E4A"/>
    <w:rsid w:val="002B303A"/>
    <w:rsid w:val="002C2DFB"/>
    <w:rsid w:val="002D266E"/>
    <w:rsid w:val="002F2F57"/>
    <w:rsid w:val="00322A68"/>
    <w:rsid w:val="00323764"/>
    <w:rsid w:val="00347FE7"/>
    <w:rsid w:val="0035718E"/>
    <w:rsid w:val="00361992"/>
    <w:rsid w:val="00366C4B"/>
    <w:rsid w:val="00387780"/>
    <w:rsid w:val="003941BA"/>
    <w:rsid w:val="003A6FBF"/>
    <w:rsid w:val="003B1283"/>
    <w:rsid w:val="003B14EF"/>
    <w:rsid w:val="003B6AD2"/>
    <w:rsid w:val="003D3D02"/>
    <w:rsid w:val="003D43EB"/>
    <w:rsid w:val="003E6683"/>
    <w:rsid w:val="003E72E2"/>
    <w:rsid w:val="003F7C77"/>
    <w:rsid w:val="00414BE4"/>
    <w:rsid w:val="004340D7"/>
    <w:rsid w:val="004346EB"/>
    <w:rsid w:val="00435AB3"/>
    <w:rsid w:val="00435C92"/>
    <w:rsid w:val="0045787F"/>
    <w:rsid w:val="0046090E"/>
    <w:rsid w:val="00463E83"/>
    <w:rsid w:val="0046454F"/>
    <w:rsid w:val="004809E8"/>
    <w:rsid w:val="00482E67"/>
    <w:rsid w:val="00485E87"/>
    <w:rsid w:val="00486D93"/>
    <w:rsid w:val="00495B28"/>
    <w:rsid w:val="004A5D3E"/>
    <w:rsid w:val="004A6BC5"/>
    <w:rsid w:val="004B5791"/>
    <w:rsid w:val="004C7858"/>
    <w:rsid w:val="004D109F"/>
    <w:rsid w:val="004D3ACA"/>
    <w:rsid w:val="004D41A6"/>
    <w:rsid w:val="004E3C2C"/>
    <w:rsid w:val="00525314"/>
    <w:rsid w:val="00540BF6"/>
    <w:rsid w:val="005430B6"/>
    <w:rsid w:val="00546497"/>
    <w:rsid w:val="00551BBC"/>
    <w:rsid w:val="00556197"/>
    <w:rsid w:val="005668F9"/>
    <w:rsid w:val="005A4DB9"/>
    <w:rsid w:val="005B5674"/>
    <w:rsid w:val="005C4BC0"/>
    <w:rsid w:val="005C5995"/>
    <w:rsid w:val="006060C6"/>
    <w:rsid w:val="006168DA"/>
    <w:rsid w:val="00625A43"/>
    <w:rsid w:val="00632064"/>
    <w:rsid w:val="00655375"/>
    <w:rsid w:val="006560C4"/>
    <w:rsid w:val="00661174"/>
    <w:rsid w:val="006662E8"/>
    <w:rsid w:val="00670D69"/>
    <w:rsid w:val="006712F0"/>
    <w:rsid w:val="00672A7B"/>
    <w:rsid w:val="006C20B3"/>
    <w:rsid w:val="006C2254"/>
    <w:rsid w:val="006C5128"/>
    <w:rsid w:val="007438C7"/>
    <w:rsid w:val="00745EFD"/>
    <w:rsid w:val="00752185"/>
    <w:rsid w:val="007528DA"/>
    <w:rsid w:val="00757D43"/>
    <w:rsid w:val="007671CE"/>
    <w:rsid w:val="00776D01"/>
    <w:rsid w:val="007850FE"/>
    <w:rsid w:val="00791E8F"/>
    <w:rsid w:val="00796CBD"/>
    <w:rsid w:val="007A5E68"/>
    <w:rsid w:val="007B0AA8"/>
    <w:rsid w:val="007B3258"/>
    <w:rsid w:val="007B4B81"/>
    <w:rsid w:val="007B6BD4"/>
    <w:rsid w:val="007C0385"/>
    <w:rsid w:val="007D178C"/>
    <w:rsid w:val="00805561"/>
    <w:rsid w:val="00806202"/>
    <w:rsid w:val="0081322A"/>
    <w:rsid w:val="00815EB4"/>
    <w:rsid w:val="00820722"/>
    <w:rsid w:val="008334EE"/>
    <w:rsid w:val="00852BDA"/>
    <w:rsid w:val="008622A1"/>
    <w:rsid w:val="00870D54"/>
    <w:rsid w:val="00873A80"/>
    <w:rsid w:val="00890E9B"/>
    <w:rsid w:val="00891BA0"/>
    <w:rsid w:val="008C7458"/>
    <w:rsid w:val="008D1E5F"/>
    <w:rsid w:val="008E4347"/>
    <w:rsid w:val="008E4884"/>
    <w:rsid w:val="008E5964"/>
    <w:rsid w:val="008F38C2"/>
    <w:rsid w:val="00926429"/>
    <w:rsid w:val="00943505"/>
    <w:rsid w:val="00966DE0"/>
    <w:rsid w:val="00967CC4"/>
    <w:rsid w:val="00971DB5"/>
    <w:rsid w:val="00976148"/>
    <w:rsid w:val="009857E6"/>
    <w:rsid w:val="00996D15"/>
    <w:rsid w:val="009A2EE8"/>
    <w:rsid w:val="009C22E8"/>
    <w:rsid w:val="009C6D3C"/>
    <w:rsid w:val="009E6473"/>
    <w:rsid w:val="009F5B8C"/>
    <w:rsid w:val="00A53AD2"/>
    <w:rsid w:val="00A53BE7"/>
    <w:rsid w:val="00A819DD"/>
    <w:rsid w:val="00A86307"/>
    <w:rsid w:val="00A90627"/>
    <w:rsid w:val="00A91136"/>
    <w:rsid w:val="00A917FD"/>
    <w:rsid w:val="00AA41A5"/>
    <w:rsid w:val="00AA5AC5"/>
    <w:rsid w:val="00AC4B34"/>
    <w:rsid w:val="00AD2C74"/>
    <w:rsid w:val="00B310A9"/>
    <w:rsid w:val="00B50FB9"/>
    <w:rsid w:val="00B524B3"/>
    <w:rsid w:val="00B529BC"/>
    <w:rsid w:val="00B82443"/>
    <w:rsid w:val="00B86317"/>
    <w:rsid w:val="00B87681"/>
    <w:rsid w:val="00BB35B9"/>
    <w:rsid w:val="00BB3C22"/>
    <w:rsid w:val="00BC1517"/>
    <w:rsid w:val="00BC3CAF"/>
    <w:rsid w:val="00BE4ED8"/>
    <w:rsid w:val="00BF5677"/>
    <w:rsid w:val="00C100F1"/>
    <w:rsid w:val="00C46CFD"/>
    <w:rsid w:val="00C51B29"/>
    <w:rsid w:val="00C96D8C"/>
    <w:rsid w:val="00CA069D"/>
    <w:rsid w:val="00CB12A9"/>
    <w:rsid w:val="00CB2F7D"/>
    <w:rsid w:val="00CB6D5A"/>
    <w:rsid w:val="00CC2D4F"/>
    <w:rsid w:val="00CD2747"/>
    <w:rsid w:val="00CD4648"/>
    <w:rsid w:val="00CD7861"/>
    <w:rsid w:val="00D01357"/>
    <w:rsid w:val="00D04BA4"/>
    <w:rsid w:val="00D328F4"/>
    <w:rsid w:val="00D35A43"/>
    <w:rsid w:val="00D3780C"/>
    <w:rsid w:val="00D5001E"/>
    <w:rsid w:val="00D50F5D"/>
    <w:rsid w:val="00D51BF2"/>
    <w:rsid w:val="00D54165"/>
    <w:rsid w:val="00D6316F"/>
    <w:rsid w:val="00D9096B"/>
    <w:rsid w:val="00D94B9B"/>
    <w:rsid w:val="00DA01AF"/>
    <w:rsid w:val="00DA6E0D"/>
    <w:rsid w:val="00E01E69"/>
    <w:rsid w:val="00E11BB7"/>
    <w:rsid w:val="00E2446B"/>
    <w:rsid w:val="00E269C5"/>
    <w:rsid w:val="00E51B82"/>
    <w:rsid w:val="00E65A15"/>
    <w:rsid w:val="00E6654F"/>
    <w:rsid w:val="00E70FA6"/>
    <w:rsid w:val="00E9376B"/>
    <w:rsid w:val="00E96953"/>
    <w:rsid w:val="00EA53B4"/>
    <w:rsid w:val="00EC2F12"/>
    <w:rsid w:val="00EE7D0E"/>
    <w:rsid w:val="00EF0F23"/>
    <w:rsid w:val="00F341A5"/>
    <w:rsid w:val="00F403C2"/>
    <w:rsid w:val="00F60BE8"/>
    <w:rsid w:val="00F639FA"/>
    <w:rsid w:val="00F71D6E"/>
    <w:rsid w:val="00F813AE"/>
    <w:rsid w:val="00F81AF5"/>
    <w:rsid w:val="00F92AE0"/>
    <w:rsid w:val="00F95A6D"/>
    <w:rsid w:val="00FC2E89"/>
    <w:rsid w:val="00FD33FC"/>
    <w:rsid w:val="00FD42E7"/>
    <w:rsid w:val="00FE704B"/>
    <w:rsid w:val="00FE7C40"/>
    <w:rsid w:val="00FF0FDF"/>
    <w:rsid w:val="00FF5437"/>
    <w:rsid w:val="00FF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7A50E2"/>
  <w15:chartTrackingRefBased/>
  <w15:docId w15:val="{9F392B5C-FE9C-4029-A8BD-DD7DA9933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1A5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A41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A41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A41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A41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A41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A41A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41A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41A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A41A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A41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A41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A41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A41A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A41A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A41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41A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41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A41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A41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A41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A41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A41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A41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A41A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A41A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A41A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A41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A41A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A41A5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AA41A5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rsid w:val="00AA41A5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41A5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AA41A5"/>
  </w:style>
  <w:style w:type="character" w:customStyle="1" w:styleId="textonormal1">
    <w:name w:val="textonormal1"/>
    <w:rsid w:val="00AA41A5"/>
    <w:rPr>
      <w:rFonts w:ascii="Arial" w:hAnsi="Arial" w:cs="Arial" w:hint="default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41A5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41A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AA41A5"/>
    <w:rPr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AA41A5"/>
  </w:style>
  <w:style w:type="character" w:styleId="Hipervnculo">
    <w:name w:val="Hyperlink"/>
    <w:basedOn w:val="Fuentedeprrafopredeter"/>
    <w:uiPriority w:val="99"/>
    <w:unhideWhenUsed/>
    <w:rsid w:val="00AA41A5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A41A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42E0A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EA91D28ED3664BB79A14DFE520B8B8" ma:contentTypeVersion="4" ma:contentTypeDescription="Create a new document." ma:contentTypeScope="" ma:versionID="dc3c0b4c5b3d5f699cb373141370fd20">
  <xsd:schema xmlns:xsd="http://www.w3.org/2001/XMLSchema" xmlns:xs="http://www.w3.org/2001/XMLSchema" xmlns:p="http://schemas.microsoft.com/office/2006/metadata/properties" xmlns:ns3="df7765da-6eda-4b0c-817a-9bf05cb3cadf" targetNamespace="http://schemas.microsoft.com/office/2006/metadata/properties" ma:root="true" ma:fieldsID="fb63eab4442ac0a793132967435e0ca1" ns3:_="">
    <xsd:import namespace="df7765da-6eda-4b0c-817a-9bf05cb3cad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765da-6eda-4b0c-817a-9bf05cb3ca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100DE-8179-4276-83A5-D3030D6276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FC66D9-A5DE-46B8-A137-FBE3DDD7C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765da-6eda-4b0c-817a-9bf05cb3ca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59D9BB-D671-4DE6-A8C2-AB6513B262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86FE5D-8492-4517-9F0E-822C42196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2051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Rocío Alayón Morell</cp:lastModifiedBy>
  <cp:revision>4</cp:revision>
  <cp:lastPrinted>2026-04-06T17:05:00Z</cp:lastPrinted>
  <dcterms:created xsi:type="dcterms:W3CDTF">2026-05-12T14:35:00Z</dcterms:created>
  <dcterms:modified xsi:type="dcterms:W3CDTF">2026-05-13T16:34:00Z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0x010100E9EA91D28ED3664BB79A14DFE520B8B8</vt:lpwstr>
  </property>
</Properties>
</file>