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AAA04" w14:textId="77777777" w:rsidR="00DB541B" w:rsidRDefault="00DB541B" w:rsidP="00DB541B">
      <w:pPr>
        <w:tabs>
          <w:tab w:val="center" w:pos="4680"/>
        </w:tabs>
        <w:jc w:val="center"/>
        <w:rPr>
          <w:rFonts w:ascii="Book Antiqua" w:hAnsi="Book Antiqua"/>
          <w:sz w:val="28"/>
          <w:szCs w:val="28"/>
          <w:lang w:val="es-ES_tradnl"/>
        </w:rPr>
      </w:pPr>
      <w:r>
        <w:rPr>
          <w:rFonts w:ascii="Book Antiqua" w:hAnsi="Book Antiqua"/>
          <w:sz w:val="28"/>
          <w:szCs w:val="28"/>
          <w:lang w:val="es-ES_tradnl"/>
        </w:rPr>
        <w:t>GOBIERNO DE PUERTO RICO</w:t>
      </w:r>
    </w:p>
    <w:p w14:paraId="34891D3E" w14:textId="77777777" w:rsidR="00DB541B" w:rsidRDefault="00DB541B" w:rsidP="00DB541B">
      <w:pPr>
        <w:tabs>
          <w:tab w:val="center" w:pos="4680"/>
        </w:tabs>
        <w:jc w:val="center"/>
        <w:rPr>
          <w:rFonts w:ascii="Book Antiqua" w:hAnsi="Book Antiqua"/>
          <w:szCs w:val="24"/>
          <w:lang w:val="es-ES_tradnl"/>
        </w:rPr>
      </w:pPr>
    </w:p>
    <w:p w14:paraId="0B33996F" w14:textId="42A09AFB" w:rsidR="00DB541B" w:rsidRDefault="00DB541B" w:rsidP="00DB541B">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Pr>
          <w:rFonts w:ascii="Book Antiqua" w:hAnsi="Book Antiqua"/>
          <w:lang w:val="es-ES_tradnl"/>
        </w:rPr>
        <w:tab/>
        <w:t>Asamblea</w:t>
      </w:r>
      <w:r>
        <w:rPr>
          <w:rFonts w:ascii="Book Antiqua" w:hAnsi="Book Antiqua"/>
          <w:lang w:val="es-ES_tradnl"/>
        </w:rPr>
        <w:tab/>
      </w:r>
      <w:r w:rsidR="00DB65FB">
        <w:rPr>
          <w:rFonts w:ascii="Book Antiqua" w:hAnsi="Book Antiqua"/>
          <w:lang w:val="es-ES_tradnl"/>
        </w:rPr>
        <w:t>3</w:t>
      </w:r>
      <w:r w:rsidR="00CD5EC0">
        <w:rPr>
          <w:rFonts w:ascii="Book Antiqua" w:hAnsi="Book Antiqua"/>
          <w:lang w:val="es-ES_tradnl"/>
        </w:rPr>
        <w:t xml:space="preserve"> </w:t>
      </w:r>
      <w:proofErr w:type="spellStart"/>
      <w:r w:rsidR="00DB65FB">
        <w:rPr>
          <w:rFonts w:ascii="Book Antiqua" w:hAnsi="Book Antiqua"/>
          <w:vertAlign w:val="superscript"/>
          <w:lang w:val="es-ES_tradnl"/>
        </w:rPr>
        <w:t>r</w:t>
      </w:r>
      <w:r>
        <w:rPr>
          <w:rFonts w:ascii="Book Antiqua" w:hAnsi="Book Antiqua"/>
          <w:vertAlign w:val="superscript"/>
          <w:lang w:val="es-ES_tradnl"/>
        </w:rPr>
        <w:t>a</w:t>
      </w:r>
      <w:proofErr w:type="spellEnd"/>
      <w:r>
        <w:rPr>
          <w:rFonts w:ascii="Book Antiqua" w:hAnsi="Book Antiqua"/>
          <w:lang w:val="es-ES_tradnl"/>
        </w:rPr>
        <w:tab/>
        <w:t>Sesión</w:t>
      </w:r>
    </w:p>
    <w:p w14:paraId="5591FCDB" w14:textId="77777777" w:rsidR="00DB541B" w:rsidRDefault="00DB541B" w:rsidP="00DB541B">
      <w:pPr>
        <w:tabs>
          <w:tab w:val="left" w:pos="7560"/>
        </w:tabs>
        <w:rPr>
          <w:rFonts w:ascii="Book Antiqua" w:hAnsi="Book Antiqua"/>
          <w:szCs w:val="24"/>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r>
        <w:rPr>
          <w:rFonts w:ascii="Book Antiqua" w:hAnsi="Book Antiqua"/>
          <w:szCs w:val="24"/>
          <w:lang w:val="es-ES_tradnl"/>
        </w:rPr>
        <w:t xml:space="preserve"> </w:t>
      </w:r>
    </w:p>
    <w:p w14:paraId="5C9E4CFA" w14:textId="77777777" w:rsidR="00DB541B" w:rsidRDefault="00DB541B" w:rsidP="00DB541B">
      <w:pPr>
        <w:rPr>
          <w:rFonts w:ascii="Book Antiqua" w:hAnsi="Book Antiqua"/>
          <w:szCs w:val="24"/>
          <w:lang w:val="es-ES_tradnl"/>
        </w:rPr>
      </w:pPr>
    </w:p>
    <w:p w14:paraId="3FFBF07B" w14:textId="77777777" w:rsidR="00DB541B" w:rsidRDefault="00DB541B" w:rsidP="00DB541B">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3F457A79" w14:textId="77777777" w:rsidR="00DB541B" w:rsidRDefault="00DB541B" w:rsidP="00DB541B">
      <w:pPr>
        <w:jc w:val="center"/>
        <w:rPr>
          <w:rFonts w:ascii="Book Antiqua" w:hAnsi="Book Antiqua"/>
          <w:szCs w:val="24"/>
          <w:lang w:val="es-ES_tradnl"/>
        </w:rPr>
      </w:pPr>
    </w:p>
    <w:p w14:paraId="67783AFD" w14:textId="13890960" w:rsidR="00DB541B" w:rsidRDefault="00DB541B" w:rsidP="00DB541B">
      <w:pPr>
        <w:jc w:val="center"/>
        <w:rPr>
          <w:rFonts w:ascii="Book Antiqua" w:hAnsi="Book Antiqua"/>
          <w:b/>
          <w:sz w:val="52"/>
          <w:szCs w:val="52"/>
          <w:lang w:val="es-ES_tradnl"/>
        </w:rPr>
      </w:pPr>
      <w:r>
        <w:rPr>
          <w:rFonts w:ascii="Book Antiqua" w:hAnsi="Book Antiqua"/>
          <w:b/>
          <w:sz w:val="52"/>
          <w:szCs w:val="52"/>
          <w:lang w:val="es-ES_tradnl"/>
        </w:rPr>
        <w:t xml:space="preserve">P. de la C. </w:t>
      </w:r>
      <w:r w:rsidR="00855B3D">
        <w:rPr>
          <w:rFonts w:ascii="Book Antiqua" w:hAnsi="Book Antiqua"/>
          <w:b/>
          <w:sz w:val="52"/>
          <w:szCs w:val="52"/>
          <w:lang w:val="es-ES_tradnl"/>
        </w:rPr>
        <w:t>1280</w:t>
      </w:r>
    </w:p>
    <w:p w14:paraId="0A7BDD3F" w14:textId="77777777" w:rsidR="00DB541B" w:rsidRDefault="00DB541B" w:rsidP="00DB541B">
      <w:pPr>
        <w:jc w:val="center"/>
        <w:rPr>
          <w:rFonts w:ascii="Book Antiqua" w:hAnsi="Book Antiqua"/>
          <w:szCs w:val="24"/>
          <w:lang w:val="es-ES_tradnl"/>
        </w:rPr>
      </w:pPr>
    </w:p>
    <w:p w14:paraId="4CE36B7D" w14:textId="3676633D" w:rsidR="00DB541B" w:rsidRDefault="00855B3D" w:rsidP="00DB541B">
      <w:pPr>
        <w:jc w:val="center"/>
        <w:rPr>
          <w:rFonts w:ascii="Book Antiqua" w:hAnsi="Book Antiqua"/>
          <w:szCs w:val="24"/>
          <w:lang w:val="es-ES_tradnl"/>
        </w:rPr>
      </w:pPr>
      <w:r>
        <w:rPr>
          <w:rFonts w:ascii="Book Antiqua" w:hAnsi="Book Antiqua"/>
          <w:szCs w:val="24"/>
          <w:lang w:val="es-ES_tradnl"/>
        </w:rPr>
        <w:t xml:space="preserve">15 </w:t>
      </w:r>
      <w:r w:rsidR="00C9345D">
        <w:rPr>
          <w:rFonts w:ascii="Book Antiqua" w:hAnsi="Book Antiqua"/>
          <w:szCs w:val="24"/>
          <w:lang w:val="es-ES_tradnl"/>
        </w:rPr>
        <w:t>DE MAYO DE 2026</w:t>
      </w:r>
    </w:p>
    <w:p w14:paraId="4B9F7DB1" w14:textId="77777777" w:rsidR="00DB541B" w:rsidRDefault="00DB541B" w:rsidP="00DB541B">
      <w:pPr>
        <w:jc w:val="center"/>
        <w:rPr>
          <w:rFonts w:ascii="Book Antiqua" w:hAnsi="Book Antiqua"/>
          <w:i/>
          <w:szCs w:val="24"/>
          <w:lang w:val="es-ES_tradnl"/>
        </w:rPr>
      </w:pPr>
    </w:p>
    <w:p w14:paraId="40A5BCA1" w14:textId="55705826" w:rsidR="00DB541B" w:rsidRPr="00BB740F" w:rsidRDefault="00DB541B" w:rsidP="00DB541B">
      <w:pPr>
        <w:ind w:left="720" w:hanging="720"/>
        <w:jc w:val="center"/>
        <w:rPr>
          <w:rFonts w:ascii="Book Antiqua" w:hAnsi="Book Antiqua"/>
          <w:i/>
          <w:szCs w:val="24"/>
          <w:lang w:val="es-ES_tradnl"/>
        </w:rPr>
      </w:pPr>
      <w:r>
        <w:rPr>
          <w:rFonts w:ascii="Book Antiqua" w:hAnsi="Book Antiqua"/>
          <w:szCs w:val="24"/>
          <w:lang w:val="es-ES_tradnl"/>
        </w:rPr>
        <w:t xml:space="preserve">Presentado por </w:t>
      </w:r>
      <w:r w:rsidR="00BB740F">
        <w:rPr>
          <w:rFonts w:ascii="Book Antiqua" w:hAnsi="Book Antiqua"/>
          <w:szCs w:val="24"/>
          <w:lang w:val="es-ES_tradnl"/>
        </w:rPr>
        <w:t>los</w:t>
      </w:r>
      <w:r>
        <w:rPr>
          <w:rFonts w:ascii="Book Antiqua" w:hAnsi="Book Antiqua"/>
          <w:szCs w:val="24"/>
          <w:lang w:val="es-ES_tradnl"/>
        </w:rPr>
        <w:t xml:space="preserve"> representante</w:t>
      </w:r>
      <w:r w:rsidR="00BB740F">
        <w:rPr>
          <w:rFonts w:ascii="Book Antiqua" w:hAnsi="Book Antiqua"/>
          <w:szCs w:val="24"/>
          <w:lang w:val="es-ES_tradnl"/>
        </w:rPr>
        <w:t>s</w:t>
      </w:r>
      <w:r>
        <w:rPr>
          <w:rFonts w:ascii="Book Antiqua" w:hAnsi="Book Antiqua"/>
          <w:szCs w:val="24"/>
          <w:lang w:val="es-ES_tradnl"/>
        </w:rPr>
        <w:t xml:space="preserve"> </w:t>
      </w:r>
      <w:r>
        <w:rPr>
          <w:rFonts w:ascii="Book Antiqua" w:hAnsi="Book Antiqua"/>
          <w:i/>
          <w:szCs w:val="24"/>
          <w:lang w:val="es-ES_tradnl"/>
        </w:rPr>
        <w:t>Santiago Guzmán</w:t>
      </w:r>
      <w:r w:rsidR="00BB740F">
        <w:rPr>
          <w:rFonts w:ascii="Book Antiqua" w:hAnsi="Book Antiqua"/>
          <w:i/>
          <w:szCs w:val="24"/>
          <w:lang w:val="es-ES_tradnl"/>
        </w:rPr>
        <w:t xml:space="preserve"> </w:t>
      </w:r>
      <w:r w:rsidR="00BB740F">
        <w:rPr>
          <w:rFonts w:ascii="Book Antiqua" w:hAnsi="Book Antiqua"/>
          <w:iCs/>
          <w:szCs w:val="24"/>
          <w:lang w:val="es-ES_tradnl"/>
        </w:rPr>
        <w:t xml:space="preserve">y </w:t>
      </w:r>
      <w:r w:rsidR="00C9345D">
        <w:rPr>
          <w:rFonts w:ascii="Book Antiqua" w:hAnsi="Book Antiqua"/>
          <w:i/>
          <w:szCs w:val="24"/>
          <w:lang w:val="es-ES_tradnl"/>
        </w:rPr>
        <w:t>Pacheco Burgos</w:t>
      </w:r>
    </w:p>
    <w:p w14:paraId="536BFA66" w14:textId="77777777" w:rsidR="00DB541B" w:rsidRPr="00CB2108" w:rsidRDefault="00DB541B" w:rsidP="00DB541B">
      <w:pPr>
        <w:ind w:left="720" w:hanging="720"/>
        <w:jc w:val="center"/>
        <w:rPr>
          <w:rFonts w:ascii="Book Antiqua" w:hAnsi="Book Antiqua"/>
          <w:i/>
          <w:szCs w:val="24"/>
          <w:lang w:val="es-ES_tradnl"/>
        </w:rPr>
      </w:pPr>
    </w:p>
    <w:p w14:paraId="7071F770" w14:textId="0E12CC84" w:rsidR="00DB541B" w:rsidRDefault="00DB541B" w:rsidP="00DB541B">
      <w:pPr>
        <w:jc w:val="center"/>
        <w:rPr>
          <w:rFonts w:ascii="Book Antiqua" w:hAnsi="Book Antiqua"/>
          <w:szCs w:val="24"/>
          <w:lang w:val="es-ES_tradnl"/>
        </w:rPr>
      </w:pPr>
      <w:r>
        <w:rPr>
          <w:rFonts w:ascii="Book Antiqua" w:hAnsi="Book Antiqua"/>
          <w:szCs w:val="24"/>
          <w:lang w:val="es-ES_tradnl"/>
        </w:rPr>
        <w:t xml:space="preserve">Referido a </w:t>
      </w:r>
      <w:r w:rsidR="00CB2108">
        <w:rPr>
          <w:rFonts w:ascii="Book Antiqua" w:hAnsi="Book Antiqua"/>
          <w:szCs w:val="24"/>
          <w:lang w:val="es-ES_tradnl"/>
        </w:rPr>
        <w:t>la Comisión de Seguridad Pública</w:t>
      </w:r>
    </w:p>
    <w:p w14:paraId="5F2E8277" w14:textId="77777777" w:rsidR="00DB541B" w:rsidRDefault="00DB541B" w:rsidP="00DB541B">
      <w:pPr>
        <w:jc w:val="center"/>
        <w:rPr>
          <w:rFonts w:ascii="Book Antiqua" w:hAnsi="Book Antiqua"/>
          <w:bCs/>
          <w:szCs w:val="24"/>
          <w:lang w:val="es-ES_tradnl"/>
        </w:rPr>
      </w:pPr>
    </w:p>
    <w:p w14:paraId="164FF5F6" w14:textId="77777777" w:rsidR="00DB541B" w:rsidRDefault="00DB541B" w:rsidP="00DB541B">
      <w:pPr>
        <w:jc w:val="center"/>
        <w:rPr>
          <w:rFonts w:ascii="Book Antiqua" w:hAnsi="Book Antiqua"/>
          <w:b/>
          <w:sz w:val="28"/>
          <w:lang w:val="es-ES_tradnl"/>
        </w:rPr>
      </w:pPr>
      <w:r>
        <w:rPr>
          <w:rFonts w:ascii="Book Antiqua" w:hAnsi="Book Antiqua"/>
          <w:b/>
          <w:sz w:val="28"/>
          <w:lang w:val="es-ES_tradnl"/>
        </w:rPr>
        <w:t>LEY</w:t>
      </w:r>
    </w:p>
    <w:p w14:paraId="15B4D609" w14:textId="77777777" w:rsidR="00BF7072" w:rsidRPr="008F1DE6" w:rsidRDefault="00BF7072" w:rsidP="00FB572D">
      <w:pPr>
        <w:jc w:val="both"/>
        <w:rPr>
          <w:rFonts w:ascii="Book Antiqua" w:hAnsi="Book Antiqua"/>
          <w:lang w:val="es-ES_tradnl"/>
        </w:rPr>
      </w:pPr>
    </w:p>
    <w:p w14:paraId="3C05D30F" w14:textId="1562B46D" w:rsidR="00BF7072" w:rsidRPr="00662714" w:rsidRDefault="00BF7072" w:rsidP="00CB2108">
      <w:pPr>
        <w:ind w:left="720" w:hanging="720"/>
        <w:jc w:val="both"/>
        <w:rPr>
          <w:rFonts w:ascii="Book Antiqua" w:hAnsi="Book Antiqua"/>
          <w:lang w:val="es-ES_tradnl"/>
        </w:rPr>
      </w:pPr>
      <w:r w:rsidRPr="00662714">
        <w:rPr>
          <w:rFonts w:ascii="Book Antiqua" w:hAnsi="Book Antiqua"/>
          <w:lang w:val="es-ES_tradnl"/>
        </w:rPr>
        <w:t xml:space="preserve">Para </w:t>
      </w:r>
      <w:r w:rsidR="00C74D27">
        <w:rPr>
          <w:rFonts w:ascii="Book Antiqua" w:hAnsi="Book Antiqua"/>
          <w:lang w:val="es-ES_tradnl"/>
        </w:rPr>
        <w:t>e</w:t>
      </w:r>
      <w:proofErr w:type="spellStart"/>
      <w:r w:rsidR="00CD5EA1" w:rsidRPr="00CD5EA1">
        <w:rPr>
          <w:rFonts w:ascii="Book Antiqua" w:hAnsi="Book Antiqua"/>
          <w:lang w:val="es-PR"/>
        </w:rPr>
        <w:t>nmendar</w:t>
      </w:r>
      <w:proofErr w:type="spellEnd"/>
      <w:r w:rsidR="00CD5EA1" w:rsidRPr="00CD5EA1">
        <w:rPr>
          <w:rFonts w:ascii="Book Antiqua" w:hAnsi="Book Antiqua"/>
          <w:lang w:val="es-PR"/>
        </w:rPr>
        <w:t xml:space="preserve"> el Artículo 2.09 de la Ley 168-2019, según enmendada, conocida como “Ley de Armas de Puerto Rico</w:t>
      </w:r>
      <w:r w:rsidR="00AB32F7">
        <w:rPr>
          <w:rFonts w:ascii="Book Antiqua" w:hAnsi="Book Antiqua"/>
          <w:lang w:val="es-PR"/>
        </w:rPr>
        <w:t xml:space="preserve"> de 2020</w:t>
      </w:r>
      <w:r w:rsidR="00CD5EA1" w:rsidRPr="00CD5EA1">
        <w:rPr>
          <w:rFonts w:ascii="Book Antiqua" w:hAnsi="Book Antiqua"/>
          <w:lang w:val="es-PR"/>
        </w:rPr>
        <w:t>”, a los fines de disponer que constituirá fundamento para rehusar expedir una licencia de armas o revocar una licencia vigente el incumplimiento con la obligación de notificar a la Policía de Puerto Rico la venta, donación, traspaso o cesión de cualquier arma de fuego</w:t>
      </w:r>
      <w:r w:rsidR="00420F52">
        <w:rPr>
          <w:rFonts w:ascii="Book Antiqua" w:hAnsi="Book Antiqua"/>
          <w:lang w:val="es-PR"/>
        </w:rPr>
        <w:t>, o</w:t>
      </w:r>
      <w:r w:rsidR="00CD5EA1" w:rsidRPr="00CD5EA1">
        <w:rPr>
          <w:rFonts w:ascii="Book Antiqua" w:hAnsi="Book Antiqua"/>
          <w:lang w:val="es-PR"/>
        </w:rPr>
        <w:t xml:space="preserve"> </w:t>
      </w:r>
      <w:r w:rsidR="00354E5A">
        <w:rPr>
          <w:rFonts w:ascii="Book Antiqua" w:hAnsi="Book Antiqua"/>
          <w:lang w:val="es-PR"/>
        </w:rPr>
        <w:t>haber incurrido en</w:t>
      </w:r>
      <w:r w:rsidR="00700933">
        <w:rPr>
          <w:rFonts w:ascii="Book Antiqua" w:hAnsi="Book Antiqua"/>
          <w:lang w:val="es-PR"/>
        </w:rPr>
        <w:t xml:space="preserve"> conducta negligente en el manejo de un arma de fuego al apuntar imprudentemente </w:t>
      </w:r>
      <w:r w:rsidR="00B83C61">
        <w:rPr>
          <w:rFonts w:ascii="Book Antiqua" w:hAnsi="Book Antiqua"/>
          <w:lang w:val="es-PR"/>
        </w:rPr>
        <w:t>o realizar disparos al aire;</w:t>
      </w:r>
      <w:r w:rsidR="00354E5A">
        <w:rPr>
          <w:rFonts w:ascii="Book Antiqua" w:hAnsi="Book Antiqua"/>
          <w:lang w:val="es-PR"/>
        </w:rPr>
        <w:t xml:space="preserve"> </w:t>
      </w:r>
      <w:r w:rsidR="00CD5EA1" w:rsidRPr="00CD5EA1">
        <w:rPr>
          <w:rFonts w:ascii="Book Antiqua" w:hAnsi="Book Antiqua"/>
          <w:lang w:val="es-PR"/>
        </w:rPr>
        <w:t>realizar enmiendas técnicas</w:t>
      </w:r>
      <w:r w:rsidR="0006068C">
        <w:rPr>
          <w:rFonts w:ascii="Book Antiqua" w:hAnsi="Book Antiqua"/>
          <w:lang w:val="es-PR"/>
        </w:rPr>
        <w:t xml:space="preserve">; facultar </w:t>
      </w:r>
      <w:r w:rsidR="005E2899">
        <w:rPr>
          <w:rFonts w:ascii="Book Antiqua" w:hAnsi="Book Antiqua"/>
          <w:lang w:val="es-PR"/>
        </w:rPr>
        <w:t>la reglamentación</w:t>
      </w:r>
      <w:r w:rsidR="00CD5EA1" w:rsidRPr="00CD5EA1">
        <w:rPr>
          <w:rFonts w:ascii="Book Antiqua" w:hAnsi="Book Antiqua"/>
          <w:lang w:val="es-PR"/>
        </w:rPr>
        <w:t>; y para otros fines relacionados</w:t>
      </w:r>
      <w:r w:rsidR="00ED59A9" w:rsidRPr="00662714">
        <w:rPr>
          <w:rFonts w:ascii="Book Antiqua" w:hAnsi="Book Antiqua"/>
          <w:lang w:val="es-ES_tradnl"/>
        </w:rPr>
        <w:t>.</w:t>
      </w:r>
      <w:r w:rsidR="00DD799D">
        <w:rPr>
          <w:rFonts w:ascii="Book Antiqua" w:hAnsi="Book Antiqua"/>
          <w:lang w:val="es-ES_tradnl"/>
        </w:rPr>
        <w:t xml:space="preserve">  </w:t>
      </w:r>
    </w:p>
    <w:p w14:paraId="2273C9BA" w14:textId="77777777" w:rsidR="00011676" w:rsidRPr="008F1DE6" w:rsidRDefault="00011676" w:rsidP="00011676">
      <w:pPr>
        <w:ind w:left="540" w:hanging="540"/>
        <w:jc w:val="both"/>
        <w:rPr>
          <w:rFonts w:ascii="Book Antiqua" w:hAnsi="Book Antiqua"/>
          <w:lang w:val="es-ES_tradnl"/>
        </w:rPr>
      </w:pPr>
    </w:p>
    <w:p w14:paraId="467EBFD7" w14:textId="77777777" w:rsidR="00BF7072" w:rsidRPr="008F1DE6" w:rsidRDefault="00BF7072" w:rsidP="00FB572D">
      <w:pPr>
        <w:ind w:firstLine="360"/>
        <w:jc w:val="center"/>
        <w:rPr>
          <w:rFonts w:ascii="Book Antiqua" w:hAnsi="Book Antiqua"/>
          <w:lang w:val="es-ES_tradnl"/>
        </w:rPr>
      </w:pPr>
      <w:r w:rsidRPr="008F1DE6">
        <w:rPr>
          <w:rFonts w:ascii="Book Antiqua" w:hAnsi="Book Antiqua"/>
          <w:lang w:val="es-ES_tradnl"/>
        </w:rPr>
        <w:t>EXPOSICIÓN DE MOTIVOS</w:t>
      </w:r>
    </w:p>
    <w:p w14:paraId="6880E92A" w14:textId="77777777" w:rsidR="00FB572D" w:rsidRPr="008F1DE6" w:rsidRDefault="00FB572D" w:rsidP="00FB572D">
      <w:pPr>
        <w:ind w:firstLine="360"/>
        <w:jc w:val="center"/>
        <w:rPr>
          <w:rFonts w:ascii="Book Antiqua" w:hAnsi="Book Antiqua"/>
          <w:lang w:val="es-ES_tradnl"/>
        </w:rPr>
      </w:pPr>
    </w:p>
    <w:p w14:paraId="4C9E2EAF" w14:textId="5CD3CB21" w:rsidR="00C2361A" w:rsidRDefault="00C2361A" w:rsidP="00CB2108">
      <w:pPr>
        <w:ind w:firstLine="720"/>
        <w:jc w:val="both"/>
        <w:rPr>
          <w:rFonts w:ascii="Book Antiqua" w:hAnsi="Book Antiqua"/>
          <w:szCs w:val="24"/>
          <w:lang w:val="es-PR"/>
        </w:rPr>
      </w:pPr>
      <w:r w:rsidRPr="00C2361A">
        <w:rPr>
          <w:rFonts w:ascii="Book Antiqua" w:hAnsi="Book Antiqua"/>
          <w:szCs w:val="24"/>
          <w:lang w:val="es-PR"/>
        </w:rPr>
        <w:t xml:space="preserve">La posesión y portación de armas de fuego en Puerto Rico constituye una actividad altamente regulada por el Estado al amparo de su poder de razón de Estado y de su obligación ministerial de proteger la seguridad pública. La </w:t>
      </w:r>
      <w:r w:rsidR="00BF44A7" w:rsidRPr="00C2361A">
        <w:rPr>
          <w:rFonts w:ascii="Book Antiqua" w:hAnsi="Book Antiqua"/>
          <w:szCs w:val="24"/>
          <w:lang w:val="es-PR"/>
        </w:rPr>
        <w:t xml:space="preserve">Ley 168-2019, según enmendada, </w:t>
      </w:r>
      <w:r w:rsidR="00BF44A7">
        <w:rPr>
          <w:rFonts w:ascii="Book Antiqua" w:hAnsi="Book Antiqua"/>
          <w:szCs w:val="24"/>
          <w:lang w:val="es-PR"/>
        </w:rPr>
        <w:t xml:space="preserve">conocida como </w:t>
      </w:r>
      <w:r w:rsidRPr="00C2361A">
        <w:rPr>
          <w:rFonts w:ascii="Book Antiqua" w:hAnsi="Book Antiqua"/>
          <w:szCs w:val="24"/>
          <w:lang w:val="es-PR"/>
        </w:rPr>
        <w:t>“Ley de Armas de Puerto Rico</w:t>
      </w:r>
      <w:r w:rsidR="00BF44A7">
        <w:rPr>
          <w:rFonts w:ascii="Book Antiqua" w:hAnsi="Book Antiqua"/>
          <w:szCs w:val="24"/>
          <w:lang w:val="es-PR"/>
        </w:rPr>
        <w:t xml:space="preserve"> de 2020</w:t>
      </w:r>
      <w:r w:rsidRPr="00C2361A">
        <w:rPr>
          <w:rFonts w:ascii="Book Antiqua" w:hAnsi="Book Antiqua"/>
          <w:szCs w:val="24"/>
          <w:lang w:val="es-PR"/>
        </w:rPr>
        <w:t>”, establece un marco regulatorio dirigido a garantizar que toda persona autorizada a poseer o portar armas de fuego cumpla con criterios de responsabilidad, confiabilidad y trazabilidad.</w:t>
      </w:r>
      <w:r w:rsidR="007079DF">
        <w:rPr>
          <w:rFonts w:ascii="Book Antiqua" w:hAnsi="Book Antiqua"/>
          <w:szCs w:val="24"/>
          <w:lang w:val="es-PR"/>
        </w:rPr>
        <w:t xml:space="preserve"> </w:t>
      </w:r>
    </w:p>
    <w:p w14:paraId="55E2D21E" w14:textId="77777777" w:rsidR="00CB2108" w:rsidRDefault="00CB2108" w:rsidP="00CB2108">
      <w:pPr>
        <w:ind w:firstLine="720"/>
        <w:jc w:val="both"/>
        <w:rPr>
          <w:rFonts w:ascii="Book Antiqua" w:hAnsi="Book Antiqua"/>
          <w:szCs w:val="24"/>
          <w:lang w:val="es-PR"/>
        </w:rPr>
      </w:pPr>
    </w:p>
    <w:p w14:paraId="44016C5B" w14:textId="77777777" w:rsidR="00665BAB" w:rsidRDefault="00665BAB" w:rsidP="00CB2108">
      <w:pPr>
        <w:ind w:firstLine="720"/>
        <w:jc w:val="both"/>
        <w:rPr>
          <w:rFonts w:ascii="Book Antiqua" w:hAnsi="Book Antiqua"/>
          <w:szCs w:val="24"/>
          <w:lang w:val="es-PR"/>
        </w:rPr>
      </w:pPr>
      <w:r w:rsidRPr="00665BAB">
        <w:rPr>
          <w:rFonts w:ascii="Book Antiqua" w:hAnsi="Book Antiqua"/>
          <w:szCs w:val="24"/>
          <w:lang w:val="es-PR"/>
        </w:rPr>
        <w:t xml:space="preserve">Uno de los elementos esenciales de cualquier sistema moderno de fiscalización de armas de fuego es la capacidad del Estado para mantener registros precisos y actualizados sobre la titularidad de las armas en circulación. La notificación oportuna de toda venta, donación, traspaso o cesión resulta indispensable para que las autoridades puedan identificar correctamente al poseedor legal de un arma, facilitar investigaciones criminales y prevenir vacíos administrativos que propicien el uso ilegal de armas de </w:t>
      </w:r>
      <w:r w:rsidRPr="00665BAB">
        <w:rPr>
          <w:rFonts w:ascii="Book Antiqua" w:hAnsi="Book Antiqua"/>
          <w:szCs w:val="24"/>
          <w:lang w:val="es-PR"/>
        </w:rPr>
        <w:lastRenderedPageBreak/>
        <w:t>fuego. La ausencia de mecanismos efectivos para atender el incumplimiento de este deber limita la capacidad de la Policía de Puerto Rico para mantener registros confiables y detectar posibles patrones de tráfico ilegal.</w:t>
      </w:r>
    </w:p>
    <w:p w14:paraId="60A48CEC" w14:textId="77777777" w:rsidR="00CB2108" w:rsidRDefault="00CB2108" w:rsidP="00CB2108">
      <w:pPr>
        <w:ind w:firstLine="720"/>
        <w:jc w:val="both"/>
        <w:rPr>
          <w:rFonts w:ascii="Book Antiqua" w:hAnsi="Book Antiqua"/>
          <w:szCs w:val="24"/>
          <w:lang w:val="es-PR"/>
        </w:rPr>
      </w:pPr>
    </w:p>
    <w:p w14:paraId="5055FB99" w14:textId="2C9DFD0B" w:rsidR="005E4B1C" w:rsidRDefault="005E4B1C" w:rsidP="00CB2108">
      <w:pPr>
        <w:ind w:firstLine="720"/>
        <w:jc w:val="both"/>
        <w:rPr>
          <w:rFonts w:ascii="Book Antiqua" w:hAnsi="Book Antiqua"/>
          <w:szCs w:val="24"/>
          <w:lang w:val="es-PR"/>
        </w:rPr>
      </w:pPr>
      <w:r w:rsidRPr="005E4B1C">
        <w:rPr>
          <w:rFonts w:ascii="Book Antiqua" w:hAnsi="Book Antiqua"/>
          <w:szCs w:val="24"/>
          <w:lang w:val="es-PR"/>
        </w:rPr>
        <w:t>En la práctica, se han identificado situaciones en las cuales personas con licencias vigentes incumplen con la obligación de notificar adecuadamente las transferencias de armas realizadas entre particulares. Esta omisión provoca inconsistencias en los registros oficiales y dificulta la labor investigativa y fiscalizadora de las agencias de orden público. La Asamblea Legislativa entiende que dicho incumplimiento constituye una conducta incompatible con la responsabilidad y confiabilidad requeridas para ostentar una licencia de armas. Por ello, resulta razonable disponer expresamente que esta conducta pueda constituir fundamento suficiente para denegar la expedición de una licencia o revocar una previamente expedida, sin perjuicio de las penalidades aplicables.</w:t>
      </w:r>
    </w:p>
    <w:p w14:paraId="199E1511" w14:textId="77777777" w:rsidR="00CB2108" w:rsidRDefault="00CB2108" w:rsidP="00CB2108">
      <w:pPr>
        <w:ind w:firstLine="720"/>
        <w:jc w:val="both"/>
        <w:rPr>
          <w:rFonts w:ascii="Book Antiqua" w:hAnsi="Book Antiqua"/>
          <w:szCs w:val="24"/>
          <w:lang w:val="es-PR"/>
        </w:rPr>
      </w:pPr>
    </w:p>
    <w:p w14:paraId="2D0E96CC" w14:textId="32A3C8AA" w:rsidR="005E4B1C" w:rsidRDefault="005E4B1C" w:rsidP="00CB2108">
      <w:pPr>
        <w:ind w:firstLine="720"/>
        <w:jc w:val="both"/>
        <w:rPr>
          <w:rFonts w:ascii="Book Antiqua" w:hAnsi="Book Antiqua"/>
          <w:szCs w:val="24"/>
          <w:lang w:val="es-PR"/>
        </w:rPr>
      </w:pPr>
      <w:r w:rsidRPr="005E4B1C">
        <w:rPr>
          <w:rFonts w:ascii="Book Antiqua" w:hAnsi="Book Antiqua"/>
          <w:szCs w:val="24"/>
          <w:lang w:val="es-PR"/>
        </w:rPr>
        <w:t>A esta problemática se suma el riesgo que representa el manejo negligente e irresponsable de armas de fuego, particularmente en incidentes relacionados con disparos al aire, el acto de apuntar armas imprudentemente o la manipulación temeraria de estas. Tales conductas constituyen una amenaza seria a la seguridad pública y han provocado lesiones y muertes tanto en Puerto Rico como en otras jurisdicciones. La posesión de un arma de fuego exige un alto grado de responsabilidad y autocontrol; por consiguiente, una persona que incurre en conducta negligente demuestra una falta de juicio incompatible con la confianza que el Estado deposita en quienes poseen licencias de armas.</w:t>
      </w:r>
    </w:p>
    <w:p w14:paraId="37EAA439" w14:textId="77777777" w:rsidR="00CB2108" w:rsidRDefault="00CB2108" w:rsidP="00CB2108">
      <w:pPr>
        <w:ind w:firstLine="720"/>
        <w:jc w:val="both"/>
        <w:rPr>
          <w:rFonts w:ascii="Book Antiqua" w:hAnsi="Book Antiqua"/>
          <w:szCs w:val="24"/>
          <w:lang w:val="es-PR"/>
        </w:rPr>
      </w:pPr>
    </w:p>
    <w:p w14:paraId="1AD87A12" w14:textId="1C4F6627" w:rsidR="00762284" w:rsidRPr="00B96127" w:rsidRDefault="00010252" w:rsidP="00CB2108">
      <w:pPr>
        <w:ind w:firstLine="720"/>
        <w:jc w:val="both"/>
        <w:rPr>
          <w:rFonts w:ascii="Book Antiqua" w:hAnsi="Book Antiqua"/>
          <w:szCs w:val="24"/>
          <w:lang w:val="es-PR"/>
        </w:rPr>
      </w:pPr>
      <w:r w:rsidRPr="00010252">
        <w:rPr>
          <w:rFonts w:ascii="Book Antiqua" w:hAnsi="Book Antiqua"/>
          <w:szCs w:val="24"/>
          <w:lang w:val="es-PR"/>
        </w:rPr>
        <w:t>Por tal razón, esta Asamblea Legislativa considera necesario establecer consecuencias claras y uniformes para quienes incumplan con el deber de notificar transferencias de armas de fuego o incurran en conducta negligente en su manejo. Mediante esta Ley se proveen herramientas adicionales para asegurar que únicamente personas que demuestren un alto grado de responsabilidad, autocontrol y cumplimiento con la ley puedan poseer o portar armas de fuego y municiones en Puerto Rico</w:t>
      </w:r>
      <w:r w:rsidR="00B96127" w:rsidRPr="00302199">
        <w:rPr>
          <w:rFonts w:ascii="Book Antiqua" w:hAnsi="Book Antiqua"/>
          <w:szCs w:val="24"/>
          <w:lang w:val="es-PR"/>
        </w:rPr>
        <w:t>.</w:t>
      </w:r>
    </w:p>
    <w:p w14:paraId="71519862" w14:textId="77777777" w:rsidR="00063A02" w:rsidRDefault="00063A02" w:rsidP="00A07D20">
      <w:pPr>
        <w:rPr>
          <w:rFonts w:ascii="Book Antiqua" w:hAnsi="Book Antiqua"/>
          <w:i/>
          <w:szCs w:val="24"/>
          <w:lang w:val="es-ES_tradnl"/>
        </w:rPr>
      </w:pPr>
    </w:p>
    <w:p w14:paraId="67FBC7FF" w14:textId="4583EE16" w:rsidR="00BF7072" w:rsidRPr="009C6BAA" w:rsidRDefault="00BF7072" w:rsidP="00A07D20">
      <w:pPr>
        <w:rPr>
          <w:rFonts w:ascii="Book Antiqua" w:hAnsi="Book Antiqua"/>
          <w:i/>
          <w:szCs w:val="24"/>
          <w:lang w:val="es-ES_tradnl"/>
        </w:rPr>
      </w:pPr>
      <w:r w:rsidRPr="009C6BAA">
        <w:rPr>
          <w:rFonts w:ascii="Book Antiqua" w:hAnsi="Book Antiqua"/>
          <w:i/>
          <w:szCs w:val="24"/>
          <w:lang w:val="es-ES_tradnl"/>
        </w:rPr>
        <w:t>DECRÉTASE POR LA ASAMBLEA LEGISLATIVA DE PUERTO RICO:</w:t>
      </w:r>
    </w:p>
    <w:p w14:paraId="2E2ECD7D" w14:textId="77777777" w:rsidR="00BF7072" w:rsidRPr="009C6BAA" w:rsidRDefault="00BF7072" w:rsidP="00A07D20">
      <w:pPr>
        <w:jc w:val="both"/>
        <w:rPr>
          <w:rFonts w:ascii="Book Antiqua" w:hAnsi="Book Antiqua"/>
          <w:szCs w:val="24"/>
          <w:lang w:val="es-ES_tradnl"/>
        </w:rPr>
      </w:pPr>
    </w:p>
    <w:p w14:paraId="4134612C" w14:textId="77777777" w:rsidR="00A07D20" w:rsidRPr="009C6BAA" w:rsidRDefault="00A07D20" w:rsidP="00A07D20">
      <w:pPr>
        <w:jc w:val="both"/>
        <w:rPr>
          <w:rFonts w:ascii="Book Antiqua" w:hAnsi="Book Antiqua"/>
          <w:szCs w:val="24"/>
          <w:lang w:val="es-ES_tradnl"/>
        </w:rPr>
        <w:sectPr w:rsidR="00A07D20" w:rsidRPr="009C6BAA" w:rsidSect="00A07D20">
          <w:headerReference w:type="default" r:id="rId9"/>
          <w:type w:val="continuous"/>
          <w:pgSz w:w="12240" w:h="15840" w:code="1"/>
          <w:pgMar w:top="1440" w:right="1440" w:bottom="1440" w:left="1440" w:header="720" w:footer="720" w:gutter="0"/>
          <w:cols w:space="720"/>
          <w:titlePg/>
        </w:sectPr>
      </w:pPr>
    </w:p>
    <w:p w14:paraId="1351B8B7" w14:textId="076461A9" w:rsidR="00B56D70" w:rsidRDefault="005F0CA5" w:rsidP="003810C9">
      <w:pPr>
        <w:spacing w:line="480" w:lineRule="auto"/>
        <w:ind w:firstLine="720"/>
        <w:jc w:val="both"/>
        <w:rPr>
          <w:rFonts w:ascii="Book Antiqua" w:hAnsi="Book Antiqua"/>
          <w:szCs w:val="24"/>
          <w:lang w:val="es-PR"/>
        </w:rPr>
      </w:pPr>
      <w:r>
        <w:rPr>
          <w:rFonts w:ascii="Book Antiqua" w:hAnsi="Book Antiqua"/>
          <w:szCs w:val="24"/>
          <w:lang w:val="es-ES_tradnl"/>
        </w:rPr>
        <w:t>Sección</w:t>
      </w:r>
      <w:r w:rsidR="00D06317" w:rsidRPr="009C6BAA">
        <w:rPr>
          <w:rFonts w:ascii="Book Antiqua" w:hAnsi="Book Antiqua"/>
          <w:szCs w:val="24"/>
          <w:lang w:val="es-ES_tradnl"/>
        </w:rPr>
        <w:t xml:space="preserve"> 1.-</w:t>
      </w:r>
      <w:r w:rsidR="00027C09" w:rsidRPr="00027C09">
        <w:rPr>
          <w:rFonts w:ascii="TimesNewRomanPS-BoldMT" w:hAnsi="TimesNewRomanPS-BoldMT"/>
          <w:b/>
          <w:bCs/>
          <w:color w:val="222222"/>
          <w:sz w:val="38"/>
          <w:szCs w:val="38"/>
          <w:shd w:val="clear" w:color="auto" w:fill="FFFFFF"/>
          <w:lang w:val="es-PR"/>
        </w:rPr>
        <w:t xml:space="preserve"> </w:t>
      </w:r>
      <w:r w:rsidR="00027C09" w:rsidRPr="00027C09">
        <w:rPr>
          <w:rFonts w:ascii="Book Antiqua" w:hAnsi="Book Antiqua"/>
          <w:szCs w:val="24"/>
          <w:lang w:val="es-PR"/>
        </w:rPr>
        <w:t>Se enmienda el Artículo 2.09 de la Ley 168-2019, según enmendada, conocida como “Ley de Armas de Puerto Rico”, para que lea como sigue:</w:t>
      </w:r>
    </w:p>
    <w:p w14:paraId="3B04D4D4" w14:textId="572C4FB4" w:rsidR="007F549C" w:rsidRDefault="001108DD" w:rsidP="00970A77">
      <w:pPr>
        <w:spacing w:line="480" w:lineRule="auto"/>
        <w:ind w:firstLine="720"/>
        <w:jc w:val="both"/>
        <w:rPr>
          <w:rFonts w:ascii="Book Antiqua" w:hAnsi="Book Antiqua"/>
          <w:szCs w:val="24"/>
          <w:lang w:val="es-PR"/>
        </w:rPr>
      </w:pPr>
      <w:r>
        <w:rPr>
          <w:rFonts w:ascii="Book Antiqua" w:hAnsi="Book Antiqua"/>
          <w:szCs w:val="24"/>
          <w:lang w:val="es-PR"/>
        </w:rPr>
        <w:t>“</w:t>
      </w:r>
      <w:r w:rsidR="007F549C">
        <w:rPr>
          <w:rFonts w:ascii="Book Antiqua" w:hAnsi="Book Antiqua"/>
          <w:szCs w:val="24"/>
          <w:lang w:val="es-PR"/>
        </w:rPr>
        <w:t>Artículo 2.09.-Fundamentos para Rehusar Expedir Licencias.</w:t>
      </w:r>
    </w:p>
    <w:p w14:paraId="3203AD44" w14:textId="0ED44C39" w:rsidR="007F549C" w:rsidRDefault="00CE5819" w:rsidP="00970A77">
      <w:pPr>
        <w:spacing w:line="480" w:lineRule="auto"/>
        <w:ind w:firstLine="720"/>
        <w:jc w:val="both"/>
        <w:rPr>
          <w:rFonts w:ascii="Book Antiqua" w:hAnsi="Book Antiqua"/>
          <w:szCs w:val="24"/>
          <w:lang w:val="es-PR"/>
        </w:rPr>
      </w:pPr>
      <w:r w:rsidRPr="00CE5819">
        <w:rPr>
          <w:rFonts w:ascii="Book Antiqua" w:hAnsi="Book Antiqua"/>
          <w:szCs w:val="24"/>
          <w:lang w:val="es-PR"/>
        </w:rPr>
        <w:t xml:space="preserve">La Oficina de Licencias de Armas no expedirá licencia de armas, o de haberse expedido se revocará, la licencia de armas de cualquier persona que haya sido convicta, </w:t>
      </w:r>
      <w:r w:rsidRPr="00CE5819">
        <w:rPr>
          <w:rFonts w:ascii="Book Antiqua" w:hAnsi="Book Antiqua"/>
          <w:szCs w:val="24"/>
          <w:lang w:val="es-PR"/>
        </w:rPr>
        <w:lastRenderedPageBreak/>
        <w:t xml:space="preserve">en Puerto Rico, en cualquier otra jurisdicción estadounidense de cualquier delito grave o su tentativa, por delito menos grave que conlleve violencia, por conducta constitutiva de violencia doméstica, según tipificada en la Ley Núm. 54 de 15 de agosto de 1989, según enmendada, o conducta constitutiva de acecho, según tipificada en la Ley 284-1999, según enmendada, ni por conducta constitutiva de maltrato de menores, según tipificada en la </w:t>
      </w:r>
      <w:r w:rsidR="002669CB" w:rsidRPr="00A514DA">
        <w:rPr>
          <w:rFonts w:ascii="Book Antiqua" w:hAnsi="Book Antiqua"/>
          <w:b/>
          <w:bCs/>
          <w:szCs w:val="24"/>
          <w:lang w:val="es-PR"/>
        </w:rPr>
        <w:t>[</w:t>
      </w:r>
      <w:r w:rsidRPr="00A514DA">
        <w:rPr>
          <w:rFonts w:ascii="Book Antiqua" w:hAnsi="Book Antiqua"/>
          <w:b/>
          <w:bCs/>
          <w:szCs w:val="24"/>
          <w:lang w:val="es-PR"/>
        </w:rPr>
        <w:t>Ley 246-2011, según enmendada, “Ley para la Seguridad, Bienestar y Protección de Menores”</w:t>
      </w:r>
      <w:r w:rsidR="002669CB" w:rsidRPr="00A514DA">
        <w:rPr>
          <w:rFonts w:ascii="Book Antiqua" w:hAnsi="Book Antiqua"/>
          <w:b/>
          <w:bCs/>
          <w:szCs w:val="24"/>
          <w:lang w:val="es-PR"/>
        </w:rPr>
        <w:t>]</w:t>
      </w:r>
      <w:r w:rsidRPr="00CE5819">
        <w:rPr>
          <w:rFonts w:ascii="Book Antiqua" w:hAnsi="Book Antiqua"/>
          <w:szCs w:val="24"/>
          <w:lang w:val="es-PR"/>
        </w:rPr>
        <w:t xml:space="preserve"> </w:t>
      </w:r>
      <w:r w:rsidRPr="00A2640E">
        <w:rPr>
          <w:rFonts w:ascii="Book Antiqua" w:hAnsi="Book Antiqua"/>
          <w:i/>
          <w:iCs/>
          <w:szCs w:val="24"/>
          <w:lang w:val="es-PR"/>
        </w:rPr>
        <w:t>Ley 57-2023</w:t>
      </w:r>
      <w:r w:rsidR="00A2640E">
        <w:rPr>
          <w:rFonts w:ascii="Book Antiqua" w:hAnsi="Book Antiqua"/>
          <w:i/>
          <w:iCs/>
          <w:szCs w:val="24"/>
          <w:lang w:val="es-PR"/>
        </w:rPr>
        <w:t>, según enmendada, conocida como “</w:t>
      </w:r>
      <w:r w:rsidR="00DE6E0B" w:rsidRPr="00DE6E0B">
        <w:rPr>
          <w:rFonts w:ascii="Book Antiqua" w:hAnsi="Book Antiqua"/>
          <w:i/>
          <w:iCs/>
          <w:szCs w:val="24"/>
          <w:lang w:val="es-PR"/>
        </w:rPr>
        <w:t>Ley para la Prevención del Maltrato, Preservación de la Unidad Familiar y para la Seguridad, Bienestar y Protección de los Menores</w:t>
      </w:r>
      <w:r w:rsidR="00DE6E0B">
        <w:rPr>
          <w:rFonts w:ascii="Book Antiqua" w:hAnsi="Book Antiqua"/>
          <w:i/>
          <w:iCs/>
          <w:szCs w:val="24"/>
          <w:lang w:val="es-PR"/>
        </w:rPr>
        <w:t>”</w:t>
      </w:r>
      <w:r w:rsidRPr="00CE5819">
        <w:rPr>
          <w:rFonts w:ascii="Book Antiqua" w:hAnsi="Book Antiqua"/>
          <w:szCs w:val="24"/>
          <w:lang w:val="es-PR"/>
        </w:rPr>
        <w:t xml:space="preserve">. En aquellos casos donde la licencia de armas sea revocada, el </w:t>
      </w:r>
      <w:r w:rsidR="00C07216" w:rsidRPr="00C07216">
        <w:rPr>
          <w:rFonts w:ascii="Book Antiqua" w:hAnsi="Book Antiqua"/>
          <w:b/>
          <w:bCs/>
          <w:szCs w:val="24"/>
          <w:lang w:val="es-PR"/>
        </w:rPr>
        <w:t>[</w:t>
      </w:r>
      <w:r w:rsidRPr="00C07216">
        <w:rPr>
          <w:rFonts w:ascii="Book Antiqua" w:hAnsi="Book Antiqua"/>
          <w:b/>
          <w:bCs/>
          <w:szCs w:val="24"/>
          <w:lang w:val="es-PR"/>
        </w:rPr>
        <w:t>Comisionado</w:t>
      </w:r>
      <w:r w:rsidR="00C07216">
        <w:rPr>
          <w:rFonts w:ascii="Book Antiqua" w:hAnsi="Book Antiqua"/>
          <w:b/>
          <w:bCs/>
          <w:szCs w:val="24"/>
          <w:lang w:val="es-PR"/>
        </w:rPr>
        <w:t xml:space="preserve">] </w:t>
      </w:r>
      <w:r w:rsidR="00C07216" w:rsidRPr="00C07216">
        <w:rPr>
          <w:rFonts w:ascii="Book Antiqua" w:hAnsi="Book Antiqua"/>
          <w:i/>
          <w:iCs/>
          <w:szCs w:val="24"/>
          <w:lang w:val="es-PR"/>
        </w:rPr>
        <w:t>Superintendente</w:t>
      </w:r>
      <w:r w:rsidRPr="00CE5819">
        <w:rPr>
          <w:rFonts w:ascii="Book Antiqua" w:hAnsi="Book Antiqua"/>
          <w:szCs w:val="24"/>
          <w:lang w:val="es-PR"/>
        </w:rPr>
        <w:t xml:space="preserve"> procederá a ocupar las armas de fuego y/o municiones que posea la persona con licencia de armas. El propietario de las armas de fuego y/o municiones podrá disponer de sus armas de fuego, siempre y cuando no hayan sido usadas en la comisión de un delito, mediante venta, donación, traspaso o cesión a cualquier persona con licencia de armas o de armero vigente. Una persona con licencia de armas podrá voluntariamente consignar las armas de fuego y/o municiones que tenga en su posesión, una vez advenga en conocimiento de que existe una investigación, acusación u orden de protección contra su persona. Tampoco se expedirá licencia alguna a una persona declarada incapaz mental, ebrio habitual o adicto al uso de sustancias controladas por un tribunal con jurisdicción ni a persona alguna que haya sido separada bajo condiciones deshonrosas de las Fuerzas Armadas de Estados Unidos, ni a ninguna persona que haya sido convicta por alguna violación a las disposiciones de esta Ley o de las anteriores Leyes </w:t>
      </w:r>
      <w:r w:rsidRPr="00CE5819">
        <w:rPr>
          <w:rFonts w:ascii="Book Antiqua" w:hAnsi="Book Antiqua"/>
          <w:szCs w:val="24"/>
          <w:lang w:val="es-PR"/>
        </w:rPr>
        <w:lastRenderedPageBreak/>
        <w:t>de Armas; o se revocará la licencia expedida si la persona adviniera cualquiera de estas circunstancias.</w:t>
      </w:r>
    </w:p>
    <w:p w14:paraId="404B8012" w14:textId="77777777" w:rsidR="00F32593" w:rsidRDefault="005456B8" w:rsidP="00063A02">
      <w:pPr>
        <w:spacing w:line="480" w:lineRule="auto"/>
        <w:ind w:firstLine="720"/>
        <w:jc w:val="both"/>
        <w:rPr>
          <w:rFonts w:ascii="Book Antiqua" w:hAnsi="Book Antiqua"/>
          <w:i/>
          <w:iCs/>
          <w:szCs w:val="24"/>
          <w:lang w:val="es-PR"/>
        </w:rPr>
      </w:pPr>
      <w:r>
        <w:rPr>
          <w:rFonts w:ascii="Book Antiqua" w:hAnsi="Book Antiqua"/>
          <w:i/>
          <w:iCs/>
          <w:szCs w:val="24"/>
          <w:lang w:val="es-PR"/>
        </w:rPr>
        <w:t>El propietario de las armas de fuego y/o municiones vendrá obligado a notificar a la Policía de Puerto Rico toda venta</w:t>
      </w:r>
      <w:r w:rsidR="008F0BB3" w:rsidRPr="008F0BB3">
        <w:rPr>
          <w:rFonts w:ascii="Book Antiqua" w:hAnsi="Book Antiqua"/>
          <w:i/>
          <w:iCs/>
          <w:szCs w:val="24"/>
          <w:lang w:val="es-PR"/>
        </w:rPr>
        <w:t>, donación, traspaso o cesión, según requerido por esta Ley o por reglamentación aplicable</w:t>
      </w:r>
      <w:r w:rsidR="008F0BB3">
        <w:rPr>
          <w:rFonts w:ascii="Book Antiqua" w:hAnsi="Book Antiqua"/>
          <w:i/>
          <w:iCs/>
          <w:szCs w:val="24"/>
          <w:lang w:val="es-PR"/>
        </w:rPr>
        <w:t>.</w:t>
      </w:r>
      <w:r w:rsidR="00612409">
        <w:rPr>
          <w:rFonts w:ascii="Book Antiqua" w:hAnsi="Book Antiqua"/>
          <w:i/>
          <w:iCs/>
          <w:szCs w:val="24"/>
          <w:lang w:val="es-PR"/>
        </w:rPr>
        <w:t xml:space="preserve"> Será fundamento para rehusar expedir una licencia de armas o revocar una licencia vigente</w:t>
      </w:r>
      <w:r w:rsidR="001A7442">
        <w:rPr>
          <w:rFonts w:ascii="Book Antiqua" w:hAnsi="Book Antiqua"/>
          <w:i/>
          <w:iCs/>
          <w:szCs w:val="24"/>
          <w:lang w:val="es-PR"/>
        </w:rPr>
        <w:t xml:space="preserve"> en aquellos casos en que no se cumpla con la notificación de toda venta</w:t>
      </w:r>
      <w:r w:rsidR="001A7442" w:rsidRPr="008F0BB3">
        <w:rPr>
          <w:rFonts w:ascii="Book Antiqua" w:hAnsi="Book Antiqua"/>
          <w:i/>
          <w:iCs/>
          <w:szCs w:val="24"/>
          <w:lang w:val="es-PR"/>
        </w:rPr>
        <w:t>, donación, traspaso o cesión</w:t>
      </w:r>
      <w:r w:rsidR="001A7442">
        <w:rPr>
          <w:rFonts w:ascii="Book Antiqua" w:hAnsi="Book Antiqua"/>
          <w:i/>
          <w:iCs/>
          <w:szCs w:val="24"/>
          <w:lang w:val="es-PR"/>
        </w:rPr>
        <w:t xml:space="preserve"> de armas de fuego y/o municiones.</w:t>
      </w:r>
      <w:r w:rsidR="008C745B">
        <w:rPr>
          <w:rFonts w:ascii="Book Antiqua" w:hAnsi="Book Antiqua"/>
          <w:i/>
          <w:iCs/>
          <w:szCs w:val="24"/>
          <w:lang w:val="es-PR"/>
        </w:rPr>
        <w:t xml:space="preserve"> El incumplimiento con este </w:t>
      </w:r>
      <w:r w:rsidR="001108DD">
        <w:rPr>
          <w:rFonts w:ascii="Book Antiqua" w:hAnsi="Book Antiqua"/>
          <w:i/>
          <w:iCs/>
          <w:szCs w:val="24"/>
          <w:lang w:val="es-PR"/>
        </w:rPr>
        <w:t>requisito</w:t>
      </w:r>
      <w:r w:rsidR="008C745B">
        <w:rPr>
          <w:rFonts w:ascii="Book Antiqua" w:hAnsi="Book Antiqua"/>
          <w:i/>
          <w:iCs/>
          <w:szCs w:val="24"/>
          <w:lang w:val="es-PR"/>
        </w:rPr>
        <w:t xml:space="preserve"> será considerado como </w:t>
      </w:r>
      <w:r w:rsidR="00020ED5">
        <w:rPr>
          <w:rFonts w:ascii="Book Antiqua" w:hAnsi="Book Antiqua"/>
          <w:i/>
          <w:iCs/>
          <w:szCs w:val="24"/>
          <w:lang w:val="es-PR"/>
        </w:rPr>
        <w:t>una conducta que refleja incapacidad, negligencia o falta de confiabilidad para poseer o portar armas de fuego o municiones conforme a las disposiciones de esta Le</w:t>
      </w:r>
      <w:r w:rsidR="001108DD">
        <w:rPr>
          <w:rFonts w:ascii="Book Antiqua" w:hAnsi="Book Antiqua"/>
          <w:i/>
          <w:iCs/>
          <w:szCs w:val="24"/>
          <w:lang w:val="es-PR"/>
        </w:rPr>
        <w:t>y.</w:t>
      </w:r>
    </w:p>
    <w:p w14:paraId="718EB154" w14:textId="77777777" w:rsidR="000C5558" w:rsidRDefault="00665E10" w:rsidP="00063A02">
      <w:pPr>
        <w:spacing w:line="480" w:lineRule="auto"/>
        <w:ind w:firstLine="720"/>
        <w:jc w:val="both"/>
        <w:rPr>
          <w:rFonts w:ascii="Book Antiqua" w:hAnsi="Book Antiqua"/>
          <w:i/>
          <w:iCs/>
          <w:szCs w:val="24"/>
          <w:lang w:val="es-PR"/>
        </w:rPr>
      </w:pPr>
      <w:r>
        <w:rPr>
          <w:rFonts w:ascii="Book Antiqua" w:hAnsi="Book Antiqua"/>
          <w:i/>
          <w:iCs/>
          <w:szCs w:val="24"/>
          <w:lang w:val="es-PR"/>
        </w:rPr>
        <w:t xml:space="preserve">Toda persona que </w:t>
      </w:r>
      <w:proofErr w:type="gramStart"/>
      <w:r w:rsidR="002D2855">
        <w:rPr>
          <w:rFonts w:ascii="Book Antiqua" w:hAnsi="Book Antiqua"/>
          <w:i/>
          <w:iCs/>
          <w:szCs w:val="24"/>
          <w:lang w:val="es-PR"/>
        </w:rPr>
        <w:t>venda,</w:t>
      </w:r>
      <w:proofErr w:type="gramEnd"/>
      <w:r w:rsidR="0024488A">
        <w:rPr>
          <w:rFonts w:ascii="Book Antiqua" w:hAnsi="Book Antiqua"/>
          <w:i/>
          <w:iCs/>
          <w:szCs w:val="24"/>
          <w:lang w:val="es-PR"/>
        </w:rPr>
        <w:t xml:space="preserve"> done, traspase o ceda cualquier arma de fuego o municiones </w:t>
      </w:r>
      <w:r w:rsidR="0028471E">
        <w:rPr>
          <w:rFonts w:ascii="Book Antiqua" w:hAnsi="Book Antiqua"/>
          <w:i/>
          <w:iCs/>
          <w:szCs w:val="24"/>
          <w:lang w:val="es-PR"/>
        </w:rPr>
        <w:t xml:space="preserve">tendrá la </w:t>
      </w:r>
      <w:r w:rsidR="00475936">
        <w:rPr>
          <w:rFonts w:ascii="Book Antiqua" w:hAnsi="Book Antiqua"/>
          <w:i/>
          <w:iCs/>
          <w:szCs w:val="24"/>
          <w:lang w:val="es-PR"/>
        </w:rPr>
        <w:t>obligación</w:t>
      </w:r>
      <w:r w:rsidR="0028471E">
        <w:rPr>
          <w:rFonts w:ascii="Book Antiqua" w:hAnsi="Book Antiqua"/>
          <w:i/>
          <w:iCs/>
          <w:szCs w:val="24"/>
          <w:lang w:val="es-PR"/>
        </w:rPr>
        <w:t xml:space="preserve"> de</w:t>
      </w:r>
      <w:r w:rsidR="0024488A">
        <w:rPr>
          <w:rFonts w:ascii="Book Antiqua" w:hAnsi="Book Antiqua"/>
          <w:i/>
          <w:iCs/>
          <w:szCs w:val="24"/>
          <w:lang w:val="es-PR"/>
        </w:rPr>
        <w:t xml:space="preserve"> notificar</w:t>
      </w:r>
      <w:r w:rsidR="00475936">
        <w:rPr>
          <w:rFonts w:ascii="Book Antiqua" w:hAnsi="Book Antiqua"/>
          <w:i/>
          <w:iCs/>
          <w:szCs w:val="24"/>
          <w:lang w:val="es-PR"/>
        </w:rPr>
        <w:t>lo</w:t>
      </w:r>
      <w:r w:rsidR="00F32593">
        <w:rPr>
          <w:rFonts w:ascii="Book Antiqua" w:hAnsi="Book Antiqua"/>
          <w:i/>
          <w:iCs/>
          <w:szCs w:val="24"/>
          <w:lang w:val="es-PR"/>
        </w:rPr>
        <w:t xml:space="preserve"> a la Policía de Puerto Rico</w:t>
      </w:r>
      <w:r w:rsidR="00F9444E">
        <w:rPr>
          <w:rFonts w:ascii="Book Antiqua" w:hAnsi="Book Antiqua"/>
          <w:i/>
          <w:iCs/>
          <w:szCs w:val="24"/>
          <w:lang w:val="es-PR"/>
        </w:rPr>
        <w:t xml:space="preserve"> dentro de un término de cuarenta y ocho (48) horas</w:t>
      </w:r>
      <w:r w:rsidR="003A6093">
        <w:rPr>
          <w:rFonts w:ascii="Book Antiqua" w:hAnsi="Book Antiqua"/>
          <w:i/>
          <w:iCs/>
          <w:szCs w:val="24"/>
          <w:lang w:val="es-PR"/>
        </w:rPr>
        <w:t xml:space="preserve"> siguientes a dicha transacción</w:t>
      </w:r>
      <w:r w:rsidR="002916F6">
        <w:rPr>
          <w:rFonts w:ascii="Book Antiqua" w:hAnsi="Book Antiqua"/>
          <w:i/>
          <w:iCs/>
          <w:szCs w:val="24"/>
          <w:lang w:val="es-PR"/>
        </w:rPr>
        <w:t xml:space="preserve">; incluyendo </w:t>
      </w:r>
      <w:r w:rsidR="002916F6" w:rsidRPr="002916F6">
        <w:rPr>
          <w:rFonts w:ascii="Book Antiqua" w:hAnsi="Book Antiqua"/>
          <w:i/>
          <w:iCs/>
          <w:szCs w:val="24"/>
          <w:lang w:val="es-PR"/>
        </w:rPr>
        <w:t>el nombre, dirección y número de licencia de</w:t>
      </w:r>
      <w:r w:rsidR="00AE37F5">
        <w:rPr>
          <w:rFonts w:ascii="Book Antiqua" w:hAnsi="Book Antiqua"/>
          <w:i/>
          <w:iCs/>
          <w:szCs w:val="24"/>
          <w:lang w:val="es-PR"/>
        </w:rPr>
        <w:t xml:space="preserve"> </w:t>
      </w:r>
      <w:r w:rsidR="002916F6" w:rsidRPr="002916F6">
        <w:rPr>
          <w:rFonts w:ascii="Book Antiqua" w:hAnsi="Book Antiqua"/>
          <w:i/>
          <w:iCs/>
          <w:szCs w:val="24"/>
          <w:lang w:val="es-PR"/>
        </w:rPr>
        <w:t>l</w:t>
      </w:r>
      <w:r w:rsidR="00AE37F5">
        <w:rPr>
          <w:rFonts w:ascii="Book Antiqua" w:hAnsi="Book Antiqua"/>
          <w:i/>
          <w:iCs/>
          <w:szCs w:val="24"/>
          <w:lang w:val="es-PR"/>
        </w:rPr>
        <w:t>a persona que recibió el arma de fuego y/o municiones</w:t>
      </w:r>
      <w:r w:rsidR="002916F6" w:rsidRPr="002916F6">
        <w:rPr>
          <w:rFonts w:ascii="Book Antiqua" w:hAnsi="Book Antiqua"/>
          <w:i/>
          <w:iCs/>
          <w:szCs w:val="24"/>
          <w:lang w:val="es-PR"/>
        </w:rPr>
        <w:t xml:space="preserve">, el tipo de arma con una descripción de </w:t>
      </w:r>
      <w:r w:rsidR="008F3194" w:rsidRPr="002916F6">
        <w:rPr>
          <w:rFonts w:ascii="Book Antiqua" w:hAnsi="Book Antiqua"/>
          <w:i/>
          <w:iCs/>
          <w:szCs w:val="24"/>
          <w:lang w:val="es-PR"/>
        </w:rPr>
        <w:t>esta</w:t>
      </w:r>
      <w:r w:rsidR="002916F6" w:rsidRPr="002916F6">
        <w:rPr>
          <w:rFonts w:ascii="Book Antiqua" w:hAnsi="Book Antiqua"/>
          <w:i/>
          <w:iCs/>
          <w:szCs w:val="24"/>
          <w:lang w:val="es-PR"/>
        </w:rPr>
        <w:t>, incluyendo el número de serie</w:t>
      </w:r>
      <w:r w:rsidR="00AE37F5">
        <w:rPr>
          <w:rFonts w:ascii="Book Antiqua" w:hAnsi="Book Antiqua"/>
          <w:i/>
          <w:iCs/>
          <w:szCs w:val="24"/>
          <w:lang w:val="es-PR"/>
        </w:rPr>
        <w:t>, tipo de municiones</w:t>
      </w:r>
      <w:r w:rsidR="002916F6" w:rsidRPr="002916F6">
        <w:rPr>
          <w:rFonts w:ascii="Book Antiqua" w:hAnsi="Book Antiqua"/>
          <w:i/>
          <w:iCs/>
          <w:szCs w:val="24"/>
          <w:lang w:val="es-PR"/>
        </w:rPr>
        <w:t xml:space="preserve"> y la dirección donde se encuentra el arma y/o municiones</w:t>
      </w:r>
      <w:r w:rsidR="003A6093">
        <w:rPr>
          <w:rFonts w:ascii="Book Antiqua" w:hAnsi="Book Antiqua"/>
          <w:i/>
          <w:iCs/>
          <w:szCs w:val="24"/>
          <w:lang w:val="es-PR"/>
        </w:rPr>
        <w:t>.</w:t>
      </w:r>
      <w:r w:rsidR="002D2855">
        <w:rPr>
          <w:rFonts w:ascii="Book Antiqua" w:hAnsi="Book Antiqua"/>
          <w:i/>
          <w:iCs/>
          <w:szCs w:val="24"/>
          <w:lang w:val="es-PR"/>
        </w:rPr>
        <w:t xml:space="preserve"> De no cumplir con dicha obligación,</w:t>
      </w:r>
      <w:r w:rsidR="00FF342C">
        <w:rPr>
          <w:rFonts w:ascii="Book Antiqua" w:hAnsi="Book Antiqua"/>
          <w:i/>
          <w:iCs/>
          <w:szCs w:val="24"/>
          <w:lang w:val="es-PR"/>
        </w:rPr>
        <w:t xml:space="preserve"> además de </w:t>
      </w:r>
      <w:r w:rsidR="00E639DB">
        <w:rPr>
          <w:rFonts w:ascii="Book Antiqua" w:hAnsi="Book Antiqua"/>
          <w:i/>
          <w:iCs/>
          <w:szCs w:val="24"/>
          <w:lang w:val="es-PR"/>
        </w:rPr>
        <w:t xml:space="preserve">las consecuencias administrativas antes mencionadas, </w:t>
      </w:r>
      <w:r w:rsidR="00713F78">
        <w:rPr>
          <w:rFonts w:ascii="Book Antiqua" w:hAnsi="Book Antiqua"/>
          <w:i/>
          <w:iCs/>
          <w:szCs w:val="24"/>
          <w:lang w:val="es-PR"/>
        </w:rPr>
        <w:t>será culpable de delito menos grave y convicta que</w:t>
      </w:r>
      <w:r w:rsidR="00F01F99">
        <w:rPr>
          <w:rFonts w:ascii="Book Antiqua" w:hAnsi="Book Antiqua"/>
          <w:i/>
          <w:iCs/>
          <w:szCs w:val="24"/>
          <w:lang w:val="es-PR"/>
        </w:rPr>
        <w:t xml:space="preserve"> fuere, será sancionada con pena de multa no menor de quinientos</w:t>
      </w:r>
      <w:r w:rsidR="00A1239C" w:rsidRPr="00A1239C">
        <w:rPr>
          <w:lang w:val="es-PR"/>
        </w:rPr>
        <w:t xml:space="preserve"> </w:t>
      </w:r>
      <w:r w:rsidR="00A1239C" w:rsidRPr="00A1239C">
        <w:rPr>
          <w:rFonts w:ascii="Book Antiqua" w:hAnsi="Book Antiqua"/>
          <w:i/>
          <w:iCs/>
          <w:szCs w:val="24"/>
          <w:lang w:val="es-PR"/>
        </w:rPr>
        <w:t>(500) dólares ni mayor de mil (1,000) dólares, por cada arma de fuego o cada quinientas (500) municiones, o fracción de quinientas (500) municiones, dejadas de informar</w:t>
      </w:r>
      <w:r w:rsidR="00A1239C">
        <w:rPr>
          <w:rFonts w:ascii="Book Antiqua" w:hAnsi="Book Antiqua"/>
          <w:i/>
          <w:iCs/>
          <w:szCs w:val="24"/>
          <w:lang w:val="es-PR"/>
        </w:rPr>
        <w:t>.</w:t>
      </w:r>
    </w:p>
    <w:p w14:paraId="1F4FB39C" w14:textId="479511BE" w:rsidR="006A2E60" w:rsidRPr="001108DD" w:rsidRDefault="00063A02" w:rsidP="00063A02">
      <w:pPr>
        <w:spacing w:line="480" w:lineRule="auto"/>
        <w:ind w:firstLine="720"/>
        <w:jc w:val="both"/>
        <w:rPr>
          <w:rFonts w:ascii="Book Antiqua" w:hAnsi="Book Antiqua"/>
          <w:szCs w:val="24"/>
          <w:lang w:val="es-PR"/>
        </w:rPr>
      </w:pPr>
      <w:r>
        <w:rPr>
          <w:rFonts w:ascii="Book Antiqua" w:hAnsi="Book Antiqua"/>
          <w:i/>
          <w:iCs/>
          <w:szCs w:val="24"/>
          <w:lang w:val="es-PR"/>
        </w:rPr>
        <w:t>Por otra parte</w:t>
      </w:r>
      <w:r w:rsidR="00317BC5">
        <w:rPr>
          <w:rFonts w:ascii="Book Antiqua" w:hAnsi="Book Antiqua"/>
          <w:i/>
          <w:iCs/>
          <w:szCs w:val="24"/>
          <w:lang w:val="es-PR"/>
        </w:rPr>
        <w:t xml:space="preserve">, la Oficina de Licencia de Armas </w:t>
      </w:r>
      <w:r w:rsidR="00DA65AC" w:rsidRPr="00DA65AC">
        <w:rPr>
          <w:rFonts w:ascii="Book Antiqua" w:hAnsi="Book Antiqua"/>
          <w:i/>
          <w:iCs/>
          <w:szCs w:val="24"/>
          <w:lang w:val="es-PR"/>
        </w:rPr>
        <w:t>no expedirá licencia de armas, o de haberse expedido se revocará, la licencia de armas de cualquier persona que haya</w:t>
      </w:r>
      <w:r w:rsidR="00DA65AC">
        <w:rPr>
          <w:rFonts w:ascii="Book Antiqua" w:hAnsi="Book Antiqua"/>
          <w:i/>
          <w:iCs/>
          <w:szCs w:val="24"/>
          <w:lang w:val="es-PR"/>
        </w:rPr>
        <w:t xml:space="preserve"> sido negligente</w:t>
      </w:r>
      <w:r w:rsidR="00BF25FF">
        <w:rPr>
          <w:rFonts w:ascii="Book Antiqua" w:hAnsi="Book Antiqua"/>
          <w:i/>
          <w:iCs/>
          <w:szCs w:val="24"/>
          <w:lang w:val="es-PR"/>
        </w:rPr>
        <w:t xml:space="preserve"> </w:t>
      </w:r>
      <w:r w:rsidR="00BF25FF" w:rsidRPr="00BF25FF">
        <w:rPr>
          <w:rFonts w:ascii="Book Antiqua" w:hAnsi="Book Antiqua"/>
          <w:i/>
          <w:iCs/>
          <w:szCs w:val="24"/>
          <w:lang w:val="es-PR"/>
        </w:rPr>
        <w:t xml:space="preserve">en el </w:t>
      </w:r>
      <w:r w:rsidR="00BF25FF" w:rsidRPr="00BF25FF">
        <w:rPr>
          <w:rFonts w:ascii="Book Antiqua" w:hAnsi="Book Antiqua"/>
          <w:i/>
          <w:iCs/>
          <w:szCs w:val="24"/>
          <w:lang w:val="es-PR"/>
        </w:rPr>
        <w:lastRenderedPageBreak/>
        <w:t xml:space="preserve">manejo de un arma de fuego </w:t>
      </w:r>
      <w:r w:rsidR="005B350B">
        <w:rPr>
          <w:rFonts w:ascii="Book Antiqua" w:hAnsi="Book Antiqua"/>
          <w:i/>
          <w:iCs/>
          <w:szCs w:val="24"/>
          <w:lang w:val="es-PR"/>
        </w:rPr>
        <w:t>y</w:t>
      </w:r>
      <w:r w:rsidR="002B6E23">
        <w:rPr>
          <w:rFonts w:ascii="Book Antiqua" w:hAnsi="Book Antiqua"/>
          <w:i/>
          <w:iCs/>
          <w:szCs w:val="24"/>
          <w:lang w:val="es-PR"/>
        </w:rPr>
        <w:t xml:space="preserve"> resulte</w:t>
      </w:r>
      <w:r w:rsidR="005B350B">
        <w:rPr>
          <w:rFonts w:ascii="Book Antiqua" w:hAnsi="Book Antiqua"/>
          <w:i/>
          <w:iCs/>
          <w:szCs w:val="24"/>
          <w:lang w:val="es-PR"/>
        </w:rPr>
        <w:t xml:space="preserve"> convicta por</w:t>
      </w:r>
      <w:r w:rsidR="00F03567">
        <w:rPr>
          <w:rFonts w:ascii="Book Antiqua" w:hAnsi="Book Antiqua"/>
          <w:i/>
          <w:iCs/>
          <w:szCs w:val="24"/>
          <w:lang w:val="es-PR"/>
        </w:rPr>
        <w:t xml:space="preserve"> disparar o</w:t>
      </w:r>
      <w:r w:rsidR="00BF25FF" w:rsidRPr="00BF25FF">
        <w:rPr>
          <w:rFonts w:ascii="Book Antiqua" w:hAnsi="Book Antiqua"/>
          <w:i/>
          <w:iCs/>
          <w:szCs w:val="24"/>
          <w:lang w:val="es-PR"/>
        </w:rPr>
        <w:t xml:space="preserve"> apuntar </w:t>
      </w:r>
      <w:r w:rsidR="00F03567">
        <w:rPr>
          <w:rFonts w:ascii="Book Antiqua" w:hAnsi="Book Antiqua"/>
          <w:i/>
          <w:iCs/>
          <w:szCs w:val="24"/>
          <w:lang w:val="es-PR"/>
        </w:rPr>
        <w:t>armas de fuego</w:t>
      </w:r>
      <w:r w:rsidR="004C7BD5">
        <w:rPr>
          <w:rFonts w:ascii="Book Antiqua" w:hAnsi="Book Antiqua"/>
          <w:i/>
          <w:iCs/>
          <w:szCs w:val="24"/>
          <w:lang w:val="es-PR"/>
        </w:rPr>
        <w:t xml:space="preserve"> en contravención a las disposiciones de esta Ley</w:t>
      </w:r>
      <w:r w:rsidR="00814FD7">
        <w:rPr>
          <w:rFonts w:ascii="Book Antiqua" w:hAnsi="Book Antiqua"/>
          <w:i/>
          <w:iCs/>
          <w:szCs w:val="24"/>
          <w:lang w:val="es-PR"/>
        </w:rPr>
        <w:t>.</w:t>
      </w:r>
      <w:r w:rsidR="001108DD">
        <w:rPr>
          <w:rFonts w:ascii="Book Antiqua" w:hAnsi="Book Antiqua"/>
          <w:szCs w:val="24"/>
          <w:lang w:val="es-PR"/>
        </w:rPr>
        <w:t>”</w:t>
      </w:r>
    </w:p>
    <w:p w14:paraId="2C19A9B0" w14:textId="64732F03" w:rsidR="00633BB0" w:rsidRDefault="005F0CA5" w:rsidP="00063A02">
      <w:pPr>
        <w:spacing w:line="480" w:lineRule="auto"/>
        <w:ind w:firstLine="720"/>
        <w:jc w:val="both"/>
        <w:rPr>
          <w:rFonts w:ascii="Book Antiqua" w:hAnsi="Book Antiqua"/>
          <w:lang w:val="es-PR"/>
        </w:rPr>
      </w:pPr>
      <w:r>
        <w:rPr>
          <w:rFonts w:ascii="Book Antiqua" w:hAnsi="Book Antiqua"/>
          <w:szCs w:val="24"/>
          <w:lang w:val="es-ES_tradnl"/>
        </w:rPr>
        <w:t>Sección</w:t>
      </w:r>
      <w:r w:rsidR="004000D4" w:rsidRPr="009C6BAA">
        <w:rPr>
          <w:rFonts w:ascii="Book Antiqua" w:hAnsi="Book Antiqua"/>
          <w:szCs w:val="24"/>
          <w:lang w:val="es-ES_tradnl"/>
        </w:rPr>
        <w:t xml:space="preserve"> 2.- </w:t>
      </w:r>
      <w:r w:rsidR="008C17DD">
        <w:rPr>
          <w:rFonts w:ascii="Book Antiqua" w:hAnsi="Book Antiqua"/>
          <w:lang w:val="es-PR"/>
        </w:rPr>
        <w:t>Reglamentación.</w:t>
      </w:r>
    </w:p>
    <w:p w14:paraId="7DF8E5CB" w14:textId="00D30AED" w:rsidR="008C17DD" w:rsidRPr="008C17DD" w:rsidRDefault="008C17DD" w:rsidP="00633BB0">
      <w:pPr>
        <w:spacing w:line="480" w:lineRule="auto"/>
        <w:ind w:firstLine="360"/>
        <w:jc w:val="both"/>
        <w:rPr>
          <w:rFonts w:ascii="Book Antiqua" w:hAnsi="Book Antiqua"/>
          <w:lang w:val="es-PR"/>
        </w:rPr>
      </w:pPr>
      <w:r w:rsidRPr="008C17DD">
        <w:rPr>
          <w:rFonts w:ascii="Book Antiqua" w:hAnsi="Book Antiqua"/>
          <w:lang w:val="es-PR"/>
        </w:rPr>
        <w:t> </w:t>
      </w:r>
      <w:r w:rsidR="00063A02">
        <w:rPr>
          <w:rFonts w:ascii="Book Antiqua" w:hAnsi="Book Antiqua"/>
          <w:lang w:val="es-PR"/>
        </w:rPr>
        <w:tab/>
      </w:r>
      <w:r>
        <w:rPr>
          <w:rFonts w:ascii="Book Antiqua" w:hAnsi="Book Antiqua"/>
          <w:lang w:val="es-PR"/>
        </w:rPr>
        <w:t>L</w:t>
      </w:r>
      <w:r w:rsidRPr="008C17DD">
        <w:rPr>
          <w:rFonts w:ascii="Book Antiqua" w:hAnsi="Book Antiqua"/>
          <w:lang w:val="es-PR"/>
        </w:rPr>
        <w:t>a Policía de Puerto Rico adoptará o enmendará la reglamentación necesaria para implementar las disposiciones de esta Ley dentro de un término no mayor de ciento veinte (120) días contados a partir de su aprobación.</w:t>
      </w:r>
    </w:p>
    <w:p w14:paraId="2D316CC0" w14:textId="65938E44" w:rsidR="00C716DC" w:rsidRPr="00C716DC" w:rsidRDefault="005F0CA5" w:rsidP="00063A02">
      <w:pPr>
        <w:spacing w:line="480" w:lineRule="auto"/>
        <w:ind w:firstLine="720"/>
        <w:jc w:val="both"/>
        <w:rPr>
          <w:rFonts w:ascii="Book Antiqua" w:hAnsi="Book Antiqua"/>
          <w:lang w:val="es-PR"/>
        </w:rPr>
      </w:pPr>
      <w:r>
        <w:rPr>
          <w:rFonts w:ascii="Book Antiqua" w:hAnsi="Book Antiqua"/>
          <w:szCs w:val="24"/>
          <w:lang w:val="es-PR"/>
        </w:rPr>
        <w:t>Sección</w:t>
      </w:r>
      <w:r w:rsidR="00530353" w:rsidRPr="009C6BAA">
        <w:rPr>
          <w:rFonts w:ascii="Book Antiqua" w:hAnsi="Book Antiqua"/>
          <w:szCs w:val="24"/>
          <w:lang w:val="es-PR"/>
        </w:rPr>
        <w:t xml:space="preserve"> 3.- </w:t>
      </w:r>
      <w:r w:rsidR="00C716DC" w:rsidRPr="00C716DC">
        <w:rPr>
          <w:rFonts w:ascii="Book Antiqua" w:hAnsi="Book Antiqua"/>
          <w:lang w:val="es-PR"/>
        </w:rPr>
        <w:t>Cláusula de Separabilidad.</w:t>
      </w:r>
    </w:p>
    <w:p w14:paraId="5C25CA6E" w14:textId="77777777" w:rsidR="00C716DC" w:rsidRPr="00C716DC" w:rsidRDefault="00C716DC" w:rsidP="00063A02">
      <w:pPr>
        <w:spacing w:line="480" w:lineRule="auto"/>
        <w:ind w:firstLine="720"/>
        <w:jc w:val="both"/>
        <w:rPr>
          <w:rFonts w:ascii="Book Antiqua" w:hAnsi="Book Antiqua"/>
          <w:szCs w:val="24"/>
          <w:lang w:val="es-PR"/>
        </w:rPr>
      </w:pPr>
      <w:r w:rsidRPr="00C716DC">
        <w:rPr>
          <w:rFonts w:ascii="Book Antiqua" w:hAnsi="Book Antiqua"/>
          <w:szCs w:val="24"/>
          <w:lang w:val="es-PR"/>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w:t>
      </w:r>
    </w:p>
    <w:p w14:paraId="00CF51AE" w14:textId="794BBC71" w:rsidR="00E67128" w:rsidRDefault="005F0CA5" w:rsidP="00063A02">
      <w:pPr>
        <w:spacing w:line="480" w:lineRule="auto"/>
        <w:ind w:firstLine="720"/>
        <w:jc w:val="both"/>
        <w:rPr>
          <w:rFonts w:ascii="Book Antiqua" w:hAnsi="Book Antiqua"/>
          <w:szCs w:val="24"/>
          <w:lang w:val="es-PR"/>
        </w:rPr>
      </w:pPr>
      <w:r>
        <w:rPr>
          <w:rFonts w:ascii="Book Antiqua" w:hAnsi="Book Antiqua"/>
          <w:szCs w:val="24"/>
          <w:lang w:val="es-PR"/>
        </w:rPr>
        <w:t>Sección</w:t>
      </w:r>
      <w:r w:rsidR="00E67128" w:rsidRPr="009C6BAA">
        <w:rPr>
          <w:rFonts w:ascii="Book Antiqua" w:hAnsi="Book Antiqua"/>
          <w:szCs w:val="24"/>
          <w:lang w:val="es-PR"/>
        </w:rPr>
        <w:t xml:space="preserve"> 4.-</w:t>
      </w:r>
      <w:r w:rsidR="00C716DC">
        <w:rPr>
          <w:rFonts w:ascii="Book Antiqua" w:hAnsi="Book Antiqua"/>
          <w:szCs w:val="24"/>
          <w:lang w:val="es-PR"/>
        </w:rPr>
        <w:t>Vigencia.</w:t>
      </w:r>
    </w:p>
    <w:p w14:paraId="18E4A63B" w14:textId="1595E607" w:rsidR="000721D7" w:rsidRPr="000721D7" w:rsidRDefault="003A4B63" w:rsidP="00063A02">
      <w:pPr>
        <w:spacing w:line="480" w:lineRule="auto"/>
        <w:ind w:firstLine="720"/>
        <w:jc w:val="both"/>
        <w:rPr>
          <w:rFonts w:ascii="Book Antiqua" w:hAnsi="Book Antiqua"/>
          <w:szCs w:val="24"/>
          <w:lang w:val="es-PR"/>
        </w:rPr>
      </w:pPr>
      <w:r w:rsidRPr="009C6BAA">
        <w:rPr>
          <w:rFonts w:ascii="Book Antiqua" w:hAnsi="Book Antiqua"/>
          <w:szCs w:val="24"/>
          <w:lang w:val="es-PR"/>
        </w:rPr>
        <w:t xml:space="preserve">Esta Ley </w:t>
      </w:r>
      <w:r w:rsidR="00BD771C">
        <w:rPr>
          <w:rFonts w:ascii="Book Antiqua" w:hAnsi="Book Antiqua"/>
          <w:szCs w:val="24"/>
          <w:lang w:val="es-PR"/>
        </w:rPr>
        <w:t>entrará en vigor inmediatamente</w:t>
      </w:r>
      <w:r w:rsidR="00D67391" w:rsidRPr="009C6BAA">
        <w:rPr>
          <w:rFonts w:ascii="Book Antiqua" w:hAnsi="Book Antiqua"/>
          <w:szCs w:val="24"/>
          <w:lang w:val="es-PR"/>
        </w:rPr>
        <w:t xml:space="preserve"> de su aprobación.</w:t>
      </w:r>
    </w:p>
    <w:sectPr w:rsidR="000721D7" w:rsidRPr="000721D7" w:rsidSect="004259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1D92B" w14:textId="77777777" w:rsidR="005B709C" w:rsidRDefault="005B709C">
      <w:r>
        <w:separator/>
      </w:r>
    </w:p>
  </w:endnote>
  <w:endnote w:type="continuationSeparator" w:id="0">
    <w:p w14:paraId="792ABF1D" w14:textId="77777777" w:rsidR="005B709C" w:rsidRDefault="005B7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8CD1D" w14:textId="77777777" w:rsidR="005B709C" w:rsidRDefault="005B709C">
      <w:r>
        <w:separator/>
      </w:r>
    </w:p>
  </w:footnote>
  <w:footnote w:type="continuationSeparator" w:id="0">
    <w:p w14:paraId="0A09EE1F" w14:textId="77777777" w:rsidR="005B709C" w:rsidRDefault="005B7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E0AC1">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75F3"/>
    <w:multiLevelType w:val="hybridMultilevel"/>
    <w:tmpl w:val="81DEC54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663D27"/>
    <w:multiLevelType w:val="hybridMultilevel"/>
    <w:tmpl w:val="DFFA26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52DDF"/>
    <w:multiLevelType w:val="hybridMultilevel"/>
    <w:tmpl w:val="2F9834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F44F3"/>
    <w:multiLevelType w:val="hybridMultilevel"/>
    <w:tmpl w:val="1F347F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411667"/>
    <w:multiLevelType w:val="hybridMultilevel"/>
    <w:tmpl w:val="310AA7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53253C"/>
    <w:multiLevelType w:val="hybridMultilevel"/>
    <w:tmpl w:val="F4786230"/>
    <w:lvl w:ilvl="0" w:tplc="F184DFBC">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20895B6C"/>
    <w:multiLevelType w:val="hybridMultilevel"/>
    <w:tmpl w:val="9FD4F5D8"/>
    <w:lvl w:ilvl="0" w:tplc="3B5E12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04382A"/>
    <w:multiLevelType w:val="hybridMultilevel"/>
    <w:tmpl w:val="B4080A5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AAE6D7D"/>
    <w:multiLevelType w:val="hybridMultilevel"/>
    <w:tmpl w:val="22BCE3C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DF06E5C"/>
    <w:multiLevelType w:val="hybridMultilevel"/>
    <w:tmpl w:val="7E6441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044FA9"/>
    <w:multiLevelType w:val="hybridMultilevel"/>
    <w:tmpl w:val="6DE42C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FD2E1F"/>
    <w:multiLevelType w:val="hybridMultilevel"/>
    <w:tmpl w:val="C6728E1A"/>
    <w:lvl w:ilvl="0" w:tplc="3F749E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F62DF4"/>
    <w:multiLevelType w:val="hybridMultilevel"/>
    <w:tmpl w:val="404641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252518"/>
    <w:multiLevelType w:val="hybridMultilevel"/>
    <w:tmpl w:val="C1520E34"/>
    <w:lvl w:ilvl="0" w:tplc="174AF1CC">
      <w:start w:val="1"/>
      <w:numFmt w:val="lowerLetter"/>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2C2F14"/>
    <w:multiLevelType w:val="hybridMultilevel"/>
    <w:tmpl w:val="82C8BF7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FC80F7B"/>
    <w:multiLevelType w:val="hybridMultilevel"/>
    <w:tmpl w:val="7B40A3F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9910FD6"/>
    <w:multiLevelType w:val="hybridMultilevel"/>
    <w:tmpl w:val="F976A9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184280">
    <w:abstractNumId w:val="8"/>
  </w:num>
  <w:num w:numId="2" w16cid:durableId="1665014715">
    <w:abstractNumId w:val="16"/>
  </w:num>
  <w:num w:numId="3" w16cid:durableId="2135127737">
    <w:abstractNumId w:val="4"/>
  </w:num>
  <w:num w:numId="4" w16cid:durableId="1126658395">
    <w:abstractNumId w:val="15"/>
  </w:num>
  <w:num w:numId="5" w16cid:durableId="1743528321">
    <w:abstractNumId w:val="6"/>
  </w:num>
  <w:num w:numId="6" w16cid:durableId="1685479099">
    <w:abstractNumId w:val="18"/>
  </w:num>
  <w:num w:numId="7" w16cid:durableId="607585477">
    <w:abstractNumId w:val="2"/>
  </w:num>
  <w:num w:numId="8" w16cid:durableId="281422564">
    <w:abstractNumId w:val="10"/>
  </w:num>
  <w:num w:numId="9" w16cid:durableId="215439687">
    <w:abstractNumId w:val="19"/>
  </w:num>
  <w:num w:numId="10" w16cid:durableId="43139925">
    <w:abstractNumId w:val="14"/>
  </w:num>
  <w:num w:numId="11" w16cid:durableId="1808820024">
    <w:abstractNumId w:val="13"/>
  </w:num>
  <w:num w:numId="12" w16cid:durableId="1078089859">
    <w:abstractNumId w:val="1"/>
  </w:num>
  <w:num w:numId="13" w16cid:durableId="1754668907">
    <w:abstractNumId w:val="3"/>
  </w:num>
  <w:num w:numId="14" w16cid:durableId="348869770">
    <w:abstractNumId w:val="0"/>
  </w:num>
  <w:num w:numId="15" w16cid:durableId="1015376257">
    <w:abstractNumId w:val="11"/>
  </w:num>
  <w:num w:numId="16" w16cid:durableId="1519926467">
    <w:abstractNumId w:val="12"/>
  </w:num>
  <w:num w:numId="17" w16cid:durableId="2114589635">
    <w:abstractNumId w:val="17"/>
  </w:num>
  <w:num w:numId="18" w16cid:durableId="691224471">
    <w:abstractNumId w:val="9"/>
  </w:num>
  <w:num w:numId="19" w16cid:durableId="276569777">
    <w:abstractNumId w:val="5"/>
  </w:num>
  <w:num w:numId="20" w16cid:durableId="2805794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041D9"/>
    <w:rsid w:val="000045AD"/>
    <w:rsid w:val="00005EC3"/>
    <w:rsid w:val="00010252"/>
    <w:rsid w:val="00011676"/>
    <w:rsid w:val="000203CC"/>
    <w:rsid w:val="00020BBB"/>
    <w:rsid w:val="00020ED5"/>
    <w:rsid w:val="00023DA5"/>
    <w:rsid w:val="00025B8C"/>
    <w:rsid w:val="00027C09"/>
    <w:rsid w:val="0003554D"/>
    <w:rsid w:val="00045B1F"/>
    <w:rsid w:val="00046E14"/>
    <w:rsid w:val="00050F88"/>
    <w:rsid w:val="00051931"/>
    <w:rsid w:val="000529FD"/>
    <w:rsid w:val="00056024"/>
    <w:rsid w:val="0005701A"/>
    <w:rsid w:val="0006068C"/>
    <w:rsid w:val="00063A02"/>
    <w:rsid w:val="000721D7"/>
    <w:rsid w:val="00072238"/>
    <w:rsid w:val="000725F2"/>
    <w:rsid w:val="000741B4"/>
    <w:rsid w:val="00082223"/>
    <w:rsid w:val="000825AD"/>
    <w:rsid w:val="00094DCC"/>
    <w:rsid w:val="00095AE1"/>
    <w:rsid w:val="000A270D"/>
    <w:rsid w:val="000A6B6C"/>
    <w:rsid w:val="000B0DBB"/>
    <w:rsid w:val="000C5558"/>
    <w:rsid w:val="000C6DB5"/>
    <w:rsid w:val="000D0372"/>
    <w:rsid w:val="000E2A95"/>
    <w:rsid w:val="000E7B3E"/>
    <w:rsid w:val="000F03E7"/>
    <w:rsid w:val="000F6AB4"/>
    <w:rsid w:val="000F7EB9"/>
    <w:rsid w:val="001048CD"/>
    <w:rsid w:val="001066D8"/>
    <w:rsid w:val="00110831"/>
    <w:rsid w:val="001108DD"/>
    <w:rsid w:val="00111E71"/>
    <w:rsid w:val="00116406"/>
    <w:rsid w:val="0011708D"/>
    <w:rsid w:val="001172D7"/>
    <w:rsid w:val="00117A6C"/>
    <w:rsid w:val="001216B9"/>
    <w:rsid w:val="0012680A"/>
    <w:rsid w:val="00126E2E"/>
    <w:rsid w:val="00127C6A"/>
    <w:rsid w:val="001320B0"/>
    <w:rsid w:val="00134BE2"/>
    <w:rsid w:val="001359ED"/>
    <w:rsid w:val="001363FE"/>
    <w:rsid w:val="00147A99"/>
    <w:rsid w:val="00153A10"/>
    <w:rsid w:val="0015598F"/>
    <w:rsid w:val="0017132B"/>
    <w:rsid w:val="0017318E"/>
    <w:rsid w:val="00181281"/>
    <w:rsid w:val="001819DA"/>
    <w:rsid w:val="001856AA"/>
    <w:rsid w:val="001865B5"/>
    <w:rsid w:val="00190928"/>
    <w:rsid w:val="00192A63"/>
    <w:rsid w:val="00193B39"/>
    <w:rsid w:val="00194826"/>
    <w:rsid w:val="00197796"/>
    <w:rsid w:val="001A1E09"/>
    <w:rsid w:val="001A1FF0"/>
    <w:rsid w:val="001A6EFF"/>
    <w:rsid w:val="001A7442"/>
    <w:rsid w:val="001B7E93"/>
    <w:rsid w:val="001C2B1B"/>
    <w:rsid w:val="001C6881"/>
    <w:rsid w:val="001D1A9A"/>
    <w:rsid w:val="001D3246"/>
    <w:rsid w:val="001D4793"/>
    <w:rsid w:val="001D65B8"/>
    <w:rsid w:val="001D702A"/>
    <w:rsid w:val="001E0632"/>
    <w:rsid w:val="001E25FA"/>
    <w:rsid w:val="001E4A8E"/>
    <w:rsid w:val="001E6AB2"/>
    <w:rsid w:val="001F0824"/>
    <w:rsid w:val="001F18B1"/>
    <w:rsid w:val="001F336C"/>
    <w:rsid w:val="001F3D94"/>
    <w:rsid w:val="001F4CA3"/>
    <w:rsid w:val="001F612A"/>
    <w:rsid w:val="00210ACA"/>
    <w:rsid w:val="00211396"/>
    <w:rsid w:val="00215884"/>
    <w:rsid w:val="002161BF"/>
    <w:rsid w:val="002215C5"/>
    <w:rsid w:val="002238A2"/>
    <w:rsid w:val="00226AE6"/>
    <w:rsid w:val="0023532C"/>
    <w:rsid w:val="00235410"/>
    <w:rsid w:val="0024488A"/>
    <w:rsid w:val="00245B34"/>
    <w:rsid w:val="002479AF"/>
    <w:rsid w:val="0025549C"/>
    <w:rsid w:val="0026202E"/>
    <w:rsid w:val="00263355"/>
    <w:rsid w:val="00263FF7"/>
    <w:rsid w:val="002662BC"/>
    <w:rsid w:val="002669CB"/>
    <w:rsid w:val="002733DD"/>
    <w:rsid w:val="00273792"/>
    <w:rsid w:val="0028471E"/>
    <w:rsid w:val="002850DE"/>
    <w:rsid w:val="002873F9"/>
    <w:rsid w:val="00290923"/>
    <w:rsid w:val="002916F6"/>
    <w:rsid w:val="0029356F"/>
    <w:rsid w:val="002B0233"/>
    <w:rsid w:val="002B16DD"/>
    <w:rsid w:val="002B6E23"/>
    <w:rsid w:val="002C4F8A"/>
    <w:rsid w:val="002C793F"/>
    <w:rsid w:val="002D0147"/>
    <w:rsid w:val="002D2855"/>
    <w:rsid w:val="002D3965"/>
    <w:rsid w:val="002D4AC8"/>
    <w:rsid w:val="002D6A74"/>
    <w:rsid w:val="002F0F53"/>
    <w:rsid w:val="002F7DE7"/>
    <w:rsid w:val="00302199"/>
    <w:rsid w:val="00317BC5"/>
    <w:rsid w:val="00320D78"/>
    <w:rsid w:val="00322448"/>
    <w:rsid w:val="003317FD"/>
    <w:rsid w:val="003365F3"/>
    <w:rsid w:val="003417C2"/>
    <w:rsid w:val="0034701D"/>
    <w:rsid w:val="00350756"/>
    <w:rsid w:val="00354E5A"/>
    <w:rsid w:val="00355F14"/>
    <w:rsid w:val="0035788A"/>
    <w:rsid w:val="00377362"/>
    <w:rsid w:val="0038004C"/>
    <w:rsid w:val="00380FE5"/>
    <w:rsid w:val="003810C9"/>
    <w:rsid w:val="003858BB"/>
    <w:rsid w:val="00386F6A"/>
    <w:rsid w:val="00391DE3"/>
    <w:rsid w:val="003924DD"/>
    <w:rsid w:val="003936EC"/>
    <w:rsid w:val="00394FCB"/>
    <w:rsid w:val="003963F4"/>
    <w:rsid w:val="003A2EC0"/>
    <w:rsid w:val="003A4B63"/>
    <w:rsid w:val="003A6093"/>
    <w:rsid w:val="003A7304"/>
    <w:rsid w:val="003B3369"/>
    <w:rsid w:val="003B477E"/>
    <w:rsid w:val="003B5254"/>
    <w:rsid w:val="003B75A6"/>
    <w:rsid w:val="003C5160"/>
    <w:rsid w:val="003E2127"/>
    <w:rsid w:val="003E53FB"/>
    <w:rsid w:val="003F1038"/>
    <w:rsid w:val="003F260A"/>
    <w:rsid w:val="003F2839"/>
    <w:rsid w:val="003F3A3E"/>
    <w:rsid w:val="003F602C"/>
    <w:rsid w:val="004000D4"/>
    <w:rsid w:val="00403D2A"/>
    <w:rsid w:val="00403D3C"/>
    <w:rsid w:val="00405387"/>
    <w:rsid w:val="004061CA"/>
    <w:rsid w:val="00411193"/>
    <w:rsid w:val="00411B44"/>
    <w:rsid w:val="00415689"/>
    <w:rsid w:val="00415C4C"/>
    <w:rsid w:val="00420F52"/>
    <w:rsid w:val="00422580"/>
    <w:rsid w:val="00422E2B"/>
    <w:rsid w:val="00424107"/>
    <w:rsid w:val="00424771"/>
    <w:rsid w:val="00425949"/>
    <w:rsid w:val="00433594"/>
    <w:rsid w:val="00433E1B"/>
    <w:rsid w:val="004421CD"/>
    <w:rsid w:val="004434A0"/>
    <w:rsid w:val="004440CB"/>
    <w:rsid w:val="004504C2"/>
    <w:rsid w:val="00450C16"/>
    <w:rsid w:val="00466965"/>
    <w:rsid w:val="004707F8"/>
    <w:rsid w:val="00470A0A"/>
    <w:rsid w:val="004713D2"/>
    <w:rsid w:val="004753F4"/>
    <w:rsid w:val="00475936"/>
    <w:rsid w:val="00482143"/>
    <w:rsid w:val="00483DAF"/>
    <w:rsid w:val="00485D39"/>
    <w:rsid w:val="00492705"/>
    <w:rsid w:val="00494867"/>
    <w:rsid w:val="0049639F"/>
    <w:rsid w:val="004A722C"/>
    <w:rsid w:val="004B0201"/>
    <w:rsid w:val="004B0B0F"/>
    <w:rsid w:val="004B293A"/>
    <w:rsid w:val="004B6ABA"/>
    <w:rsid w:val="004C230D"/>
    <w:rsid w:val="004C4330"/>
    <w:rsid w:val="004C7BD5"/>
    <w:rsid w:val="004D5A5D"/>
    <w:rsid w:val="004E1A3E"/>
    <w:rsid w:val="004E2361"/>
    <w:rsid w:val="004E7495"/>
    <w:rsid w:val="004F49B9"/>
    <w:rsid w:val="004F7B75"/>
    <w:rsid w:val="00503D1B"/>
    <w:rsid w:val="00506CF7"/>
    <w:rsid w:val="0051076A"/>
    <w:rsid w:val="00515EF1"/>
    <w:rsid w:val="00521639"/>
    <w:rsid w:val="00524569"/>
    <w:rsid w:val="00530353"/>
    <w:rsid w:val="005324DB"/>
    <w:rsid w:val="00532BB7"/>
    <w:rsid w:val="005332E4"/>
    <w:rsid w:val="0053550C"/>
    <w:rsid w:val="00537B51"/>
    <w:rsid w:val="00537B8C"/>
    <w:rsid w:val="005437E8"/>
    <w:rsid w:val="005456B8"/>
    <w:rsid w:val="00546BED"/>
    <w:rsid w:val="00546C6B"/>
    <w:rsid w:val="00552310"/>
    <w:rsid w:val="00555018"/>
    <w:rsid w:val="00560B3A"/>
    <w:rsid w:val="005638E3"/>
    <w:rsid w:val="0056721A"/>
    <w:rsid w:val="005723DC"/>
    <w:rsid w:val="00577B83"/>
    <w:rsid w:val="00583E59"/>
    <w:rsid w:val="005869C4"/>
    <w:rsid w:val="005927D7"/>
    <w:rsid w:val="00593559"/>
    <w:rsid w:val="005942AC"/>
    <w:rsid w:val="00594E0D"/>
    <w:rsid w:val="005B350B"/>
    <w:rsid w:val="005B6E85"/>
    <w:rsid w:val="005B709C"/>
    <w:rsid w:val="005C1263"/>
    <w:rsid w:val="005C48C6"/>
    <w:rsid w:val="005D6138"/>
    <w:rsid w:val="005E12A8"/>
    <w:rsid w:val="005E2899"/>
    <w:rsid w:val="005E4B1C"/>
    <w:rsid w:val="005F0CA5"/>
    <w:rsid w:val="005F22F4"/>
    <w:rsid w:val="005F3557"/>
    <w:rsid w:val="005F43E5"/>
    <w:rsid w:val="00602572"/>
    <w:rsid w:val="00604CDB"/>
    <w:rsid w:val="00605793"/>
    <w:rsid w:val="00605D4F"/>
    <w:rsid w:val="00606511"/>
    <w:rsid w:val="00612409"/>
    <w:rsid w:val="00614212"/>
    <w:rsid w:val="00615614"/>
    <w:rsid w:val="00615872"/>
    <w:rsid w:val="006210DC"/>
    <w:rsid w:val="00624AC7"/>
    <w:rsid w:val="00632017"/>
    <w:rsid w:val="00633BB0"/>
    <w:rsid w:val="00634523"/>
    <w:rsid w:val="00636917"/>
    <w:rsid w:val="006423DB"/>
    <w:rsid w:val="0064349D"/>
    <w:rsid w:val="00652ADB"/>
    <w:rsid w:val="00652F6D"/>
    <w:rsid w:val="00653EED"/>
    <w:rsid w:val="006548C5"/>
    <w:rsid w:val="00655861"/>
    <w:rsid w:val="00661DE0"/>
    <w:rsid w:val="00662714"/>
    <w:rsid w:val="00662EF1"/>
    <w:rsid w:val="00665BAB"/>
    <w:rsid w:val="00665E10"/>
    <w:rsid w:val="00672706"/>
    <w:rsid w:val="00674DA8"/>
    <w:rsid w:val="00684085"/>
    <w:rsid w:val="00685549"/>
    <w:rsid w:val="00690BD9"/>
    <w:rsid w:val="00690E1C"/>
    <w:rsid w:val="006A2E60"/>
    <w:rsid w:val="006A7E74"/>
    <w:rsid w:val="006B0076"/>
    <w:rsid w:val="006B0FF2"/>
    <w:rsid w:val="006B2DC9"/>
    <w:rsid w:val="006B2F66"/>
    <w:rsid w:val="006B3A86"/>
    <w:rsid w:val="006B3B23"/>
    <w:rsid w:val="006B3E39"/>
    <w:rsid w:val="006B6230"/>
    <w:rsid w:val="006B7365"/>
    <w:rsid w:val="006C175C"/>
    <w:rsid w:val="006C2D81"/>
    <w:rsid w:val="006C549E"/>
    <w:rsid w:val="006C7DF8"/>
    <w:rsid w:val="006D47B3"/>
    <w:rsid w:val="006E1841"/>
    <w:rsid w:val="006E6A30"/>
    <w:rsid w:val="006E7BCB"/>
    <w:rsid w:val="006F0B49"/>
    <w:rsid w:val="006F0BEB"/>
    <w:rsid w:val="006F4E54"/>
    <w:rsid w:val="00700225"/>
    <w:rsid w:val="00700933"/>
    <w:rsid w:val="00701B26"/>
    <w:rsid w:val="007051C4"/>
    <w:rsid w:val="0070548B"/>
    <w:rsid w:val="007079DF"/>
    <w:rsid w:val="00712864"/>
    <w:rsid w:val="00713F78"/>
    <w:rsid w:val="00722C38"/>
    <w:rsid w:val="007242FA"/>
    <w:rsid w:val="00730375"/>
    <w:rsid w:val="00732A81"/>
    <w:rsid w:val="00732F0C"/>
    <w:rsid w:val="00740627"/>
    <w:rsid w:val="007433F9"/>
    <w:rsid w:val="00750FC8"/>
    <w:rsid w:val="007533D0"/>
    <w:rsid w:val="00754C10"/>
    <w:rsid w:val="00755069"/>
    <w:rsid w:val="007614EA"/>
    <w:rsid w:val="00762284"/>
    <w:rsid w:val="00766C10"/>
    <w:rsid w:val="00766D67"/>
    <w:rsid w:val="00770A4B"/>
    <w:rsid w:val="0077509B"/>
    <w:rsid w:val="007753AE"/>
    <w:rsid w:val="00776CEB"/>
    <w:rsid w:val="00784FAA"/>
    <w:rsid w:val="00786258"/>
    <w:rsid w:val="00797037"/>
    <w:rsid w:val="007A2821"/>
    <w:rsid w:val="007B0660"/>
    <w:rsid w:val="007C1A25"/>
    <w:rsid w:val="007C29A4"/>
    <w:rsid w:val="007C6A19"/>
    <w:rsid w:val="007C75F0"/>
    <w:rsid w:val="007C7D2E"/>
    <w:rsid w:val="007D1626"/>
    <w:rsid w:val="007D2985"/>
    <w:rsid w:val="007D53BB"/>
    <w:rsid w:val="007E302C"/>
    <w:rsid w:val="007E3868"/>
    <w:rsid w:val="007E4A29"/>
    <w:rsid w:val="007E5394"/>
    <w:rsid w:val="007E6711"/>
    <w:rsid w:val="007F549C"/>
    <w:rsid w:val="00801434"/>
    <w:rsid w:val="0080677E"/>
    <w:rsid w:val="00806DB2"/>
    <w:rsid w:val="00813444"/>
    <w:rsid w:val="00814FD7"/>
    <w:rsid w:val="0081683B"/>
    <w:rsid w:val="008173C8"/>
    <w:rsid w:val="00820C41"/>
    <w:rsid w:val="00821468"/>
    <w:rsid w:val="00822CE4"/>
    <w:rsid w:val="0082425C"/>
    <w:rsid w:val="0082664E"/>
    <w:rsid w:val="008274CF"/>
    <w:rsid w:val="00832B18"/>
    <w:rsid w:val="00850256"/>
    <w:rsid w:val="008502C4"/>
    <w:rsid w:val="00850990"/>
    <w:rsid w:val="00852E71"/>
    <w:rsid w:val="00855B3D"/>
    <w:rsid w:val="00857830"/>
    <w:rsid w:val="008707CD"/>
    <w:rsid w:val="0087255B"/>
    <w:rsid w:val="00873DC8"/>
    <w:rsid w:val="00874990"/>
    <w:rsid w:val="008755FE"/>
    <w:rsid w:val="00877D66"/>
    <w:rsid w:val="0088703A"/>
    <w:rsid w:val="00892C7B"/>
    <w:rsid w:val="00893F2E"/>
    <w:rsid w:val="008947E7"/>
    <w:rsid w:val="00897696"/>
    <w:rsid w:val="008A26EC"/>
    <w:rsid w:val="008B7DBC"/>
    <w:rsid w:val="008C17DD"/>
    <w:rsid w:val="008C7227"/>
    <w:rsid w:val="008C745B"/>
    <w:rsid w:val="008D33B4"/>
    <w:rsid w:val="008E0AC1"/>
    <w:rsid w:val="008E547E"/>
    <w:rsid w:val="008E74FF"/>
    <w:rsid w:val="008F080D"/>
    <w:rsid w:val="008F0BB3"/>
    <w:rsid w:val="008F1DE6"/>
    <w:rsid w:val="008F3194"/>
    <w:rsid w:val="008F4649"/>
    <w:rsid w:val="008F5C9D"/>
    <w:rsid w:val="00905866"/>
    <w:rsid w:val="009075A2"/>
    <w:rsid w:val="0091086F"/>
    <w:rsid w:val="00911B61"/>
    <w:rsid w:val="009130FB"/>
    <w:rsid w:val="0093686F"/>
    <w:rsid w:val="009419AC"/>
    <w:rsid w:val="00942FD4"/>
    <w:rsid w:val="009440E2"/>
    <w:rsid w:val="00945785"/>
    <w:rsid w:val="009506CC"/>
    <w:rsid w:val="00951997"/>
    <w:rsid w:val="00954D83"/>
    <w:rsid w:val="009611B5"/>
    <w:rsid w:val="00961209"/>
    <w:rsid w:val="0096196B"/>
    <w:rsid w:val="00970A77"/>
    <w:rsid w:val="0098290E"/>
    <w:rsid w:val="00990352"/>
    <w:rsid w:val="009923FC"/>
    <w:rsid w:val="00993E78"/>
    <w:rsid w:val="00994B8A"/>
    <w:rsid w:val="009A077B"/>
    <w:rsid w:val="009B28AA"/>
    <w:rsid w:val="009C0DB7"/>
    <w:rsid w:val="009C1763"/>
    <w:rsid w:val="009C5AD6"/>
    <w:rsid w:val="009C6BAA"/>
    <w:rsid w:val="009D0F09"/>
    <w:rsid w:val="009D2447"/>
    <w:rsid w:val="009D7C82"/>
    <w:rsid w:val="009D7CC7"/>
    <w:rsid w:val="009E6485"/>
    <w:rsid w:val="009F0EF6"/>
    <w:rsid w:val="009F225E"/>
    <w:rsid w:val="009F2D4B"/>
    <w:rsid w:val="009F71BB"/>
    <w:rsid w:val="009F7531"/>
    <w:rsid w:val="00A03405"/>
    <w:rsid w:val="00A04862"/>
    <w:rsid w:val="00A048F6"/>
    <w:rsid w:val="00A07D20"/>
    <w:rsid w:val="00A11999"/>
    <w:rsid w:val="00A1239C"/>
    <w:rsid w:val="00A1528A"/>
    <w:rsid w:val="00A206D0"/>
    <w:rsid w:val="00A23DEA"/>
    <w:rsid w:val="00A24C11"/>
    <w:rsid w:val="00A2640E"/>
    <w:rsid w:val="00A306A3"/>
    <w:rsid w:val="00A3331C"/>
    <w:rsid w:val="00A33918"/>
    <w:rsid w:val="00A34888"/>
    <w:rsid w:val="00A37BAA"/>
    <w:rsid w:val="00A4213B"/>
    <w:rsid w:val="00A501E2"/>
    <w:rsid w:val="00A514DA"/>
    <w:rsid w:val="00A52B69"/>
    <w:rsid w:val="00A5580F"/>
    <w:rsid w:val="00A60863"/>
    <w:rsid w:val="00A6272A"/>
    <w:rsid w:val="00A6369B"/>
    <w:rsid w:val="00A64A37"/>
    <w:rsid w:val="00A704B1"/>
    <w:rsid w:val="00A710CE"/>
    <w:rsid w:val="00A7629F"/>
    <w:rsid w:val="00A850A7"/>
    <w:rsid w:val="00A85CEE"/>
    <w:rsid w:val="00A8725E"/>
    <w:rsid w:val="00A9018D"/>
    <w:rsid w:val="00AA087D"/>
    <w:rsid w:val="00AA3B13"/>
    <w:rsid w:val="00AB32F7"/>
    <w:rsid w:val="00AB7858"/>
    <w:rsid w:val="00AC68EA"/>
    <w:rsid w:val="00AD6B0D"/>
    <w:rsid w:val="00AE1111"/>
    <w:rsid w:val="00AE37F5"/>
    <w:rsid w:val="00AE5430"/>
    <w:rsid w:val="00AE6BD8"/>
    <w:rsid w:val="00AE6F5E"/>
    <w:rsid w:val="00AF0CEE"/>
    <w:rsid w:val="00AF225D"/>
    <w:rsid w:val="00AF2F7E"/>
    <w:rsid w:val="00AF680E"/>
    <w:rsid w:val="00B06480"/>
    <w:rsid w:val="00B06D5D"/>
    <w:rsid w:val="00B44B28"/>
    <w:rsid w:val="00B4571F"/>
    <w:rsid w:val="00B45CF0"/>
    <w:rsid w:val="00B45DFC"/>
    <w:rsid w:val="00B47D0A"/>
    <w:rsid w:val="00B5063A"/>
    <w:rsid w:val="00B5222E"/>
    <w:rsid w:val="00B56D70"/>
    <w:rsid w:val="00B60CC7"/>
    <w:rsid w:val="00B629B1"/>
    <w:rsid w:val="00B63706"/>
    <w:rsid w:val="00B63B97"/>
    <w:rsid w:val="00B65866"/>
    <w:rsid w:val="00B667AD"/>
    <w:rsid w:val="00B672AC"/>
    <w:rsid w:val="00B76142"/>
    <w:rsid w:val="00B77718"/>
    <w:rsid w:val="00B81C06"/>
    <w:rsid w:val="00B8390C"/>
    <w:rsid w:val="00B83C61"/>
    <w:rsid w:val="00B84C38"/>
    <w:rsid w:val="00B85BD2"/>
    <w:rsid w:val="00B8685C"/>
    <w:rsid w:val="00B86C00"/>
    <w:rsid w:val="00B87587"/>
    <w:rsid w:val="00B947F6"/>
    <w:rsid w:val="00B96127"/>
    <w:rsid w:val="00BB1254"/>
    <w:rsid w:val="00BB2318"/>
    <w:rsid w:val="00BB2BDD"/>
    <w:rsid w:val="00BB460A"/>
    <w:rsid w:val="00BB47B5"/>
    <w:rsid w:val="00BB5F17"/>
    <w:rsid w:val="00BB66C8"/>
    <w:rsid w:val="00BB70FA"/>
    <w:rsid w:val="00BB740F"/>
    <w:rsid w:val="00BC7620"/>
    <w:rsid w:val="00BD0D7A"/>
    <w:rsid w:val="00BD18B6"/>
    <w:rsid w:val="00BD1BAA"/>
    <w:rsid w:val="00BD20E5"/>
    <w:rsid w:val="00BD771C"/>
    <w:rsid w:val="00BE337B"/>
    <w:rsid w:val="00BE48E6"/>
    <w:rsid w:val="00BF0FEB"/>
    <w:rsid w:val="00BF16AA"/>
    <w:rsid w:val="00BF25FF"/>
    <w:rsid w:val="00BF44A7"/>
    <w:rsid w:val="00BF7072"/>
    <w:rsid w:val="00C07216"/>
    <w:rsid w:val="00C13044"/>
    <w:rsid w:val="00C13594"/>
    <w:rsid w:val="00C2072D"/>
    <w:rsid w:val="00C2361A"/>
    <w:rsid w:val="00C2441E"/>
    <w:rsid w:val="00C264BF"/>
    <w:rsid w:val="00C30117"/>
    <w:rsid w:val="00C354B8"/>
    <w:rsid w:val="00C4632A"/>
    <w:rsid w:val="00C46ADD"/>
    <w:rsid w:val="00C52517"/>
    <w:rsid w:val="00C52CAC"/>
    <w:rsid w:val="00C53335"/>
    <w:rsid w:val="00C60921"/>
    <w:rsid w:val="00C62936"/>
    <w:rsid w:val="00C653F2"/>
    <w:rsid w:val="00C66322"/>
    <w:rsid w:val="00C679E6"/>
    <w:rsid w:val="00C70C56"/>
    <w:rsid w:val="00C716DC"/>
    <w:rsid w:val="00C74D27"/>
    <w:rsid w:val="00C76D14"/>
    <w:rsid w:val="00C8246A"/>
    <w:rsid w:val="00C908F9"/>
    <w:rsid w:val="00C9345D"/>
    <w:rsid w:val="00CA0917"/>
    <w:rsid w:val="00CA0AB0"/>
    <w:rsid w:val="00CA1099"/>
    <w:rsid w:val="00CB2108"/>
    <w:rsid w:val="00CB2917"/>
    <w:rsid w:val="00CB2C8E"/>
    <w:rsid w:val="00CB6AEF"/>
    <w:rsid w:val="00CC122F"/>
    <w:rsid w:val="00CD191E"/>
    <w:rsid w:val="00CD20D3"/>
    <w:rsid w:val="00CD2D6F"/>
    <w:rsid w:val="00CD2E0E"/>
    <w:rsid w:val="00CD55B5"/>
    <w:rsid w:val="00CD5EA1"/>
    <w:rsid w:val="00CD5EC0"/>
    <w:rsid w:val="00CE4584"/>
    <w:rsid w:val="00CE5819"/>
    <w:rsid w:val="00CF0503"/>
    <w:rsid w:val="00CF0902"/>
    <w:rsid w:val="00CF1F93"/>
    <w:rsid w:val="00D0473C"/>
    <w:rsid w:val="00D06317"/>
    <w:rsid w:val="00D17BE5"/>
    <w:rsid w:val="00D2270B"/>
    <w:rsid w:val="00D243C0"/>
    <w:rsid w:val="00D32AB3"/>
    <w:rsid w:val="00D335F2"/>
    <w:rsid w:val="00D34EEA"/>
    <w:rsid w:val="00D358C0"/>
    <w:rsid w:val="00D36843"/>
    <w:rsid w:val="00D417C2"/>
    <w:rsid w:val="00D447DF"/>
    <w:rsid w:val="00D51652"/>
    <w:rsid w:val="00D60936"/>
    <w:rsid w:val="00D615DE"/>
    <w:rsid w:val="00D62512"/>
    <w:rsid w:val="00D67391"/>
    <w:rsid w:val="00D67B6E"/>
    <w:rsid w:val="00D709EB"/>
    <w:rsid w:val="00D72937"/>
    <w:rsid w:val="00D74714"/>
    <w:rsid w:val="00D82F3F"/>
    <w:rsid w:val="00D83B39"/>
    <w:rsid w:val="00D86DA1"/>
    <w:rsid w:val="00D921C6"/>
    <w:rsid w:val="00D92787"/>
    <w:rsid w:val="00D92DD0"/>
    <w:rsid w:val="00D958C2"/>
    <w:rsid w:val="00DA16D9"/>
    <w:rsid w:val="00DA39D3"/>
    <w:rsid w:val="00DA65AC"/>
    <w:rsid w:val="00DA74BD"/>
    <w:rsid w:val="00DB1BB8"/>
    <w:rsid w:val="00DB541B"/>
    <w:rsid w:val="00DB65FB"/>
    <w:rsid w:val="00DB6B56"/>
    <w:rsid w:val="00DC15AC"/>
    <w:rsid w:val="00DC1FD1"/>
    <w:rsid w:val="00DC7122"/>
    <w:rsid w:val="00DC750E"/>
    <w:rsid w:val="00DD30B3"/>
    <w:rsid w:val="00DD51A6"/>
    <w:rsid w:val="00DD799D"/>
    <w:rsid w:val="00DE6E0B"/>
    <w:rsid w:val="00DE6FC9"/>
    <w:rsid w:val="00DE7573"/>
    <w:rsid w:val="00DF0B73"/>
    <w:rsid w:val="00DF0F34"/>
    <w:rsid w:val="00DF1C16"/>
    <w:rsid w:val="00DF1D2F"/>
    <w:rsid w:val="00E03F05"/>
    <w:rsid w:val="00E04AB5"/>
    <w:rsid w:val="00E10162"/>
    <w:rsid w:val="00E10A97"/>
    <w:rsid w:val="00E16CC4"/>
    <w:rsid w:val="00E20591"/>
    <w:rsid w:val="00E20DF2"/>
    <w:rsid w:val="00E33C86"/>
    <w:rsid w:val="00E34147"/>
    <w:rsid w:val="00E44C22"/>
    <w:rsid w:val="00E50EEA"/>
    <w:rsid w:val="00E52F58"/>
    <w:rsid w:val="00E53D18"/>
    <w:rsid w:val="00E639DB"/>
    <w:rsid w:val="00E63A2C"/>
    <w:rsid w:val="00E67128"/>
    <w:rsid w:val="00E67E3B"/>
    <w:rsid w:val="00E777EA"/>
    <w:rsid w:val="00E847CC"/>
    <w:rsid w:val="00E85A29"/>
    <w:rsid w:val="00E90E07"/>
    <w:rsid w:val="00E90ED6"/>
    <w:rsid w:val="00E93F16"/>
    <w:rsid w:val="00EA3485"/>
    <w:rsid w:val="00EA6B96"/>
    <w:rsid w:val="00EA715B"/>
    <w:rsid w:val="00EB19FA"/>
    <w:rsid w:val="00EB1F5B"/>
    <w:rsid w:val="00EB4539"/>
    <w:rsid w:val="00EB5479"/>
    <w:rsid w:val="00EC0B92"/>
    <w:rsid w:val="00EC14CD"/>
    <w:rsid w:val="00EC2546"/>
    <w:rsid w:val="00EC26AA"/>
    <w:rsid w:val="00EC6866"/>
    <w:rsid w:val="00ED59A9"/>
    <w:rsid w:val="00ED61EF"/>
    <w:rsid w:val="00ED7A53"/>
    <w:rsid w:val="00EE1E2B"/>
    <w:rsid w:val="00EE1E90"/>
    <w:rsid w:val="00EE4273"/>
    <w:rsid w:val="00EF78DA"/>
    <w:rsid w:val="00F00FF1"/>
    <w:rsid w:val="00F01F99"/>
    <w:rsid w:val="00F02004"/>
    <w:rsid w:val="00F03567"/>
    <w:rsid w:val="00F042CB"/>
    <w:rsid w:val="00F04A06"/>
    <w:rsid w:val="00F102F6"/>
    <w:rsid w:val="00F13B6C"/>
    <w:rsid w:val="00F15C51"/>
    <w:rsid w:val="00F17F51"/>
    <w:rsid w:val="00F21DDC"/>
    <w:rsid w:val="00F22886"/>
    <w:rsid w:val="00F23355"/>
    <w:rsid w:val="00F32593"/>
    <w:rsid w:val="00F41F52"/>
    <w:rsid w:val="00F463C3"/>
    <w:rsid w:val="00F601DC"/>
    <w:rsid w:val="00F60A20"/>
    <w:rsid w:val="00F66A5C"/>
    <w:rsid w:val="00F76E9C"/>
    <w:rsid w:val="00F778AD"/>
    <w:rsid w:val="00F81FB9"/>
    <w:rsid w:val="00F87C77"/>
    <w:rsid w:val="00F913C5"/>
    <w:rsid w:val="00F92782"/>
    <w:rsid w:val="00F943C7"/>
    <w:rsid w:val="00F9444E"/>
    <w:rsid w:val="00F96A3F"/>
    <w:rsid w:val="00F97542"/>
    <w:rsid w:val="00FA28EB"/>
    <w:rsid w:val="00FB572D"/>
    <w:rsid w:val="00FC0A95"/>
    <w:rsid w:val="00FC3D9C"/>
    <w:rsid w:val="00FD19DC"/>
    <w:rsid w:val="00FD1E46"/>
    <w:rsid w:val="00FE003D"/>
    <w:rsid w:val="00FE0FCB"/>
    <w:rsid w:val="00FE2AD9"/>
    <w:rsid w:val="00FF0153"/>
    <w:rsid w:val="00FF262B"/>
    <w:rsid w:val="00FF342C"/>
    <w:rsid w:val="00FF4DD7"/>
    <w:rsid w:val="00FF6BD2"/>
    <w:rsid w:val="00FF6CC0"/>
    <w:rsid w:val="00FF78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FD19D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Fuerte">
    <w:name w:val="Strong"/>
    <w:basedOn w:val="Fuentedeprrafopredeter"/>
    <w:uiPriority w:val="22"/>
    <w:qFormat/>
    <w:rsid w:val="007D2985"/>
    <w:rPr>
      <w:b/>
      <w:bCs/>
    </w:rPr>
  </w:style>
  <w:style w:type="paragraph" w:styleId="Prrafodelista">
    <w:name w:val="List Paragraph"/>
    <w:basedOn w:val="Normal"/>
    <w:uiPriority w:val="34"/>
    <w:qFormat/>
    <w:rsid w:val="00D335F2"/>
    <w:pPr>
      <w:ind w:left="720"/>
      <w:contextualSpacing/>
    </w:pPr>
  </w:style>
  <w:style w:type="paragraph" w:styleId="NormalWeb">
    <w:name w:val="Normal (Web)"/>
    <w:basedOn w:val="Normal"/>
    <w:uiPriority w:val="99"/>
    <w:semiHidden/>
    <w:unhideWhenUsed/>
    <w:rsid w:val="00633BB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1339</Words>
  <Characters>7637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Rocío Alayón Morell</cp:lastModifiedBy>
  <cp:revision>3</cp:revision>
  <cp:lastPrinted>2025-10-10T16:02:00Z</cp:lastPrinted>
  <dcterms:created xsi:type="dcterms:W3CDTF">2026-05-15T13:13:00Z</dcterms:created>
  <dcterms:modified xsi:type="dcterms:W3CDTF">2026-05-15T20:04:00Z</dcterms:modified>
</cp:coreProperties>
</file>