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2D693" w14:textId="39860BDB" w:rsidR="003E7820" w:rsidRPr="003C2711" w:rsidRDefault="007F0513" w:rsidP="003E7820">
      <w:pPr>
        <w:spacing w:after="0" w:line="240" w:lineRule="auto"/>
        <w:jc w:val="center"/>
        <w:rPr>
          <w:rFonts w:ascii="Book Antiqua" w:eastAsia="Times New Roman" w:hAnsi="Book Antiqua"/>
          <w:sz w:val="28"/>
          <w:szCs w:val="20"/>
          <w:lang w:val="es-ES_tradnl"/>
        </w:rPr>
      </w:pPr>
      <w:r>
        <w:rPr>
          <w:rFonts w:ascii="Book Antiqua" w:eastAsia="Times New Roman" w:hAnsi="Book Antiqua"/>
          <w:sz w:val="28"/>
          <w:szCs w:val="20"/>
          <w:lang w:val="es-ES_tradnl"/>
        </w:rPr>
        <w:t>GOBIERNO DE PUERTO RICO</w:t>
      </w:r>
    </w:p>
    <w:p w14:paraId="08BEACE2" w14:textId="77777777" w:rsidR="003E7820" w:rsidRPr="00E967F4" w:rsidRDefault="003E7820" w:rsidP="003E7820">
      <w:pPr>
        <w:spacing w:after="0" w:line="240" w:lineRule="auto"/>
        <w:jc w:val="center"/>
        <w:rPr>
          <w:rFonts w:ascii="Book Antiqua" w:eastAsia="Times New Roman" w:hAnsi="Book Antiqua"/>
          <w:sz w:val="24"/>
          <w:szCs w:val="20"/>
          <w:lang w:val="es-ES_tradnl"/>
        </w:rPr>
      </w:pPr>
    </w:p>
    <w:p w14:paraId="15FB07A9" w14:textId="5E7EDAFF" w:rsidR="003E7820" w:rsidRPr="003C2711" w:rsidRDefault="003958A5" w:rsidP="003E7820">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20m</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Asamblea</w:t>
      </w:r>
      <w:r w:rsidR="003E7820" w:rsidRPr="003C2711">
        <w:rPr>
          <w:rFonts w:ascii="Book Antiqua" w:eastAsia="Times New Roman" w:hAnsi="Book Antiqua"/>
          <w:sz w:val="24"/>
          <w:szCs w:val="20"/>
          <w:lang w:val="es-ES_tradnl"/>
        </w:rPr>
        <w:tab/>
      </w:r>
      <w:r w:rsidR="00276907">
        <w:rPr>
          <w:rFonts w:ascii="Book Antiqua" w:eastAsia="Times New Roman" w:hAnsi="Book Antiqua"/>
          <w:sz w:val="24"/>
          <w:szCs w:val="20"/>
          <w:lang w:val="es-ES_tradnl"/>
        </w:rPr>
        <w:t>3</w:t>
      </w:r>
      <w:r>
        <w:rPr>
          <w:rFonts w:ascii="Book Antiqua" w:eastAsia="Times New Roman" w:hAnsi="Book Antiqua"/>
          <w:sz w:val="24"/>
          <w:szCs w:val="20"/>
          <w:lang w:val="es-ES_tradnl"/>
        </w:rPr>
        <w:t>r</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Sesión</w:t>
      </w:r>
    </w:p>
    <w:p w14:paraId="5A61A2A7" w14:textId="77777777" w:rsidR="003E7820" w:rsidRPr="003C2711" w:rsidRDefault="003E7820" w:rsidP="003E7820">
      <w:pPr>
        <w:tabs>
          <w:tab w:val="left" w:pos="648"/>
          <w:tab w:val="right" w:pos="7776"/>
          <w:tab w:val="left" w:pos="7848"/>
        </w:tabs>
        <w:spacing w:after="0" w:line="240" w:lineRule="auto"/>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ab/>
        <w:t>Legislativa</w:t>
      </w:r>
      <w:r w:rsidRPr="003C2711">
        <w:rPr>
          <w:rFonts w:ascii="Book Antiqua" w:eastAsia="Times New Roman" w:hAnsi="Book Antiqua"/>
          <w:sz w:val="24"/>
          <w:szCs w:val="20"/>
          <w:lang w:val="es-ES_tradnl"/>
        </w:rPr>
        <w:tab/>
      </w:r>
      <w:r w:rsidRPr="003C2711">
        <w:rPr>
          <w:rFonts w:ascii="Book Antiqua" w:eastAsia="Times New Roman" w:hAnsi="Book Antiqua"/>
          <w:sz w:val="24"/>
          <w:szCs w:val="20"/>
          <w:lang w:val="es-ES_tradnl"/>
        </w:rPr>
        <w:tab/>
        <w:t>Ordinaria</w:t>
      </w:r>
    </w:p>
    <w:p w14:paraId="6EA9CCB6" w14:textId="77777777" w:rsidR="003E7820" w:rsidRPr="003C2711" w:rsidRDefault="003E7820" w:rsidP="003E7820">
      <w:pPr>
        <w:spacing w:after="0" w:line="240" w:lineRule="auto"/>
        <w:rPr>
          <w:rFonts w:ascii="Times New Roman" w:eastAsia="Times New Roman" w:hAnsi="Times New Roman"/>
          <w:sz w:val="24"/>
          <w:szCs w:val="20"/>
          <w:lang w:val="es-ES_tradnl"/>
        </w:rPr>
      </w:pPr>
    </w:p>
    <w:p w14:paraId="031F5F7A" w14:textId="77777777" w:rsidR="003E7820" w:rsidRDefault="003E7820" w:rsidP="003E7820">
      <w:pPr>
        <w:spacing w:after="0" w:line="240" w:lineRule="auto"/>
        <w:jc w:val="center"/>
        <w:rPr>
          <w:rFonts w:ascii="Book Antiqua" w:eastAsia="Times New Roman" w:hAnsi="Book Antiqua"/>
          <w:b/>
          <w:sz w:val="36"/>
          <w:szCs w:val="20"/>
          <w:lang w:val="es-ES_tradnl"/>
        </w:rPr>
      </w:pPr>
      <w:r w:rsidRPr="003C2711">
        <w:rPr>
          <w:rFonts w:ascii="Book Antiqua" w:eastAsia="Times New Roman" w:hAnsi="Book Antiqua"/>
          <w:b/>
          <w:sz w:val="36"/>
          <w:szCs w:val="20"/>
          <w:lang w:val="es-ES_tradnl"/>
        </w:rPr>
        <w:t>CÁMARA DE REPRESENTANTES</w:t>
      </w:r>
    </w:p>
    <w:p w14:paraId="659E7A73" w14:textId="77777777" w:rsidR="003E7820" w:rsidRPr="00E967F4" w:rsidRDefault="003E7820" w:rsidP="003E7820">
      <w:pPr>
        <w:spacing w:after="0" w:line="240" w:lineRule="auto"/>
        <w:jc w:val="center"/>
        <w:rPr>
          <w:rFonts w:ascii="Book Antiqua" w:eastAsia="Times New Roman" w:hAnsi="Book Antiqua"/>
          <w:b/>
          <w:sz w:val="24"/>
          <w:szCs w:val="24"/>
          <w:lang w:val="es-ES_tradnl"/>
        </w:rPr>
      </w:pPr>
    </w:p>
    <w:p w14:paraId="0BCC714A" w14:textId="361FBDC8" w:rsidR="003E7820" w:rsidRDefault="003E7820" w:rsidP="003E7820">
      <w:pPr>
        <w:spacing w:after="0" w:line="240" w:lineRule="auto"/>
        <w:jc w:val="center"/>
        <w:rPr>
          <w:rFonts w:ascii="Book Antiqua" w:eastAsia="Times New Roman" w:hAnsi="Book Antiqua"/>
          <w:b/>
          <w:sz w:val="52"/>
          <w:szCs w:val="20"/>
          <w:lang w:val="es-ES_tradnl"/>
        </w:rPr>
      </w:pPr>
      <w:r w:rsidRPr="003C2711">
        <w:rPr>
          <w:rFonts w:ascii="Book Antiqua" w:eastAsia="Times New Roman" w:hAnsi="Book Antiqua"/>
          <w:b/>
          <w:sz w:val="52"/>
          <w:szCs w:val="20"/>
          <w:lang w:val="es-ES_tradnl"/>
        </w:rPr>
        <w:t xml:space="preserve">R. de la C. </w:t>
      </w:r>
      <w:r w:rsidR="00D90609">
        <w:rPr>
          <w:rFonts w:ascii="Book Antiqua" w:eastAsia="Times New Roman" w:hAnsi="Book Antiqua"/>
          <w:b/>
          <w:sz w:val="52"/>
          <w:szCs w:val="20"/>
          <w:lang w:val="es-ES_tradnl"/>
        </w:rPr>
        <w:t>703</w:t>
      </w:r>
    </w:p>
    <w:p w14:paraId="59ED1EB6" w14:textId="77777777" w:rsidR="0052204D" w:rsidRPr="003C2711" w:rsidRDefault="0052204D" w:rsidP="003E7820">
      <w:pPr>
        <w:spacing w:after="0" w:line="240" w:lineRule="auto"/>
        <w:jc w:val="center"/>
        <w:rPr>
          <w:rFonts w:ascii="Book Antiqua" w:eastAsia="Times New Roman" w:hAnsi="Book Antiqua"/>
          <w:b/>
          <w:sz w:val="24"/>
          <w:szCs w:val="20"/>
          <w:lang w:val="es-ES_tradnl"/>
        </w:rPr>
      </w:pPr>
    </w:p>
    <w:p w14:paraId="3D22D064" w14:textId="71BCDC9D" w:rsidR="003E7820" w:rsidRPr="00981703" w:rsidRDefault="00D90609" w:rsidP="003E7820">
      <w:pPr>
        <w:spacing w:after="0" w:line="240" w:lineRule="auto"/>
        <w:jc w:val="center"/>
        <w:rPr>
          <w:rFonts w:ascii="Book Antiqua" w:eastAsia="Times New Roman" w:hAnsi="Book Antiqua"/>
          <w:sz w:val="24"/>
          <w:szCs w:val="24"/>
          <w:lang w:val="es-ES_tradnl"/>
        </w:rPr>
      </w:pPr>
      <w:r>
        <w:rPr>
          <w:rFonts w:ascii="Book Antiqua" w:eastAsia="Times New Roman" w:hAnsi="Book Antiqua"/>
          <w:sz w:val="24"/>
          <w:szCs w:val="24"/>
          <w:lang w:val="es-ES_tradnl"/>
        </w:rPr>
        <w:t>14</w:t>
      </w:r>
      <w:r w:rsidR="00DE6616" w:rsidRPr="00981703">
        <w:rPr>
          <w:rFonts w:ascii="Book Antiqua" w:eastAsia="Times New Roman" w:hAnsi="Book Antiqua"/>
          <w:sz w:val="24"/>
          <w:szCs w:val="24"/>
          <w:lang w:val="es-ES_tradnl"/>
        </w:rPr>
        <w:t xml:space="preserve"> </w:t>
      </w:r>
      <w:r w:rsidR="003E7820" w:rsidRPr="00981703">
        <w:rPr>
          <w:rFonts w:ascii="Book Antiqua" w:eastAsia="Times New Roman" w:hAnsi="Book Antiqua"/>
          <w:sz w:val="24"/>
          <w:szCs w:val="24"/>
          <w:lang w:val="es-ES_tradnl"/>
        </w:rPr>
        <w:t xml:space="preserve">DE </w:t>
      </w:r>
      <w:r w:rsidR="00F03A83" w:rsidRPr="00981703">
        <w:rPr>
          <w:rFonts w:ascii="Book Antiqua" w:eastAsia="Times New Roman" w:hAnsi="Book Antiqua"/>
          <w:sz w:val="24"/>
          <w:szCs w:val="24"/>
          <w:lang w:val="es-ES_tradnl"/>
        </w:rPr>
        <w:t>MAYO</w:t>
      </w:r>
      <w:r w:rsidR="00DD4ED0" w:rsidRPr="00981703">
        <w:rPr>
          <w:rFonts w:ascii="Book Antiqua" w:eastAsia="Times New Roman" w:hAnsi="Book Antiqua"/>
          <w:sz w:val="24"/>
          <w:szCs w:val="24"/>
          <w:lang w:val="es-ES_tradnl"/>
        </w:rPr>
        <w:t xml:space="preserve"> </w:t>
      </w:r>
      <w:r w:rsidR="003E7820" w:rsidRPr="00981703">
        <w:rPr>
          <w:rFonts w:ascii="Book Antiqua" w:eastAsia="Times New Roman" w:hAnsi="Book Antiqua"/>
          <w:sz w:val="24"/>
          <w:szCs w:val="24"/>
          <w:lang w:val="es-ES_tradnl"/>
        </w:rPr>
        <w:t>DE 202</w:t>
      </w:r>
      <w:r w:rsidR="00276907">
        <w:rPr>
          <w:rFonts w:ascii="Book Antiqua" w:eastAsia="Times New Roman" w:hAnsi="Book Antiqua"/>
          <w:sz w:val="24"/>
          <w:szCs w:val="24"/>
          <w:lang w:val="es-ES_tradnl"/>
        </w:rPr>
        <w:t>6</w:t>
      </w:r>
    </w:p>
    <w:p w14:paraId="7BA1621E" w14:textId="77777777" w:rsidR="003E7820" w:rsidRPr="00981703" w:rsidRDefault="003E7820" w:rsidP="003E7820">
      <w:pPr>
        <w:spacing w:after="0" w:line="240" w:lineRule="auto"/>
        <w:jc w:val="center"/>
        <w:rPr>
          <w:rFonts w:ascii="Book Antiqua" w:eastAsia="Times New Roman" w:hAnsi="Book Antiqua"/>
          <w:sz w:val="24"/>
          <w:szCs w:val="24"/>
          <w:lang w:val="es-ES_tradnl"/>
        </w:rPr>
      </w:pPr>
    </w:p>
    <w:p w14:paraId="793E1846" w14:textId="61CD6651" w:rsidR="003E7820" w:rsidRPr="00981703" w:rsidRDefault="003E7820" w:rsidP="003E7820">
      <w:pPr>
        <w:spacing w:after="0" w:line="240" w:lineRule="auto"/>
        <w:jc w:val="center"/>
        <w:rPr>
          <w:rFonts w:ascii="Book Antiqua" w:eastAsia="Times New Roman" w:hAnsi="Book Antiqua"/>
          <w:i/>
          <w:sz w:val="24"/>
          <w:szCs w:val="24"/>
          <w:lang w:val="es-ES_tradnl"/>
        </w:rPr>
      </w:pPr>
      <w:r w:rsidRPr="00981703">
        <w:rPr>
          <w:rFonts w:ascii="Book Antiqua" w:eastAsia="Times New Roman" w:hAnsi="Book Antiqua"/>
          <w:sz w:val="24"/>
          <w:szCs w:val="24"/>
          <w:lang w:val="es-ES_tradnl"/>
        </w:rPr>
        <w:t xml:space="preserve">Presentada por el representante </w:t>
      </w:r>
      <w:r w:rsidR="00F03A83" w:rsidRPr="00981703">
        <w:rPr>
          <w:rFonts w:ascii="Book Antiqua" w:eastAsia="Times New Roman" w:hAnsi="Book Antiqua"/>
          <w:i/>
          <w:sz w:val="24"/>
          <w:szCs w:val="24"/>
          <w:lang w:val="es-ES_tradnl"/>
        </w:rPr>
        <w:t>Muriel Sánchez</w:t>
      </w:r>
    </w:p>
    <w:p w14:paraId="5E362D8A" w14:textId="77777777" w:rsidR="003E7820" w:rsidRPr="00981703" w:rsidRDefault="003E7820" w:rsidP="003E7820">
      <w:pPr>
        <w:spacing w:after="0" w:line="240" w:lineRule="auto"/>
        <w:jc w:val="center"/>
        <w:rPr>
          <w:rFonts w:ascii="Book Antiqua" w:eastAsia="Times New Roman" w:hAnsi="Book Antiqua"/>
          <w:sz w:val="24"/>
          <w:szCs w:val="24"/>
          <w:lang w:val="es-ES_tradnl"/>
        </w:rPr>
      </w:pPr>
    </w:p>
    <w:p w14:paraId="5F7DE790" w14:textId="4C83385B" w:rsidR="003E7820" w:rsidRPr="00981703" w:rsidRDefault="003E7820" w:rsidP="003E7820">
      <w:pPr>
        <w:spacing w:after="0" w:line="240" w:lineRule="auto"/>
        <w:jc w:val="center"/>
        <w:rPr>
          <w:rFonts w:ascii="Book Antiqua" w:eastAsia="Times New Roman" w:hAnsi="Book Antiqua"/>
          <w:sz w:val="24"/>
          <w:szCs w:val="24"/>
          <w:lang w:val="es-ES_tradnl"/>
        </w:rPr>
      </w:pPr>
      <w:r w:rsidRPr="00981703">
        <w:rPr>
          <w:rFonts w:ascii="Book Antiqua" w:eastAsia="Times New Roman" w:hAnsi="Book Antiqua"/>
          <w:sz w:val="24"/>
          <w:szCs w:val="24"/>
          <w:lang w:val="es-ES_tradnl"/>
        </w:rPr>
        <w:t xml:space="preserve">Referida a la Comisión de </w:t>
      </w:r>
      <w:r w:rsidR="0023272A">
        <w:rPr>
          <w:rFonts w:ascii="Book Antiqua" w:eastAsia="Times New Roman" w:hAnsi="Book Antiqua"/>
          <w:sz w:val="24"/>
          <w:szCs w:val="24"/>
          <w:lang w:val="es-ES_tradnl"/>
        </w:rPr>
        <w:t>Asuntos Internos</w:t>
      </w:r>
    </w:p>
    <w:p w14:paraId="7C2976BF"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5DBD6BC1" w14:textId="77777777" w:rsidR="003E7820" w:rsidRPr="00582258" w:rsidRDefault="003E7820" w:rsidP="003E7820">
      <w:pPr>
        <w:spacing w:after="0" w:line="240" w:lineRule="auto"/>
        <w:jc w:val="center"/>
        <w:rPr>
          <w:rFonts w:ascii="Book Antiqua" w:eastAsia="Times New Roman" w:hAnsi="Book Antiqua"/>
          <w:b/>
          <w:sz w:val="28"/>
          <w:szCs w:val="20"/>
          <w:lang w:val="es-ES_tradnl"/>
        </w:rPr>
      </w:pPr>
      <w:r w:rsidRPr="00582258">
        <w:rPr>
          <w:rFonts w:ascii="Book Antiqua" w:eastAsia="Times New Roman" w:hAnsi="Book Antiqua"/>
          <w:b/>
          <w:sz w:val="28"/>
          <w:szCs w:val="20"/>
          <w:lang w:val="es-ES_tradnl"/>
        </w:rPr>
        <w:t>RESOLUCIÓN</w:t>
      </w:r>
    </w:p>
    <w:p w14:paraId="1EDC7C51" w14:textId="77777777" w:rsidR="00BF5066" w:rsidRDefault="00BF5066" w:rsidP="000E4CC3">
      <w:pPr>
        <w:spacing w:after="0" w:line="240" w:lineRule="auto"/>
        <w:ind w:left="540" w:hanging="540"/>
        <w:jc w:val="both"/>
        <w:rPr>
          <w:rFonts w:ascii="Book Antiqua" w:eastAsia="Times New Roman" w:hAnsi="Book Antiqua"/>
          <w:sz w:val="24"/>
          <w:szCs w:val="20"/>
          <w:lang w:val="es-ES_tradnl"/>
        </w:rPr>
      </w:pPr>
      <w:bookmarkStart w:id="0" w:name="_Hlk94518690"/>
    </w:p>
    <w:p w14:paraId="136D8C39" w14:textId="18D69FF7" w:rsidR="00794115" w:rsidRPr="00794115" w:rsidRDefault="00F73585" w:rsidP="0023272A">
      <w:pPr>
        <w:spacing w:after="0" w:line="240" w:lineRule="auto"/>
        <w:ind w:left="720" w:hanging="720"/>
        <w:jc w:val="both"/>
        <w:rPr>
          <w:rFonts w:ascii="Book Antiqua" w:hAnsi="Book Antiqua"/>
          <w:lang w:val="es-PR"/>
        </w:rPr>
      </w:pPr>
      <w:r w:rsidRPr="000E4CC3">
        <w:rPr>
          <w:rFonts w:ascii="Book Antiqua" w:hAnsi="Book Antiqua"/>
          <w:sz w:val="24"/>
          <w:szCs w:val="24"/>
          <w:lang w:val="es-PR"/>
        </w:rPr>
        <w:t xml:space="preserve">Para ordenar </w:t>
      </w:r>
      <w:bookmarkStart w:id="1" w:name="_Hlk179357528"/>
      <w:r w:rsidRPr="000E4CC3">
        <w:rPr>
          <w:rFonts w:ascii="Book Antiqua" w:hAnsi="Book Antiqua"/>
          <w:sz w:val="24"/>
          <w:szCs w:val="24"/>
          <w:lang w:val="es-PR"/>
        </w:rPr>
        <w:t xml:space="preserve">a </w:t>
      </w:r>
      <w:bookmarkStart w:id="2" w:name="_Hlk141173215"/>
      <w:r w:rsidRPr="000E4CC3">
        <w:rPr>
          <w:rFonts w:ascii="Book Antiqua" w:hAnsi="Book Antiqua"/>
          <w:sz w:val="24"/>
          <w:szCs w:val="24"/>
          <w:lang w:val="es-PR"/>
        </w:rPr>
        <w:t xml:space="preserve">la </w:t>
      </w:r>
      <w:bookmarkStart w:id="3" w:name="_Hlk141173232"/>
      <w:bookmarkStart w:id="4" w:name="_Hlk176937911"/>
      <w:bookmarkStart w:id="5" w:name="_Hlk179488671"/>
      <w:bookmarkStart w:id="6" w:name="_Hlk182824593"/>
      <w:r w:rsidRPr="000E4CC3">
        <w:rPr>
          <w:rFonts w:ascii="Book Antiqua" w:hAnsi="Book Antiqua"/>
          <w:sz w:val="24"/>
          <w:szCs w:val="24"/>
          <w:lang w:val="es-PR"/>
        </w:rPr>
        <w:t xml:space="preserve">Comisión de </w:t>
      </w:r>
      <w:bookmarkEnd w:id="0"/>
      <w:bookmarkEnd w:id="1"/>
      <w:bookmarkEnd w:id="2"/>
      <w:bookmarkEnd w:id="3"/>
      <w:bookmarkEnd w:id="4"/>
      <w:bookmarkEnd w:id="5"/>
      <w:bookmarkEnd w:id="6"/>
      <w:r w:rsidR="000E4CC3" w:rsidRPr="000E4CC3">
        <w:rPr>
          <w:rFonts w:ascii="Book Antiqua" w:hAnsi="Book Antiqua"/>
          <w:sz w:val="24"/>
          <w:szCs w:val="24"/>
          <w:lang w:val="es-PR"/>
        </w:rPr>
        <w:t xml:space="preserve">Region Este-Central de la Cámara de Representantes de Puerto Rico realizar una investigación exhaustiva </w:t>
      </w:r>
      <w:r w:rsidR="00794115" w:rsidRPr="00794115">
        <w:rPr>
          <w:rFonts w:ascii="Book Antiqua" w:hAnsi="Book Antiqua"/>
          <w:sz w:val="24"/>
          <w:szCs w:val="24"/>
          <w:lang w:val="es-PR"/>
        </w:rPr>
        <w:t>sobre las condiciones estructurales</w:t>
      </w:r>
      <w:r w:rsidR="00794115">
        <w:rPr>
          <w:rFonts w:ascii="Book Antiqua" w:hAnsi="Book Antiqua"/>
          <w:sz w:val="24"/>
          <w:szCs w:val="24"/>
          <w:lang w:val="es-PR"/>
        </w:rPr>
        <w:t xml:space="preserve"> y </w:t>
      </w:r>
      <w:r w:rsidR="00794115" w:rsidRPr="00794115">
        <w:rPr>
          <w:rFonts w:ascii="Book Antiqua" w:hAnsi="Book Antiqua"/>
          <w:sz w:val="24"/>
          <w:szCs w:val="24"/>
          <w:lang w:val="es-PR"/>
        </w:rPr>
        <w:t>seguridad de la carretera PR-3, específicamente en el sector conocido como “La Pica” en el municipio de Yabucoa, incluyendo los constantes deslizamientos de terreno, derrumbes, daños al pavimento, sistemas de drenaje y el impacto sobre la seguridad de los conductores y residentes; evaluar el estado actual de los trabajos realizados y proyectados por el Departamento de Transportación y Obras Públicas (DTOP)</w:t>
      </w:r>
      <w:r w:rsidR="00794115">
        <w:rPr>
          <w:rFonts w:ascii="Book Antiqua" w:hAnsi="Book Antiqua"/>
          <w:sz w:val="24"/>
          <w:szCs w:val="24"/>
          <w:lang w:val="es-PR"/>
        </w:rPr>
        <w:t xml:space="preserve">; </w:t>
      </w:r>
      <w:r w:rsidR="00794115" w:rsidRPr="00794115">
        <w:rPr>
          <w:rFonts w:ascii="Book Antiqua" w:hAnsi="Book Antiqua"/>
          <w:lang w:val="es-PR"/>
        </w:rPr>
        <w:t>y para otros fines relacionados.</w:t>
      </w:r>
    </w:p>
    <w:p w14:paraId="29C7812F" w14:textId="77777777" w:rsidR="003E7820" w:rsidRPr="00F73585" w:rsidRDefault="003E7820" w:rsidP="003E7820">
      <w:pPr>
        <w:spacing w:after="0" w:line="240" w:lineRule="auto"/>
        <w:rPr>
          <w:rFonts w:ascii="Book Antiqua" w:eastAsia="Times New Roman" w:hAnsi="Book Antiqua"/>
          <w:sz w:val="24"/>
          <w:szCs w:val="20"/>
          <w:lang w:val="es-PR"/>
        </w:rPr>
      </w:pPr>
    </w:p>
    <w:p w14:paraId="65B3AE6E" w14:textId="77777777" w:rsidR="003E7820" w:rsidRDefault="003E7820" w:rsidP="003E7820">
      <w:pPr>
        <w:spacing w:after="0" w:line="240" w:lineRule="auto"/>
        <w:jc w:val="center"/>
        <w:rPr>
          <w:rFonts w:ascii="Book Antiqua" w:eastAsia="Times New Roman" w:hAnsi="Book Antiqua"/>
          <w:sz w:val="24"/>
          <w:szCs w:val="20"/>
          <w:lang w:val="es-PR"/>
        </w:rPr>
      </w:pPr>
      <w:r w:rsidRPr="00BC3615">
        <w:rPr>
          <w:rFonts w:ascii="Book Antiqua" w:eastAsia="Times New Roman" w:hAnsi="Book Antiqua"/>
          <w:sz w:val="24"/>
          <w:szCs w:val="20"/>
          <w:lang w:val="es-PR"/>
        </w:rPr>
        <w:t>EXPOSICIÓN DE MOTIVOS</w:t>
      </w:r>
    </w:p>
    <w:p w14:paraId="1B6C6A8B" w14:textId="77777777" w:rsidR="00BF5066" w:rsidRDefault="00BF5066" w:rsidP="00276907">
      <w:pPr>
        <w:spacing w:after="0" w:line="240" w:lineRule="auto"/>
        <w:jc w:val="both"/>
        <w:rPr>
          <w:rFonts w:ascii="Book Antiqua" w:eastAsia="Times New Roman" w:hAnsi="Book Antiqua"/>
          <w:sz w:val="24"/>
          <w:szCs w:val="20"/>
          <w:lang w:val="es-PR"/>
        </w:rPr>
      </w:pPr>
    </w:p>
    <w:p w14:paraId="569A7E59" w14:textId="2A1B5754" w:rsidR="00BF5066" w:rsidRPr="00BF5066" w:rsidRDefault="00BF5066" w:rsidP="00276907">
      <w:pPr>
        <w:spacing w:after="0" w:line="240" w:lineRule="auto"/>
        <w:jc w:val="both"/>
        <w:rPr>
          <w:rFonts w:ascii="Book Antiqua" w:eastAsia="MS Mincho" w:hAnsi="Book Antiqua"/>
          <w:sz w:val="24"/>
          <w:szCs w:val="24"/>
          <w:lang w:val="es-PR"/>
        </w:rPr>
      </w:pPr>
      <w:r w:rsidRPr="00BF5066">
        <w:rPr>
          <w:rFonts w:ascii="Book Antiqua" w:eastAsia="MS Mincho" w:hAnsi="Book Antiqua"/>
          <w:sz w:val="24"/>
          <w:szCs w:val="24"/>
          <w:lang w:val="es-PR"/>
        </w:rPr>
        <w:t>La carretera PR-3 constituye una de las principales vías de comunicación del área este y sureste de Puerto Rico, siendo una ruta de alto tránsito para los residentes del municipio de Yabucoa y utilizada diariamente por miles de ciudadanos para transportarse a sus trabajos, escuelas, citas médicas, comercios y demás gestiones esenciales</w:t>
      </w:r>
    </w:p>
    <w:p w14:paraId="24144179" w14:textId="77777777" w:rsidR="00BF5066" w:rsidRDefault="00BF5066" w:rsidP="00276907">
      <w:pPr>
        <w:spacing w:after="0" w:line="240" w:lineRule="auto"/>
        <w:jc w:val="both"/>
        <w:rPr>
          <w:rFonts w:ascii="Book Antiqua" w:eastAsia="MS Mincho" w:hAnsi="Book Antiqua"/>
          <w:sz w:val="24"/>
          <w:szCs w:val="24"/>
          <w:lang w:val="es-PR"/>
        </w:rPr>
      </w:pPr>
    </w:p>
    <w:p w14:paraId="0F7FD506" w14:textId="5EF625C8" w:rsidR="00276907" w:rsidRPr="00276907" w:rsidRDefault="00276907" w:rsidP="00276907">
      <w:pPr>
        <w:spacing w:after="0" w:line="240" w:lineRule="auto"/>
        <w:jc w:val="both"/>
        <w:rPr>
          <w:rFonts w:ascii="Book Antiqua" w:eastAsia="MS Mincho" w:hAnsi="Book Antiqua"/>
          <w:sz w:val="24"/>
          <w:szCs w:val="24"/>
          <w:lang w:val="es-PR"/>
        </w:rPr>
      </w:pPr>
      <w:r w:rsidRPr="00276907">
        <w:rPr>
          <w:rFonts w:ascii="Book Antiqua" w:eastAsia="MS Mincho" w:hAnsi="Book Antiqua"/>
          <w:sz w:val="24"/>
          <w:szCs w:val="24"/>
          <w:lang w:val="es-PR"/>
        </w:rPr>
        <w:t>Sin embargo, el tramo conocido como “La Pica” ha presentado por años serios problemas relacionados a deslizamientos de terreno, derrumbes y deterioro de la infraestructura vial, situación que representa un peligro constante para la seguridad de quienes transitan por la zona. En múltiples ocasiones se han reportado desprendimientos de piedras, cierres parciales y totales de la vía, así como trabajos de emergencia para estabilizar el terreno.  </w:t>
      </w:r>
    </w:p>
    <w:p w14:paraId="06DE8536" w14:textId="77777777" w:rsidR="00276907" w:rsidRDefault="00276907" w:rsidP="00276907">
      <w:pPr>
        <w:spacing w:after="0" w:line="240" w:lineRule="auto"/>
        <w:jc w:val="both"/>
        <w:rPr>
          <w:rFonts w:ascii="Book Antiqua" w:eastAsia="MS Mincho" w:hAnsi="Book Antiqua"/>
          <w:sz w:val="24"/>
          <w:szCs w:val="24"/>
          <w:lang w:val="es-PR"/>
        </w:rPr>
      </w:pPr>
    </w:p>
    <w:p w14:paraId="361C0A2B" w14:textId="5D4C13B4" w:rsidR="00276907" w:rsidRPr="00276907" w:rsidRDefault="00276907" w:rsidP="00276907">
      <w:pPr>
        <w:spacing w:after="0" w:line="240" w:lineRule="auto"/>
        <w:jc w:val="both"/>
        <w:rPr>
          <w:rFonts w:ascii="Book Antiqua" w:eastAsia="MS Mincho" w:hAnsi="Book Antiqua"/>
          <w:sz w:val="24"/>
          <w:szCs w:val="24"/>
          <w:lang w:val="es-PR"/>
        </w:rPr>
      </w:pPr>
      <w:r w:rsidRPr="00276907">
        <w:rPr>
          <w:rFonts w:ascii="Book Antiqua" w:eastAsia="MS Mincho" w:hAnsi="Book Antiqua"/>
          <w:sz w:val="24"/>
          <w:szCs w:val="24"/>
          <w:lang w:val="es-PR"/>
        </w:rPr>
        <w:lastRenderedPageBreak/>
        <w:t xml:space="preserve">De igual forma, </w:t>
      </w:r>
      <w:r w:rsidR="007D543C">
        <w:rPr>
          <w:rFonts w:ascii="Book Antiqua" w:eastAsia="MS Mincho" w:hAnsi="Book Antiqua"/>
          <w:sz w:val="24"/>
          <w:szCs w:val="24"/>
          <w:lang w:val="es-PR"/>
        </w:rPr>
        <w:t xml:space="preserve">el Departamento </w:t>
      </w:r>
      <w:r w:rsidR="00794115">
        <w:rPr>
          <w:rFonts w:ascii="Book Antiqua" w:eastAsia="MS Mincho" w:hAnsi="Book Antiqua"/>
          <w:sz w:val="24"/>
          <w:szCs w:val="24"/>
          <w:lang w:val="es-PR"/>
        </w:rPr>
        <w:t>de Transportación y Obras Públicas</w:t>
      </w:r>
      <w:r w:rsidRPr="00276907">
        <w:rPr>
          <w:rFonts w:ascii="Book Antiqua" w:eastAsia="MS Mincho" w:hAnsi="Book Antiqua"/>
          <w:sz w:val="24"/>
          <w:szCs w:val="24"/>
          <w:lang w:val="es-PR"/>
        </w:rPr>
        <w:t xml:space="preserve"> ha anunciado</w:t>
      </w:r>
      <w:r>
        <w:rPr>
          <w:rFonts w:ascii="Book Antiqua" w:eastAsia="MS Mincho" w:hAnsi="Book Antiqua"/>
          <w:sz w:val="24"/>
          <w:szCs w:val="24"/>
          <w:lang w:val="es-PR"/>
        </w:rPr>
        <w:t xml:space="preserve"> diferentes</w:t>
      </w:r>
      <w:r w:rsidRPr="00276907">
        <w:rPr>
          <w:rFonts w:ascii="Book Antiqua" w:eastAsia="MS Mincho" w:hAnsi="Book Antiqua"/>
          <w:sz w:val="24"/>
          <w:szCs w:val="24"/>
          <w:lang w:val="es-PR"/>
        </w:rPr>
        <w:t xml:space="preserve"> proyectos para atender varios deslizamientos en el área mediante la construcción de muros de contención, instalación de drenajes y mejoras de seguridad vial.   No obstante, persiste la preocupación entre residentes y conductores sobre la efectividad de las medidas implementadas, la duración de los trabajos y la estabilidad a largo plazo del área.</w:t>
      </w:r>
    </w:p>
    <w:p w14:paraId="6F6930DE" w14:textId="77777777" w:rsidR="00276907" w:rsidRDefault="00276907" w:rsidP="00276907">
      <w:pPr>
        <w:spacing w:after="0" w:line="240" w:lineRule="auto"/>
        <w:jc w:val="both"/>
        <w:rPr>
          <w:rFonts w:ascii="Book Antiqua" w:eastAsia="MS Mincho" w:hAnsi="Book Antiqua"/>
          <w:sz w:val="24"/>
          <w:szCs w:val="24"/>
          <w:lang w:val="es-PR"/>
        </w:rPr>
      </w:pPr>
    </w:p>
    <w:p w14:paraId="6CBED5EE" w14:textId="1EC7BB4D" w:rsidR="00276907" w:rsidRPr="00276907" w:rsidRDefault="00276907" w:rsidP="00276907">
      <w:pPr>
        <w:spacing w:after="0" w:line="240" w:lineRule="auto"/>
        <w:jc w:val="both"/>
        <w:rPr>
          <w:rFonts w:ascii="Book Antiqua" w:eastAsia="MS Mincho" w:hAnsi="Book Antiqua"/>
          <w:sz w:val="24"/>
          <w:szCs w:val="24"/>
          <w:lang w:val="es-PR"/>
        </w:rPr>
      </w:pPr>
      <w:r w:rsidRPr="00276907">
        <w:rPr>
          <w:rFonts w:ascii="Book Antiqua" w:eastAsia="MS Mincho" w:hAnsi="Book Antiqua"/>
          <w:sz w:val="24"/>
          <w:szCs w:val="24"/>
          <w:lang w:val="es-PR"/>
        </w:rPr>
        <w:t>Resulta indispensable que esta Asamblea Legislativa investigue el estado actual de esta importante vía, los riesgos existentes para la ciudadanía y las acciones correctivas necesarias para garantizar una carretera segura, resiliente y adecuada para el tránsito diario.</w:t>
      </w:r>
    </w:p>
    <w:p w14:paraId="5163C20F" w14:textId="77777777" w:rsidR="00EA7D4D" w:rsidRPr="009F37C1" w:rsidRDefault="00EA7D4D" w:rsidP="009F37C1">
      <w:pPr>
        <w:spacing w:after="0" w:line="240" w:lineRule="auto"/>
        <w:jc w:val="both"/>
        <w:rPr>
          <w:rFonts w:ascii="Book Antiqua" w:eastAsia="MS Mincho" w:hAnsi="Book Antiqua"/>
          <w:sz w:val="24"/>
          <w:szCs w:val="24"/>
          <w:lang w:val="es-PR"/>
        </w:rPr>
      </w:pPr>
    </w:p>
    <w:p w14:paraId="672D5453" w14:textId="58A958D8" w:rsidR="003E7820" w:rsidRPr="00683111" w:rsidRDefault="003E7820" w:rsidP="00EA7D4D">
      <w:pPr>
        <w:spacing w:after="0" w:line="480" w:lineRule="auto"/>
        <w:jc w:val="both"/>
        <w:rPr>
          <w:rFonts w:ascii="Book Antiqua" w:eastAsia="Times New Roman" w:hAnsi="Book Antiqua"/>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5108F28E" w14:textId="77777777" w:rsidR="003E7820" w:rsidRPr="005A7AF4" w:rsidRDefault="003E7820" w:rsidP="00EA7D4D">
      <w:pPr>
        <w:spacing w:after="0" w:line="480" w:lineRule="auto"/>
        <w:jc w:val="both"/>
        <w:rPr>
          <w:rFonts w:ascii="Book Antiqua" w:eastAsia="Times New Roman" w:hAnsi="Book Antiqua"/>
          <w:sz w:val="24"/>
          <w:szCs w:val="24"/>
          <w:highlight w:val="yellow"/>
          <w:lang w:val="es-ES_tradnl"/>
        </w:rPr>
        <w:sectPr w:rsidR="003E7820" w:rsidRPr="005A7AF4" w:rsidSect="003E7820">
          <w:headerReference w:type="even" r:id="rId7"/>
          <w:headerReference w:type="default" r:id="rId8"/>
          <w:headerReference w:type="first" r:id="rId9"/>
          <w:pgSz w:w="12240" w:h="15840" w:code="1"/>
          <w:pgMar w:top="1440" w:right="1440" w:bottom="1440" w:left="1440" w:header="720" w:footer="720" w:gutter="0"/>
          <w:cols w:space="720"/>
          <w:titlePg/>
          <w:docGrid w:linePitch="360"/>
        </w:sectPr>
      </w:pPr>
    </w:p>
    <w:p w14:paraId="38F43780" w14:textId="5D6F5455" w:rsidR="006B6A13" w:rsidRPr="00794115" w:rsidRDefault="003E7820" w:rsidP="006B6A13">
      <w:pPr>
        <w:spacing w:after="0" w:line="480" w:lineRule="auto"/>
        <w:ind w:firstLine="567"/>
        <w:jc w:val="both"/>
        <w:rPr>
          <w:rFonts w:ascii="Book Antiqua" w:hAnsi="Book Antiqua"/>
          <w:sz w:val="24"/>
          <w:szCs w:val="24"/>
          <w:lang w:val="es-PR"/>
        </w:rPr>
      </w:pPr>
      <w:r w:rsidRPr="00794115">
        <w:rPr>
          <w:rFonts w:ascii="Book Antiqua" w:eastAsia="MS Mincho" w:hAnsi="Book Antiqua"/>
          <w:sz w:val="24"/>
          <w:szCs w:val="24"/>
          <w:lang w:val="es-PR"/>
        </w:rPr>
        <w:t>Sección 1.-</w:t>
      </w:r>
      <w:r w:rsidR="00C96AE7" w:rsidRPr="00794115">
        <w:rPr>
          <w:rFonts w:ascii="Book Antiqua" w:hAnsi="Book Antiqua"/>
          <w:sz w:val="24"/>
          <w:szCs w:val="24"/>
          <w:lang w:val="es-PR"/>
        </w:rPr>
        <w:t xml:space="preserve"> </w:t>
      </w:r>
      <w:r w:rsidR="006B6A13" w:rsidRPr="00794115">
        <w:rPr>
          <w:rFonts w:ascii="Book Antiqua" w:hAnsi="Book Antiqua"/>
          <w:sz w:val="24"/>
          <w:szCs w:val="24"/>
          <w:lang w:val="es-PR"/>
        </w:rPr>
        <w:t>Se ordena a la Comisión de Región Este-Central de la Cámara de Representantes de Puerto Rico realizar una investigación exhaustiva sobre las condiciones de la carretera PR-3 en el sector conocido como “La Pica”, en</w:t>
      </w:r>
      <w:r w:rsidR="00794115">
        <w:rPr>
          <w:rFonts w:ascii="Book Antiqua" w:hAnsi="Book Antiqua"/>
          <w:sz w:val="24"/>
          <w:szCs w:val="24"/>
          <w:lang w:val="es-PR"/>
        </w:rPr>
        <w:t xml:space="preserve"> el tramo que corresponde al</w:t>
      </w:r>
      <w:r w:rsidR="006B6A13" w:rsidRPr="00794115">
        <w:rPr>
          <w:rFonts w:ascii="Book Antiqua" w:hAnsi="Book Antiqua"/>
          <w:sz w:val="24"/>
          <w:szCs w:val="24"/>
          <w:lang w:val="es-PR"/>
        </w:rPr>
        <w:t xml:space="preserve"> </w:t>
      </w:r>
      <w:r w:rsidR="00794115">
        <w:rPr>
          <w:rFonts w:ascii="Book Antiqua" w:hAnsi="Book Antiqua"/>
          <w:sz w:val="24"/>
          <w:szCs w:val="24"/>
          <w:lang w:val="es-PR"/>
        </w:rPr>
        <w:t>M</w:t>
      </w:r>
      <w:r w:rsidR="006B6A13" w:rsidRPr="00794115">
        <w:rPr>
          <w:rFonts w:ascii="Book Antiqua" w:hAnsi="Book Antiqua"/>
          <w:sz w:val="24"/>
          <w:szCs w:val="24"/>
          <w:lang w:val="es-PR"/>
        </w:rPr>
        <w:t>unicipio de Yabucoa</w:t>
      </w:r>
      <w:r w:rsidR="00794115">
        <w:rPr>
          <w:rFonts w:ascii="Book Antiqua" w:hAnsi="Book Antiqua"/>
          <w:sz w:val="24"/>
          <w:szCs w:val="24"/>
          <w:lang w:val="es-PR"/>
        </w:rPr>
        <w:t xml:space="preserve">. </w:t>
      </w:r>
    </w:p>
    <w:p w14:paraId="636C1444" w14:textId="77777777" w:rsidR="006B6A13" w:rsidRPr="00794115" w:rsidRDefault="003E7820" w:rsidP="006B6A13">
      <w:pPr>
        <w:widowControl w:val="0"/>
        <w:spacing w:after="0" w:line="480" w:lineRule="auto"/>
        <w:ind w:firstLine="567"/>
        <w:jc w:val="both"/>
        <w:rPr>
          <w:rFonts w:ascii="Book Antiqua" w:eastAsia="MS Mincho" w:hAnsi="Book Antiqua"/>
          <w:sz w:val="24"/>
          <w:szCs w:val="24"/>
          <w:lang w:val="es-PR"/>
        </w:rPr>
      </w:pPr>
      <w:r w:rsidRPr="00794115">
        <w:rPr>
          <w:rFonts w:ascii="Book Antiqua" w:eastAsia="MS Mincho" w:hAnsi="Book Antiqua"/>
          <w:sz w:val="24"/>
          <w:szCs w:val="24"/>
          <w:lang w:val="es-PR"/>
        </w:rPr>
        <w:t xml:space="preserve">Sección 2.- </w:t>
      </w:r>
      <w:r w:rsidR="006B6A13" w:rsidRPr="00794115">
        <w:rPr>
          <w:rFonts w:ascii="Book Antiqua" w:eastAsia="MS Mincho" w:hAnsi="Book Antiqua"/>
          <w:sz w:val="24"/>
          <w:szCs w:val="24"/>
          <w:lang w:val="es-PR"/>
        </w:rPr>
        <w:t>La investigación deberá incluir, pero no limitarse a:</w:t>
      </w:r>
    </w:p>
    <w:p w14:paraId="445270B6" w14:textId="77777777" w:rsidR="006B6A13" w:rsidRPr="00794115" w:rsidRDefault="006B6A13" w:rsidP="006B6A13">
      <w:pPr>
        <w:widowControl w:val="0"/>
        <w:spacing w:after="0" w:line="480" w:lineRule="auto"/>
        <w:ind w:firstLine="567"/>
        <w:jc w:val="both"/>
        <w:rPr>
          <w:rFonts w:ascii="Book Antiqua" w:eastAsia="MS Mincho" w:hAnsi="Book Antiqua"/>
          <w:sz w:val="24"/>
          <w:szCs w:val="24"/>
          <w:lang w:val="es-PR"/>
        </w:rPr>
      </w:pPr>
      <w:r w:rsidRPr="00794115">
        <w:rPr>
          <w:rFonts w:ascii="Book Antiqua" w:eastAsia="MS Mincho" w:hAnsi="Book Antiqua"/>
          <w:sz w:val="24"/>
          <w:szCs w:val="24"/>
          <w:lang w:val="es-PR"/>
        </w:rPr>
        <w:t>a. El estado estructural de la vía y sus áreas adyacentes;</w:t>
      </w:r>
    </w:p>
    <w:p w14:paraId="29BAC132" w14:textId="77777777" w:rsidR="006B6A13" w:rsidRPr="00794115" w:rsidRDefault="006B6A13" w:rsidP="006B6A13">
      <w:pPr>
        <w:widowControl w:val="0"/>
        <w:spacing w:after="0" w:line="480" w:lineRule="auto"/>
        <w:ind w:firstLine="567"/>
        <w:jc w:val="both"/>
        <w:rPr>
          <w:rFonts w:ascii="Book Antiqua" w:eastAsia="MS Mincho" w:hAnsi="Book Antiqua"/>
          <w:sz w:val="24"/>
          <w:szCs w:val="24"/>
          <w:lang w:val="es-PR"/>
        </w:rPr>
      </w:pPr>
      <w:r w:rsidRPr="00794115">
        <w:rPr>
          <w:rFonts w:ascii="Book Antiqua" w:eastAsia="MS Mincho" w:hAnsi="Book Antiqua"/>
          <w:sz w:val="24"/>
          <w:szCs w:val="24"/>
          <w:lang w:val="es-PR"/>
        </w:rPr>
        <w:t>b. Los deslizamientos de terreno y derrumbes reportados en la zona;</w:t>
      </w:r>
    </w:p>
    <w:p w14:paraId="727FFB70" w14:textId="20428CCB" w:rsidR="006B6A13" w:rsidRPr="00794115" w:rsidRDefault="006B6A13" w:rsidP="006B6A13">
      <w:pPr>
        <w:widowControl w:val="0"/>
        <w:spacing w:after="0" w:line="480" w:lineRule="auto"/>
        <w:ind w:firstLine="567"/>
        <w:jc w:val="both"/>
        <w:rPr>
          <w:rFonts w:ascii="Book Antiqua" w:eastAsia="MS Mincho" w:hAnsi="Book Antiqua"/>
          <w:sz w:val="24"/>
          <w:szCs w:val="24"/>
          <w:lang w:val="es-PR"/>
        </w:rPr>
      </w:pPr>
      <w:r w:rsidRPr="00794115">
        <w:rPr>
          <w:rFonts w:ascii="Book Antiqua" w:eastAsia="MS Mincho" w:hAnsi="Book Antiqua"/>
          <w:sz w:val="24"/>
          <w:szCs w:val="24"/>
          <w:lang w:val="es-PR"/>
        </w:rPr>
        <w:t>c. Los trabajos realizados, en proceso o proyectados por el DTOP</w:t>
      </w:r>
      <w:r w:rsidR="00794115" w:rsidRPr="00794115">
        <w:rPr>
          <w:rFonts w:ascii="Book Antiqua" w:eastAsia="MS Mincho" w:hAnsi="Book Antiqua"/>
          <w:sz w:val="24"/>
          <w:szCs w:val="24"/>
          <w:lang w:val="es-PR"/>
        </w:rPr>
        <w:t>.</w:t>
      </w:r>
    </w:p>
    <w:p w14:paraId="32DDED07" w14:textId="508A36A1" w:rsidR="006B6A13" w:rsidRPr="00794115" w:rsidRDefault="006B6A13" w:rsidP="006B6A13">
      <w:pPr>
        <w:widowControl w:val="0"/>
        <w:spacing w:after="0" w:line="480" w:lineRule="auto"/>
        <w:ind w:firstLine="567"/>
        <w:jc w:val="both"/>
        <w:rPr>
          <w:rFonts w:ascii="Book Antiqua" w:eastAsia="MS Mincho" w:hAnsi="Book Antiqua"/>
          <w:sz w:val="24"/>
          <w:szCs w:val="24"/>
          <w:lang w:val="es-PR"/>
        </w:rPr>
      </w:pPr>
      <w:r w:rsidRPr="00794115">
        <w:rPr>
          <w:rFonts w:ascii="Book Antiqua" w:eastAsia="MS Mincho" w:hAnsi="Book Antiqua"/>
          <w:sz w:val="24"/>
          <w:szCs w:val="24"/>
          <w:lang w:val="es-PR"/>
        </w:rPr>
        <w:t>d. El uso e inversión de fondos estatales y federales destinados a las reparaciones;</w:t>
      </w:r>
    </w:p>
    <w:p w14:paraId="06DAEA68" w14:textId="546AD02D" w:rsidR="006B6A13" w:rsidRPr="00794115" w:rsidRDefault="006B6A13" w:rsidP="006B6A13">
      <w:pPr>
        <w:widowControl w:val="0"/>
        <w:spacing w:after="0" w:line="480" w:lineRule="auto"/>
        <w:ind w:firstLine="567"/>
        <w:jc w:val="both"/>
        <w:rPr>
          <w:rFonts w:ascii="Book Antiqua" w:eastAsia="MS Mincho" w:hAnsi="Book Antiqua"/>
          <w:sz w:val="24"/>
          <w:szCs w:val="24"/>
          <w:lang w:val="es-PR"/>
        </w:rPr>
      </w:pPr>
      <w:r w:rsidRPr="00794115">
        <w:rPr>
          <w:rFonts w:ascii="Book Antiqua" w:eastAsia="MS Mincho" w:hAnsi="Book Antiqua"/>
          <w:sz w:val="24"/>
          <w:szCs w:val="24"/>
          <w:lang w:val="es-PR"/>
        </w:rPr>
        <w:t>e. La necesidad de trabajos adicionales de mitigación y estabilización; y</w:t>
      </w:r>
    </w:p>
    <w:p w14:paraId="175F487D" w14:textId="42D0F6C1" w:rsidR="006B6A13" w:rsidRPr="00794115" w:rsidRDefault="006B6A13" w:rsidP="006B6A13">
      <w:pPr>
        <w:widowControl w:val="0"/>
        <w:spacing w:after="0" w:line="480" w:lineRule="auto"/>
        <w:ind w:firstLine="567"/>
        <w:jc w:val="both"/>
        <w:rPr>
          <w:rFonts w:ascii="Book Antiqua" w:eastAsia="MS Mincho" w:hAnsi="Book Antiqua"/>
          <w:sz w:val="24"/>
          <w:szCs w:val="24"/>
          <w:lang w:val="es-PR"/>
        </w:rPr>
      </w:pPr>
      <w:r w:rsidRPr="00794115">
        <w:rPr>
          <w:rFonts w:ascii="Book Antiqua" w:eastAsia="MS Mincho" w:hAnsi="Book Antiqua"/>
          <w:sz w:val="24"/>
          <w:szCs w:val="24"/>
          <w:lang w:val="es-PR"/>
        </w:rPr>
        <w:t>f. Recomendaciones para garantizar una solución permanente y segura para esta vía.</w:t>
      </w:r>
    </w:p>
    <w:p w14:paraId="1DBB887B" w14:textId="5B2D74DF" w:rsidR="006B6A13" w:rsidRPr="00794115" w:rsidRDefault="003E7820" w:rsidP="006B6A13">
      <w:pPr>
        <w:widowControl w:val="0"/>
        <w:spacing w:after="0" w:line="480" w:lineRule="auto"/>
        <w:ind w:firstLine="567"/>
        <w:jc w:val="both"/>
        <w:rPr>
          <w:rFonts w:ascii="Book Antiqua" w:eastAsia="MS Mincho" w:hAnsi="Book Antiqua"/>
          <w:sz w:val="24"/>
          <w:szCs w:val="24"/>
          <w:lang w:val="es-PR"/>
        </w:rPr>
      </w:pPr>
      <w:r w:rsidRPr="00794115">
        <w:rPr>
          <w:rFonts w:ascii="Book Antiqua" w:eastAsia="MS Mincho" w:hAnsi="Book Antiqua"/>
          <w:sz w:val="24"/>
          <w:szCs w:val="24"/>
          <w:lang w:val="es-ES_tradnl"/>
        </w:rPr>
        <w:t>Sección 3.-</w:t>
      </w:r>
      <w:r w:rsidR="006B6A13" w:rsidRPr="00794115">
        <w:rPr>
          <w:rFonts w:ascii="Aptos" w:eastAsiaTheme="minorHAnsi" w:hAnsi="Aptos" w:cs="Aptos"/>
          <w:color w:val="000000"/>
          <w:sz w:val="24"/>
          <w:szCs w:val="24"/>
          <w:lang w:val="es-PR"/>
        </w:rPr>
        <w:t xml:space="preserve"> </w:t>
      </w:r>
      <w:r w:rsidR="006B6A13" w:rsidRPr="00794115">
        <w:rPr>
          <w:rFonts w:ascii="Book Antiqua" w:eastAsia="MS Mincho" w:hAnsi="Book Antiqua"/>
          <w:sz w:val="24"/>
          <w:szCs w:val="24"/>
          <w:lang w:val="es-PR"/>
        </w:rPr>
        <w:t xml:space="preserve">La Comisión podrá celebrar vistas públicas, requerir información, documentos y comparecencias del Departamento de Transportación y Obras Públicas, la Autoridad de Carreteras y Transportación, agencias estatales y federales pertinentes, </w:t>
      </w:r>
      <w:r w:rsidR="006B6A13" w:rsidRPr="00794115">
        <w:rPr>
          <w:rFonts w:ascii="Book Antiqua" w:eastAsia="MS Mincho" w:hAnsi="Book Antiqua"/>
          <w:sz w:val="24"/>
          <w:szCs w:val="24"/>
          <w:lang w:val="es-PR"/>
        </w:rPr>
        <w:lastRenderedPageBreak/>
        <w:t>gobiernos municipales y cualquier otra entidad o persona que estime necesaria para cumplir con los propósitos de esta Resolución.</w:t>
      </w:r>
    </w:p>
    <w:p w14:paraId="4EB39761" w14:textId="4A5C3D16" w:rsidR="000E4CC3" w:rsidRPr="00794115" w:rsidRDefault="000E4CC3" w:rsidP="000E4CC3">
      <w:pPr>
        <w:widowControl w:val="0"/>
        <w:spacing w:after="0" w:line="480" w:lineRule="auto"/>
        <w:ind w:firstLine="567"/>
        <w:jc w:val="both"/>
        <w:rPr>
          <w:rFonts w:ascii="Book Antiqua" w:eastAsia="MS Mincho" w:hAnsi="Book Antiqua"/>
          <w:sz w:val="24"/>
          <w:szCs w:val="24"/>
          <w:lang w:val="es-PR"/>
        </w:rPr>
      </w:pPr>
      <w:r w:rsidRPr="00794115">
        <w:rPr>
          <w:rFonts w:ascii="Book Antiqua" w:eastAsia="MS Mincho" w:hAnsi="Book Antiqua"/>
          <w:sz w:val="24"/>
          <w:szCs w:val="24"/>
          <w:lang w:val="es-ES_tradnl"/>
        </w:rPr>
        <w:t xml:space="preserve">Sección 4.- </w:t>
      </w:r>
      <w:r w:rsidRPr="00794115">
        <w:rPr>
          <w:rFonts w:ascii="Book Antiqua" w:eastAsia="MS Mincho" w:hAnsi="Book Antiqua"/>
          <w:sz w:val="24"/>
          <w:szCs w:val="24"/>
          <w:lang w:val="es-PR"/>
        </w:rPr>
        <w:t>La Comisión rendirá un informe con sus hallazgos, conclusiones y recomendaciones a la Cámara de Representantes de Puerto Rico dentro de un término no mayor de ciento veinte (120) días contados a partir de la aprobación de esta Resolución.</w:t>
      </w:r>
    </w:p>
    <w:p w14:paraId="714746C8" w14:textId="5E2C3B1F" w:rsidR="00D056D7" w:rsidRPr="00794115" w:rsidRDefault="000E4CC3" w:rsidP="000E4CC3">
      <w:pPr>
        <w:widowControl w:val="0"/>
        <w:spacing w:after="0" w:line="480" w:lineRule="auto"/>
        <w:ind w:firstLine="567"/>
        <w:jc w:val="both"/>
        <w:rPr>
          <w:rFonts w:ascii="Book Antiqua" w:eastAsia="MS Mincho" w:hAnsi="Book Antiqua"/>
          <w:sz w:val="24"/>
          <w:szCs w:val="24"/>
          <w:lang w:val="es-PR"/>
        </w:rPr>
      </w:pPr>
      <w:r w:rsidRPr="00794115">
        <w:rPr>
          <w:rFonts w:ascii="Book Antiqua" w:eastAsia="MS Mincho" w:hAnsi="Book Antiqua"/>
          <w:sz w:val="24"/>
          <w:szCs w:val="24"/>
          <w:lang w:val="es-PR"/>
        </w:rPr>
        <w:t>Sección 5.- Esta Resolución comenzará a regir inmediatamente después de su aprobación.</w:t>
      </w:r>
    </w:p>
    <w:sectPr w:rsidR="00D056D7" w:rsidRPr="00794115" w:rsidSect="003E7820">
      <w:headerReference w:type="even" r:id="rId10"/>
      <w:headerReference w:type="default" r:id="rId11"/>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8EC47" w14:textId="77777777" w:rsidR="00EE5708" w:rsidRDefault="00EE5708">
      <w:pPr>
        <w:spacing w:after="0" w:line="240" w:lineRule="auto"/>
      </w:pPr>
      <w:r>
        <w:separator/>
      </w:r>
    </w:p>
  </w:endnote>
  <w:endnote w:type="continuationSeparator" w:id="0">
    <w:p w14:paraId="1AE67A97" w14:textId="77777777" w:rsidR="00EE5708" w:rsidRDefault="00EE57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488A7" w14:textId="77777777" w:rsidR="00EE5708" w:rsidRDefault="00EE5708">
      <w:pPr>
        <w:spacing w:after="0" w:line="240" w:lineRule="auto"/>
      </w:pPr>
      <w:r>
        <w:separator/>
      </w:r>
    </w:p>
  </w:footnote>
  <w:footnote w:type="continuationSeparator" w:id="0">
    <w:p w14:paraId="57B9E29F" w14:textId="77777777" w:rsidR="00EE5708" w:rsidRDefault="00EE57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002690" w:rsidRDefault="00002690" w:rsidP="00D03BD5">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D5CBB7F" w14:textId="77777777" w:rsidR="00002690" w:rsidRDefault="0000269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002690" w:rsidRDefault="00002690" w:rsidP="009E182A">
    <w:pPr>
      <w:pStyle w:val="Encabezado"/>
      <w:framePr w:wrap="around" w:vAnchor="text" w:hAnchor="page" w:x="6011"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22C6AE82" w14:textId="77777777" w:rsidR="00002690" w:rsidRDefault="0000269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C77B7" w14:textId="071C866A" w:rsidR="005C790B" w:rsidRPr="005C790B" w:rsidRDefault="005C790B" w:rsidP="005C790B">
    <w:pPr>
      <w:pStyle w:val="Encabezado"/>
      <w:jc w:val="center"/>
      <w:rPr>
        <w:rFonts w:ascii="Book Antiqua" w:hAnsi="Book Antiqua"/>
        <w:sz w:val="24"/>
        <w:szCs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77777777" w:rsidR="00002690" w:rsidRDefault="00002690">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0DF59C0" w14:textId="77777777" w:rsidR="00002690" w:rsidRDefault="0000269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0B7643"/>
    <w:rsid w:val="000E36C6"/>
    <w:rsid w:val="000E4CC3"/>
    <w:rsid w:val="000F6FCD"/>
    <w:rsid w:val="00120CCD"/>
    <w:rsid w:val="00133DDF"/>
    <w:rsid w:val="00140BBA"/>
    <w:rsid w:val="00171DB8"/>
    <w:rsid w:val="00184C9E"/>
    <w:rsid w:val="001F1B1E"/>
    <w:rsid w:val="0023272A"/>
    <w:rsid w:val="00276907"/>
    <w:rsid w:val="00283AC2"/>
    <w:rsid w:val="002B1815"/>
    <w:rsid w:val="00337784"/>
    <w:rsid w:val="0034079F"/>
    <w:rsid w:val="003741A5"/>
    <w:rsid w:val="00383714"/>
    <w:rsid w:val="003958A5"/>
    <w:rsid w:val="003C65C8"/>
    <w:rsid w:val="003E7820"/>
    <w:rsid w:val="003F7101"/>
    <w:rsid w:val="00422695"/>
    <w:rsid w:val="004250DE"/>
    <w:rsid w:val="004349A5"/>
    <w:rsid w:val="0046023E"/>
    <w:rsid w:val="00460CF8"/>
    <w:rsid w:val="004915A2"/>
    <w:rsid w:val="00497C57"/>
    <w:rsid w:val="004A5EC0"/>
    <w:rsid w:val="00521E8B"/>
    <w:rsid w:val="0052204D"/>
    <w:rsid w:val="0052265C"/>
    <w:rsid w:val="005253C3"/>
    <w:rsid w:val="00535C4C"/>
    <w:rsid w:val="0054505E"/>
    <w:rsid w:val="00592027"/>
    <w:rsid w:val="005C790B"/>
    <w:rsid w:val="005D7FC3"/>
    <w:rsid w:val="005F519F"/>
    <w:rsid w:val="0064669F"/>
    <w:rsid w:val="00654548"/>
    <w:rsid w:val="00690CF4"/>
    <w:rsid w:val="006B6A13"/>
    <w:rsid w:val="006D7F2B"/>
    <w:rsid w:val="00703102"/>
    <w:rsid w:val="00705687"/>
    <w:rsid w:val="00721FBC"/>
    <w:rsid w:val="007440F8"/>
    <w:rsid w:val="00752CE8"/>
    <w:rsid w:val="00794115"/>
    <w:rsid w:val="007A0518"/>
    <w:rsid w:val="007D543C"/>
    <w:rsid w:val="007F0513"/>
    <w:rsid w:val="007F5160"/>
    <w:rsid w:val="0080041D"/>
    <w:rsid w:val="00821751"/>
    <w:rsid w:val="00832152"/>
    <w:rsid w:val="0085647B"/>
    <w:rsid w:val="008A3998"/>
    <w:rsid w:val="008D667F"/>
    <w:rsid w:val="009164A9"/>
    <w:rsid w:val="00917A89"/>
    <w:rsid w:val="00981703"/>
    <w:rsid w:val="00995861"/>
    <w:rsid w:val="009B1D37"/>
    <w:rsid w:val="009D4F35"/>
    <w:rsid w:val="009E182A"/>
    <w:rsid w:val="009F37C1"/>
    <w:rsid w:val="00A13624"/>
    <w:rsid w:val="00A14F8D"/>
    <w:rsid w:val="00A254AD"/>
    <w:rsid w:val="00A40875"/>
    <w:rsid w:val="00A47AFF"/>
    <w:rsid w:val="00A50CE0"/>
    <w:rsid w:val="00A6433F"/>
    <w:rsid w:val="00AC1F92"/>
    <w:rsid w:val="00AD34DC"/>
    <w:rsid w:val="00AF6205"/>
    <w:rsid w:val="00B96B8F"/>
    <w:rsid w:val="00BC60DB"/>
    <w:rsid w:val="00BE6A03"/>
    <w:rsid w:val="00BF5066"/>
    <w:rsid w:val="00C757FE"/>
    <w:rsid w:val="00C83C8A"/>
    <w:rsid w:val="00C912E5"/>
    <w:rsid w:val="00C96AE7"/>
    <w:rsid w:val="00CB04B8"/>
    <w:rsid w:val="00CB13A6"/>
    <w:rsid w:val="00CD6646"/>
    <w:rsid w:val="00CF105B"/>
    <w:rsid w:val="00D056D7"/>
    <w:rsid w:val="00D325C4"/>
    <w:rsid w:val="00D67666"/>
    <w:rsid w:val="00D740DA"/>
    <w:rsid w:val="00D90609"/>
    <w:rsid w:val="00D93297"/>
    <w:rsid w:val="00D9783C"/>
    <w:rsid w:val="00DD4ED0"/>
    <w:rsid w:val="00DE3950"/>
    <w:rsid w:val="00DE3D14"/>
    <w:rsid w:val="00DE6616"/>
    <w:rsid w:val="00E46D6A"/>
    <w:rsid w:val="00E54CC3"/>
    <w:rsid w:val="00E6765D"/>
    <w:rsid w:val="00EA7D4D"/>
    <w:rsid w:val="00EC61EE"/>
    <w:rsid w:val="00ED46C8"/>
    <w:rsid w:val="00EE5708"/>
    <w:rsid w:val="00EE7834"/>
    <w:rsid w:val="00EF40A4"/>
    <w:rsid w:val="00F03947"/>
    <w:rsid w:val="00F03A83"/>
    <w:rsid w:val="00F12DA5"/>
    <w:rsid w:val="00F34564"/>
    <w:rsid w:val="00F53857"/>
    <w:rsid w:val="00F72422"/>
    <w:rsid w:val="00F73585"/>
    <w:rsid w:val="00FA2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Ttulo1">
    <w:name w:val="heading 1"/>
    <w:basedOn w:val="Normal"/>
    <w:next w:val="Normal"/>
    <w:link w:val="Ttulo1C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1FB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21FB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21FB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21FB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21FB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21FB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21FB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21FBC"/>
    <w:rPr>
      <w:rFonts w:eastAsiaTheme="majorEastAsia" w:cstheme="majorBidi"/>
      <w:color w:val="272727" w:themeColor="text1" w:themeTint="D8"/>
    </w:rPr>
  </w:style>
  <w:style w:type="paragraph" w:styleId="Ttulo">
    <w:name w:val="Title"/>
    <w:basedOn w:val="Normal"/>
    <w:next w:val="Normal"/>
    <w:link w:val="TtuloC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21FB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21FB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21FBC"/>
    <w:pPr>
      <w:spacing w:before="160"/>
      <w:jc w:val="center"/>
    </w:pPr>
    <w:rPr>
      <w:i/>
      <w:iCs/>
      <w:color w:val="404040" w:themeColor="text1" w:themeTint="BF"/>
    </w:rPr>
  </w:style>
  <w:style w:type="character" w:customStyle="1" w:styleId="CitaCar">
    <w:name w:val="Cita Car"/>
    <w:basedOn w:val="Fuentedeprrafopredeter"/>
    <w:link w:val="Cita"/>
    <w:uiPriority w:val="29"/>
    <w:rsid w:val="00721FBC"/>
    <w:rPr>
      <w:i/>
      <w:iCs/>
      <w:color w:val="404040" w:themeColor="text1" w:themeTint="BF"/>
    </w:rPr>
  </w:style>
  <w:style w:type="paragraph" w:styleId="Prrafodelista">
    <w:name w:val="List Paragraph"/>
    <w:basedOn w:val="Normal"/>
    <w:uiPriority w:val="34"/>
    <w:qFormat/>
    <w:rsid w:val="00721FBC"/>
    <w:pPr>
      <w:ind w:left="720"/>
      <w:contextualSpacing/>
    </w:pPr>
  </w:style>
  <w:style w:type="character" w:styleId="nfasisintenso">
    <w:name w:val="Intense Emphasis"/>
    <w:basedOn w:val="Fuentedeprrafopredeter"/>
    <w:uiPriority w:val="21"/>
    <w:qFormat/>
    <w:rsid w:val="00721FBC"/>
    <w:rPr>
      <w:i/>
      <w:iCs/>
      <w:color w:val="0F4761" w:themeColor="accent1" w:themeShade="BF"/>
    </w:rPr>
  </w:style>
  <w:style w:type="paragraph" w:styleId="Citadestacada">
    <w:name w:val="Intense Quote"/>
    <w:basedOn w:val="Normal"/>
    <w:next w:val="Normal"/>
    <w:link w:val="CitadestacadaC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21FBC"/>
    <w:rPr>
      <w:i/>
      <w:iCs/>
      <w:color w:val="0F4761" w:themeColor="accent1" w:themeShade="BF"/>
    </w:rPr>
  </w:style>
  <w:style w:type="character" w:styleId="Referenciaintensa">
    <w:name w:val="Intense Reference"/>
    <w:basedOn w:val="Fuentedeprrafopredeter"/>
    <w:uiPriority w:val="32"/>
    <w:qFormat/>
    <w:rsid w:val="00721FBC"/>
    <w:rPr>
      <w:b/>
      <w:bCs/>
      <w:smallCaps/>
      <w:color w:val="0F4761" w:themeColor="accent1" w:themeShade="BF"/>
      <w:spacing w:val="5"/>
    </w:rPr>
  </w:style>
  <w:style w:type="paragraph" w:styleId="Encabezado">
    <w:name w:val="header"/>
    <w:basedOn w:val="Normal"/>
    <w:link w:val="EncabezadoCar"/>
    <w:uiPriority w:val="99"/>
    <w:unhideWhenUsed/>
    <w:rsid w:val="003E7820"/>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3E7820"/>
    <w:rPr>
      <w:rFonts w:ascii="Calibri" w:eastAsia="Calibri" w:hAnsi="Calibri" w:cs="Times New Roman"/>
      <w:kern w:val="0"/>
      <w:lang w:val="en-US"/>
      <w14:ligatures w14:val="none"/>
    </w:rPr>
  </w:style>
  <w:style w:type="character" w:styleId="Nmerodepgina">
    <w:name w:val="page number"/>
    <w:basedOn w:val="Fuentedeprrafopredeter"/>
    <w:rsid w:val="003E7820"/>
  </w:style>
  <w:style w:type="paragraph" w:styleId="Sangra2detindependiente">
    <w:name w:val="Body Text Indent 2"/>
    <w:basedOn w:val="Normal"/>
    <w:link w:val="Sangra2detindependienteC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Sangra2detindependienteCar">
    <w:name w:val="Sangría 2 de t. independiente Car"/>
    <w:basedOn w:val="Fuentedeprrafopredeter"/>
    <w:link w:val="Sangra2detindependiente"/>
    <w:uiPriority w:val="99"/>
    <w:rsid w:val="003E7820"/>
    <w:rPr>
      <w:rFonts w:ascii="Times New Roman" w:eastAsia="MS Mincho" w:hAnsi="Times New Roman" w:cs="Times New Roman"/>
      <w:kern w:val="0"/>
      <w:sz w:val="20"/>
      <w:szCs w:val="20"/>
      <w:lang w:val="en-US"/>
      <w14:ligatures w14:val="none"/>
    </w:rPr>
  </w:style>
  <w:style w:type="character" w:styleId="Nmerodelnea">
    <w:name w:val="line number"/>
    <w:basedOn w:val="Fuentedeprrafopredeter"/>
    <w:uiPriority w:val="99"/>
    <w:semiHidden/>
    <w:unhideWhenUsed/>
    <w:rsid w:val="003E7820"/>
  </w:style>
  <w:style w:type="paragraph" w:styleId="Piedepgina">
    <w:name w:val="footer"/>
    <w:basedOn w:val="Normal"/>
    <w:link w:val="PiedepginaCar"/>
    <w:uiPriority w:val="99"/>
    <w:unhideWhenUsed/>
    <w:rsid w:val="009E182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9E182A"/>
    <w:rPr>
      <w:rFonts w:ascii="Calibri" w:eastAsia="Calibri" w:hAnsi="Calibri" w:cs="Times New Roman"/>
      <w:kern w:val="0"/>
      <w:lang w:val="en-US"/>
      <w14:ligatures w14:val="none"/>
    </w:rPr>
  </w:style>
  <w:style w:type="paragraph" w:styleId="NormalWeb">
    <w:name w:val="Normal (Web)"/>
    <w:basedOn w:val="Normal"/>
    <w:uiPriority w:val="99"/>
    <w:semiHidden/>
    <w:unhideWhenUsed/>
    <w:rsid w:val="006B6A13"/>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41203">
      <w:bodyDiv w:val="1"/>
      <w:marLeft w:val="0"/>
      <w:marRight w:val="0"/>
      <w:marTop w:val="0"/>
      <w:marBottom w:val="0"/>
      <w:divBdr>
        <w:top w:val="none" w:sz="0" w:space="0" w:color="auto"/>
        <w:left w:val="none" w:sz="0" w:space="0" w:color="auto"/>
        <w:bottom w:val="none" w:sz="0" w:space="0" w:color="auto"/>
        <w:right w:val="none" w:sz="0" w:space="0" w:color="auto"/>
      </w:divBdr>
    </w:div>
    <w:div w:id="460921679">
      <w:bodyDiv w:val="1"/>
      <w:marLeft w:val="0"/>
      <w:marRight w:val="0"/>
      <w:marTop w:val="0"/>
      <w:marBottom w:val="0"/>
      <w:divBdr>
        <w:top w:val="none" w:sz="0" w:space="0" w:color="auto"/>
        <w:left w:val="none" w:sz="0" w:space="0" w:color="auto"/>
        <w:bottom w:val="none" w:sz="0" w:space="0" w:color="auto"/>
        <w:right w:val="none" w:sz="0" w:space="0" w:color="auto"/>
      </w:divBdr>
    </w:div>
    <w:div w:id="1195459164">
      <w:bodyDiv w:val="1"/>
      <w:marLeft w:val="0"/>
      <w:marRight w:val="0"/>
      <w:marTop w:val="0"/>
      <w:marBottom w:val="0"/>
      <w:divBdr>
        <w:top w:val="none" w:sz="0" w:space="0" w:color="auto"/>
        <w:left w:val="none" w:sz="0" w:space="0" w:color="auto"/>
        <w:bottom w:val="none" w:sz="0" w:space="0" w:color="auto"/>
        <w:right w:val="none" w:sz="0" w:space="0" w:color="auto"/>
      </w:divBdr>
    </w:div>
    <w:div w:id="1229266826">
      <w:bodyDiv w:val="1"/>
      <w:marLeft w:val="0"/>
      <w:marRight w:val="0"/>
      <w:marTop w:val="0"/>
      <w:marBottom w:val="0"/>
      <w:divBdr>
        <w:top w:val="none" w:sz="0" w:space="0" w:color="auto"/>
        <w:left w:val="none" w:sz="0" w:space="0" w:color="auto"/>
        <w:bottom w:val="none" w:sz="0" w:space="0" w:color="auto"/>
        <w:right w:val="none" w:sz="0" w:space="0" w:color="auto"/>
      </w:divBdr>
    </w:div>
    <w:div w:id="1287615859">
      <w:bodyDiv w:val="1"/>
      <w:marLeft w:val="0"/>
      <w:marRight w:val="0"/>
      <w:marTop w:val="0"/>
      <w:marBottom w:val="0"/>
      <w:divBdr>
        <w:top w:val="none" w:sz="0" w:space="0" w:color="auto"/>
        <w:left w:val="none" w:sz="0" w:space="0" w:color="auto"/>
        <w:bottom w:val="none" w:sz="0" w:space="0" w:color="auto"/>
        <w:right w:val="none" w:sz="0" w:space="0" w:color="auto"/>
      </w:divBdr>
    </w:div>
    <w:div w:id="1342581077">
      <w:bodyDiv w:val="1"/>
      <w:marLeft w:val="0"/>
      <w:marRight w:val="0"/>
      <w:marTop w:val="0"/>
      <w:marBottom w:val="0"/>
      <w:divBdr>
        <w:top w:val="none" w:sz="0" w:space="0" w:color="auto"/>
        <w:left w:val="none" w:sz="0" w:space="0" w:color="auto"/>
        <w:bottom w:val="none" w:sz="0" w:space="0" w:color="auto"/>
        <w:right w:val="none" w:sz="0" w:space="0" w:color="auto"/>
      </w:divBdr>
    </w:div>
    <w:div w:id="1605261863">
      <w:bodyDiv w:val="1"/>
      <w:marLeft w:val="0"/>
      <w:marRight w:val="0"/>
      <w:marTop w:val="0"/>
      <w:marBottom w:val="0"/>
      <w:divBdr>
        <w:top w:val="none" w:sz="0" w:space="0" w:color="auto"/>
        <w:left w:val="none" w:sz="0" w:space="0" w:color="auto"/>
        <w:bottom w:val="none" w:sz="0" w:space="0" w:color="auto"/>
        <w:right w:val="none" w:sz="0" w:space="0" w:color="auto"/>
      </w:divBdr>
    </w:div>
    <w:div w:id="1691756768">
      <w:bodyDiv w:val="1"/>
      <w:marLeft w:val="0"/>
      <w:marRight w:val="0"/>
      <w:marTop w:val="0"/>
      <w:marBottom w:val="0"/>
      <w:divBdr>
        <w:top w:val="none" w:sz="0" w:space="0" w:color="auto"/>
        <w:left w:val="none" w:sz="0" w:space="0" w:color="auto"/>
        <w:bottom w:val="none" w:sz="0" w:space="0" w:color="auto"/>
        <w:right w:val="none" w:sz="0" w:space="0" w:color="auto"/>
      </w:divBdr>
    </w:div>
    <w:div w:id="2033607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A263F0-2D20-458E-96A3-54BF13F74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587</Words>
  <Characters>3351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Rocío Alayón Morell</cp:lastModifiedBy>
  <cp:revision>3</cp:revision>
  <cp:lastPrinted>2026-05-12T18:50:00Z</cp:lastPrinted>
  <dcterms:created xsi:type="dcterms:W3CDTF">2026-05-14T14:27:00Z</dcterms:created>
  <dcterms:modified xsi:type="dcterms:W3CDTF">2026-05-15T14:22:00Z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ies>
</file>