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BBC01" w14:textId="77777777" w:rsidR="00AA41A5" w:rsidRPr="00D35A43" w:rsidRDefault="00AA41A5" w:rsidP="00AA41A5">
      <w:pPr>
        <w:suppressLineNumbers/>
        <w:jc w:val="center"/>
        <w:rPr>
          <w:rFonts w:ascii="Book Antiqua" w:hAnsi="Book Antiqua"/>
          <w:sz w:val="28"/>
          <w:lang w:val="es-ES_tradnl"/>
        </w:rPr>
      </w:pPr>
      <w:r w:rsidRPr="00D35A43">
        <w:rPr>
          <w:rFonts w:ascii="Book Antiqua" w:hAnsi="Book Antiqua"/>
          <w:sz w:val="28"/>
          <w:lang w:val="es-ES_tradnl"/>
        </w:rPr>
        <w:t>GOBIERNO DE PUERTO RICO</w:t>
      </w:r>
    </w:p>
    <w:p w14:paraId="50184D40" w14:textId="77777777" w:rsidR="00AA41A5" w:rsidRPr="00D35A43" w:rsidRDefault="00AA41A5" w:rsidP="00AA41A5">
      <w:pPr>
        <w:suppressLineNumbers/>
        <w:jc w:val="center"/>
        <w:rPr>
          <w:rFonts w:ascii="Book Antiqua" w:hAnsi="Book Antiqua"/>
          <w:szCs w:val="24"/>
          <w:lang w:val="es-ES_tradnl"/>
        </w:rPr>
      </w:pPr>
    </w:p>
    <w:p w14:paraId="4F5876C0" w14:textId="2152E727" w:rsidR="00AA41A5" w:rsidRPr="00D35A43" w:rsidRDefault="00AA41A5" w:rsidP="00AA41A5">
      <w:pPr>
        <w:pStyle w:val="Title2"/>
        <w:suppressLineNumbers/>
        <w:tabs>
          <w:tab w:val="clear" w:pos="648"/>
          <w:tab w:val="clear" w:pos="7776"/>
          <w:tab w:val="clear" w:pos="7848"/>
        </w:tabs>
        <w:rPr>
          <w:rFonts w:ascii="Book Antiqua" w:hAnsi="Book Antiqua"/>
          <w:lang w:val="es-PR"/>
        </w:rPr>
      </w:pPr>
      <w:r w:rsidRPr="00D35A43">
        <w:rPr>
          <w:rFonts w:ascii="Book Antiqua" w:hAnsi="Book Antiqua"/>
          <w:lang w:val="es-PR"/>
        </w:rPr>
        <w:t>20ma. Asamblea</w:t>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t xml:space="preserve">           </w:t>
      </w:r>
      <w:r w:rsidR="003B1283" w:rsidRPr="00D35A43">
        <w:rPr>
          <w:rFonts w:ascii="Book Antiqua" w:hAnsi="Book Antiqua"/>
          <w:lang w:val="es-PR"/>
        </w:rPr>
        <w:t>3r</w:t>
      </w:r>
      <w:r w:rsidRPr="00D35A43">
        <w:rPr>
          <w:rFonts w:ascii="Book Antiqua" w:hAnsi="Book Antiqua"/>
          <w:lang w:val="es-PR"/>
        </w:rPr>
        <w:t>a. Sesión</w:t>
      </w:r>
    </w:p>
    <w:p w14:paraId="0FD0902D" w14:textId="77777777" w:rsidR="00AA41A5" w:rsidRPr="00D35A43" w:rsidRDefault="00AA41A5" w:rsidP="00AA41A5">
      <w:pPr>
        <w:pStyle w:val="Title2"/>
        <w:suppressLineNumbers/>
        <w:tabs>
          <w:tab w:val="clear" w:pos="648"/>
          <w:tab w:val="clear" w:pos="7776"/>
          <w:tab w:val="clear" w:pos="7848"/>
        </w:tabs>
        <w:rPr>
          <w:rFonts w:ascii="Book Antiqua" w:hAnsi="Book Antiqua"/>
          <w:lang w:val="es-PR"/>
        </w:rPr>
      </w:pPr>
      <w:r w:rsidRPr="00D35A43">
        <w:rPr>
          <w:rFonts w:ascii="Book Antiqua" w:hAnsi="Book Antiqua"/>
          <w:lang w:val="es-PR"/>
        </w:rPr>
        <w:t xml:space="preserve">            Legislativa</w:t>
      </w:r>
      <w:r w:rsidRPr="00D35A43">
        <w:rPr>
          <w:rFonts w:ascii="Book Antiqua" w:hAnsi="Book Antiqua"/>
          <w:lang w:val="es-PR"/>
        </w:rPr>
        <w:tab/>
      </w:r>
      <w:r w:rsidRPr="00D35A43">
        <w:rPr>
          <w:rFonts w:ascii="Book Antiqua" w:hAnsi="Book Antiqua"/>
          <w:lang w:val="es-PR"/>
        </w:rPr>
        <w:tab/>
        <w:t xml:space="preserve">   </w:t>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t xml:space="preserve">      Ordinaria</w:t>
      </w:r>
    </w:p>
    <w:p w14:paraId="4F37BB74" w14:textId="77777777" w:rsidR="00AA41A5" w:rsidRPr="002A03A5" w:rsidRDefault="00AA41A5" w:rsidP="00AA41A5">
      <w:pPr>
        <w:suppressLineNumbers/>
        <w:rPr>
          <w:rFonts w:ascii="Book Antiqua" w:hAnsi="Book Antiqua"/>
          <w:lang w:val="es-PR"/>
        </w:rPr>
      </w:pPr>
    </w:p>
    <w:p w14:paraId="281F3852" w14:textId="77777777" w:rsidR="00AA41A5" w:rsidRPr="00D35A43" w:rsidRDefault="00AA41A5" w:rsidP="00AA41A5">
      <w:pPr>
        <w:suppressLineNumbers/>
        <w:jc w:val="center"/>
        <w:rPr>
          <w:rFonts w:ascii="Book Antiqua" w:hAnsi="Book Antiqua"/>
          <w:b/>
          <w:sz w:val="36"/>
          <w:lang w:val="es-ES_tradnl"/>
        </w:rPr>
      </w:pPr>
      <w:r w:rsidRPr="00D35A43">
        <w:rPr>
          <w:rFonts w:ascii="Book Antiqua" w:hAnsi="Book Antiqua"/>
          <w:b/>
          <w:sz w:val="36"/>
          <w:lang w:val="es-ES_tradnl"/>
        </w:rPr>
        <w:t>CÁMARA DE REPRESENTANTES</w:t>
      </w:r>
    </w:p>
    <w:p w14:paraId="50C059D6" w14:textId="77777777" w:rsidR="00AA41A5" w:rsidRPr="00D35A43" w:rsidRDefault="00AA41A5" w:rsidP="00AA41A5">
      <w:pPr>
        <w:suppressLineNumbers/>
        <w:jc w:val="center"/>
        <w:rPr>
          <w:rFonts w:ascii="Book Antiqua" w:hAnsi="Book Antiqua"/>
          <w:b/>
          <w:szCs w:val="24"/>
          <w:lang w:val="es-ES_tradnl"/>
        </w:rPr>
      </w:pPr>
    </w:p>
    <w:p w14:paraId="7E433B7C" w14:textId="298C1629" w:rsidR="00AA41A5" w:rsidRPr="00D35A43" w:rsidRDefault="00A91136" w:rsidP="00AA41A5">
      <w:pPr>
        <w:suppressLineNumbers/>
        <w:jc w:val="center"/>
        <w:rPr>
          <w:rFonts w:ascii="Book Antiqua" w:hAnsi="Book Antiqua"/>
          <w:b/>
          <w:sz w:val="52"/>
          <w:lang w:val="es-ES_tradnl"/>
        </w:rPr>
      </w:pPr>
      <w:r w:rsidRPr="00D35A43">
        <w:rPr>
          <w:rFonts w:ascii="Book Antiqua" w:hAnsi="Book Antiqua"/>
          <w:b/>
          <w:sz w:val="52"/>
          <w:lang w:val="es-ES_tradnl"/>
        </w:rPr>
        <w:t>P</w:t>
      </w:r>
      <w:r w:rsidR="00AA41A5" w:rsidRPr="00D35A43">
        <w:rPr>
          <w:rFonts w:ascii="Book Antiqua" w:hAnsi="Book Antiqua"/>
          <w:b/>
          <w:sz w:val="52"/>
          <w:lang w:val="es-ES_tradnl"/>
        </w:rPr>
        <w:t xml:space="preserve">. de la C. </w:t>
      </w:r>
      <w:r w:rsidR="00F20D47">
        <w:rPr>
          <w:rFonts w:ascii="Book Antiqua" w:hAnsi="Book Antiqua"/>
          <w:b/>
          <w:sz w:val="52"/>
          <w:lang w:val="es-ES_tradnl"/>
        </w:rPr>
        <w:t>1284</w:t>
      </w:r>
    </w:p>
    <w:p w14:paraId="744DEE98" w14:textId="77777777" w:rsidR="00AA41A5" w:rsidRPr="00D35A43" w:rsidRDefault="00AA41A5" w:rsidP="00AA41A5">
      <w:pPr>
        <w:suppressLineNumbers/>
        <w:jc w:val="center"/>
        <w:rPr>
          <w:rFonts w:ascii="Book Antiqua" w:hAnsi="Book Antiqua"/>
          <w:b/>
          <w:szCs w:val="24"/>
          <w:lang w:val="es-ES_tradnl"/>
        </w:rPr>
      </w:pPr>
    </w:p>
    <w:p w14:paraId="6CC72272" w14:textId="3F276F2E" w:rsidR="00AA41A5" w:rsidRPr="00D35A43" w:rsidRDefault="00F20D47" w:rsidP="00AA41A5">
      <w:pPr>
        <w:suppressLineNumbers/>
        <w:jc w:val="center"/>
        <w:rPr>
          <w:rFonts w:ascii="Book Antiqua" w:hAnsi="Book Antiqua"/>
          <w:lang w:val="es-ES_tradnl"/>
        </w:rPr>
      </w:pPr>
      <w:r>
        <w:rPr>
          <w:rFonts w:ascii="Book Antiqua" w:hAnsi="Book Antiqua"/>
          <w:lang w:val="es-ES_tradnl"/>
        </w:rPr>
        <w:t xml:space="preserve">18 </w:t>
      </w:r>
      <w:r w:rsidR="00CB12A9" w:rsidRPr="00D35A43">
        <w:rPr>
          <w:rFonts w:ascii="Book Antiqua" w:hAnsi="Book Antiqua"/>
          <w:lang w:val="es-ES_tradnl"/>
        </w:rPr>
        <w:t xml:space="preserve">DE </w:t>
      </w:r>
      <w:r w:rsidR="009E6473">
        <w:rPr>
          <w:rFonts w:ascii="Book Antiqua" w:hAnsi="Book Antiqua"/>
          <w:lang w:val="es-ES_tradnl"/>
        </w:rPr>
        <w:t>MAYO</w:t>
      </w:r>
      <w:r w:rsidR="00AA41A5" w:rsidRPr="00D35A43">
        <w:rPr>
          <w:rFonts w:ascii="Book Antiqua" w:hAnsi="Book Antiqua"/>
          <w:lang w:val="es-ES_tradnl"/>
        </w:rPr>
        <w:t xml:space="preserve"> DE 202</w:t>
      </w:r>
      <w:r w:rsidR="003B1283" w:rsidRPr="00D35A43">
        <w:rPr>
          <w:rFonts w:ascii="Book Antiqua" w:hAnsi="Book Antiqua"/>
          <w:lang w:val="es-ES_tradnl"/>
        </w:rPr>
        <w:t>6</w:t>
      </w:r>
    </w:p>
    <w:p w14:paraId="2E81588A" w14:textId="77777777" w:rsidR="00AA41A5" w:rsidRPr="00D35A43" w:rsidRDefault="00AA41A5" w:rsidP="00AA41A5">
      <w:pPr>
        <w:suppressLineNumbers/>
        <w:jc w:val="center"/>
        <w:rPr>
          <w:rFonts w:ascii="Book Antiqua" w:hAnsi="Book Antiqua"/>
          <w:lang w:val="es-ES_tradnl"/>
        </w:rPr>
      </w:pPr>
    </w:p>
    <w:p w14:paraId="332E79FB" w14:textId="65AA159A" w:rsidR="00AA41A5" w:rsidRDefault="00AA41A5" w:rsidP="00AA41A5">
      <w:pPr>
        <w:suppressLineNumbers/>
        <w:jc w:val="center"/>
        <w:rPr>
          <w:rFonts w:ascii="Book Antiqua" w:hAnsi="Book Antiqua"/>
          <w:lang w:val="es-ES_tradnl"/>
        </w:rPr>
      </w:pPr>
      <w:r w:rsidRPr="00D35A43">
        <w:rPr>
          <w:rFonts w:ascii="Book Antiqua" w:hAnsi="Book Antiqua"/>
          <w:lang w:val="es-ES_tradnl"/>
        </w:rPr>
        <w:t>Presentad</w:t>
      </w:r>
      <w:r w:rsidR="00B82443" w:rsidRPr="00D35A43">
        <w:rPr>
          <w:rFonts w:ascii="Book Antiqua" w:hAnsi="Book Antiqua"/>
          <w:lang w:val="es-ES_tradnl"/>
        </w:rPr>
        <w:t>o</w:t>
      </w:r>
      <w:r w:rsidRPr="00D35A43">
        <w:rPr>
          <w:rFonts w:ascii="Book Antiqua" w:hAnsi="Book Antiqua"/>
          <w:lang w:val="es-ES_tradnl"/>
        </w:rPr>
        <w:t xml:space="preserve"> por </w:t>
      </w:r>
      <w:r w:rsidR="00966DE0">
        <w:rPr>
          <w:rFonts w:ascii="Book Antiqua" w:hAnsi="Book Antiqua"/>
          <w:lang w:val="es-ES_tradnl"/>
        </w:rPr>
        <w:t>los</w:t>
      </w:r>
      <w:r w:rsidR="004340D7" w:rsidRPr="00D35A43">
        <w:rPr>
          <w:rFonts w:ascii="Book Antiqua" w:hAnsi="Book Antiqua"/>
          <w:lang w:val="es-ES_tradnl"/>
        </w:rPr>
        <w:t xml:space="preserve"> </w:t>
      </w:r>
      <w:r w:rsidR="00966DE0">
        <w:rPr>
          <w:rFonts w:ascii="Book Antiqua" w:hAnsi="Book Antiqua"/>
          <w:lang w:val="es-ES_tradnl"/>
        </w:rPr>
        <w:t>representantes</w:t>
      </w:r>
      <w:r w:rsidR="002348DF" w:rsidRPr="00D35A43">
        <w:rPr>
          <w:rFonts w:ascii="Book Antiqua" w:hAnsi="Book Antiqua"/>
          <w:lang w:val="es-ES_tradnl"/>
        </w:rPr>
        <w:t xml:space="preserve"> </w:t>
      </w:r>
      <w:r w:rsidR="003B1283" w:rsidRPr="00D35A43">
        <w:rPr>
          <w:rFonts w:ascii="Book Antiqua" w:hAnsi="Book Antiqua"/>
          <w:lang w:val="es-ES_tradnl"/>
        </w:rPr>
        <w:t>Franqui Atiles</w:t>
      </w:r>
      <w:r w:rsidR="00CC2D4F">
        <w:rPr>
          <w:rFonts w:ascii="Book Antiqua" w:hAnsi="Book Antiqua"/>
          <w:lang w:val="es-ES_tradnl"/>
        </w:rPr>
        <w:t xml:space="preserve"> </w:t>
      </w:r>
    </w:p>
    <w:p w14:paraId="661DE8B2" w14:textId="77777777" w:rsidR="0046454F" w:rsidRDefault="0046454F" w:rsidP="00AA41A5">
      <w:pPr>
        <w:suppressLineNumbers/>
        <w:jc w:val="center"/>
        <w:rPr>
          <w:rFonts w:ascii="Book Antiqua" w:hAnsi="Book Antiqua"/>
          <w:lang w:val="es-ES_tradnl"/>
        </w:rPr>
      </w:pPr>
    </w:p>
    <w:p w14:paraId="4D57CCB1" w14:textId="3E96D596" w:rsidR="0046454F" w:rsidRPr="00D35A43" w:rsidRDefault="0046454F" w:rsidP="00AA41A5">
      <w:pPr>
        <w:suppressLineNumbers/>
        <w:jc w:val="center"/>
        <w:rPr>
          <w:rFonts w:ascii="Book Antiqua" w:hAnsi="Book Antiqua"/>
          <w:lang w:val="es-PR"/>
        </w:rPr>
      </w:pPr>
      <w:r>
        <w:rPr>
          <w:rFonts w:ascii="Book Antiqua" w:hAnsi="Book Antiqua"/>
          <w:lang w:val="es-ES_tradnl"/>
        </w:rPr>
        <w:t xml:space="preserve">Referido a la Comisión </w:t>
      </w:r>
      <w:r w:rsidR="002A03A5">
        <w:rPr>
          <w:rFonts w:ascii="Book Antiqua" w:hAnsi="Book Antiqua"/>
          <w:lang w:val="es-ES_tradnl"/>
        </w:rPr>
        <w:t>de Transportación e Infraestructura</w:t>
      </w:r>
    </w:p>
    <w:p w14:paraId="4872333E" w14:textId="77777777" w:rsidR="00AA41A5" w:rsidRPr="00D35A43" w:rsidRDefault="00AA41A5" w:rsidP="00AA41A5">
      <w:pPr>
        <w:suppressLineNumbers/>
        <w:jc w:val="both"/>
        <w:rPr>
          <w:rFonts w:ascii="Book Antiqua" w:hAnsi="Book Antiqua"/>
          <w:lang w:val="es-ES_tradnl"/>
        </w:rPr>
      </w:pPr>
    </w:p>
    <w:p w14:paraId="6024AA76" w14:textId="453131C3" w:rsidR="00AA41A5" w:rsidRPr="00D35A43" w:rsidRDefault="00525314" w:rsidP="00AA41A5">
      <w:pPr>
        <w:suppressLineNumbers/>
        <w:jc w:val="center"/>
        <w:rPr>
          <w:rFonts w:ascii="Book Antiqua" w:hAnsi="Book Antiqua"/>
          <w:b/>
          <w:sz w:val="28"/>
          <w:lang w:val="es-ES_tradnl"/>
        </w:rPr>
      </w:pPr>
      <w:r w:rsidRPr="00D35A43">
        <w:rPr>
          <w:rFonts w:ascii="Book Antiqua" w:hAnsi="Book Antiqua"/>
          <w:b/>
          <w:sz w:val="28"/>
          <w:lang w:val="es-ES_tradnl"/>
        </w:rPr>
        <w:t>LEY</w:t>
      </w:r>
    </w:p>
    <w:p w14:paraId="79AC6201" w14:textId="77777777" w:rsidR="00AA41A5" w:rsidRPr="00D35A43" w:rsidRDefault="00AA41A5" w:rsidP="00AA41A5">
      <w:pPr>
        <w:suppressLineNumbers/>
        <w:jc w:val="center"/>
        <w:rPr>
          <w:rFonts w:ascii="Book Antiqua" w:hAnsi="Book Antiqua"/>
          <w:b/>
          <w:sz w:val="28"/>
          <w:lang w:val="es-ES_tradnl"/>
        </w:rPr>
      </w:pPr>
    </w:p>
    <w:p w14:paraId="79BF8CF7" w14:textId="5630525C" w:rsidR="007D178C" w:rsidRPr="007D178C" w:rsidRDefault="00005471" w:rsidP="007D178C">
      <w:pPr>
        <w:suppressLineNumbers/>
        <w:ind w:left="600" w:hanging="600"/>
        <w:jc w:val="both"/>
        <w:rPr>
          <w:rFonts w:ascii="Book Antiqua" w:hAnsi="Book Antiqua"/>
          <w:szCs w:val="24"/>
          <w:lang w:val="es-PR"/>
        </w:rPr>
      </w:pPr>
      <w:r w:rsidRPr="00005471">
        <w:rPr>
          <w:rFonts w:ascii="Book Antiqua" w:hAnsi="Book Antiqua"/>
          <w:szCs w:val="24"/>
          <w:lang w:val="es-PR"/>
        </w:rPr>
        <w:t xml:space="preserve">Para crear la </w:t>
      </w:r>
      <w:r>
        <w:rPr>
          <w:rFonts w:ascii="Book Antiqua" w:hAnsi="Book Antiqua"/>
          <w:szCs w:val="24"/>
          <w:lang w:val="es-PR"/>
        </w:rPr>
        <w:t>“</w:t>
      </w:r>
      <w:r w:rsidRPr="00005471">
        <w:rPr>
          <w:rFonts w:ascii="Book Antiqua" w:hAnsi="Book Antiqua"/>
          <w:szCs w:val="24"/>
          <w:lang w:val="es-PR"/>
        </w:rPr>
        <w:t xml:space="preserve">Ley </w:t>
      </w:r>
      <w:r w:rsidR="000972BD">
        <w:rPr>
          <w:rFonts w:ascii="Book Antiqua" w:hAnsi="Book Antiqua"/>
          <w:szCs w:val="24"/>
          <w:lang w:val="es-PR"/>
        </w:rPr>
        <w:t>para Preservar y Proteger la Infraestructura Pública del Salitre</w:t>
      </w:r>
      <w:r>
        <w:rPr>
          <w:rFonts w:ascii="Book Antiqua" w:hAnsi="Book Antiqua"/>
          <w:szCs w:val="24"/>
          <w:lang w:val="es-PR"/>
        </w:rPr>
        <w:t>”</w:t>
      </w:r>
      <w:r w:rsidRPr="00005471">
        <w:rPr>
          <w:rFonts w:ascii="Book Antiqua" w:hAnsi="Book Antiqua"/>
          <w:szCs w:val="24"/>
          <w:lang w:val="es-PR"/>
        </w:rPr>
        <w:t xml:space="preserve">, establecer requisitos obligatorios de protección y garantías mínimas de diez años </w:t>
      </w:r>
      <w:r>
        <w:rPr>
          <w:rFonts w:ascii="Book Antiqua" w:hAnsi="Book Antiqua"/>
          <w:szCs w:val="24"/>
          <w:lang w:val="es-PR"/>
        </w:rPr>
        <w:t>para</w:t>
      </w:r>
      <w:r w:rsidRPr="00005471">
        <w:rPr>
          <w:rFonts w:ascii="Book Antiqua" w:hAnsi="Book Antiqua"/>
          <w:szCs w:val="24"/>
          <w:lang w:val="es-PR"/>
        </w:rPr>
        <w:t xml:space="preserve"> obras realizadas en zonas expuestas al salitre</w:t>
      </w:r>
      <w:r w:rsidR="007D178C" w:rsidRPr="007D178C">
        <w:rPr>
          <w:rFonts w:ascii="Book Antiqua" w:hAnsi="Book Antiqua"/>
          <w:szCs w:val="24"/>
          <w:lang w:val="es-PR"/>
        </w:rPr>
        <w:t>; y para otros fines relacionados.</w:t>
      </w:r>
    </w:p>
    <w:p w14:paraId="3C4E0D2C" w14:textId="43B06705" w:rsidR="00E269C5" w:rsidRPr="00E269C5" w:rsidRDefault="00E269C5" w:rsidP="00E269C5">
      <w:pPr>
        <w:suppressLineNumbers/>
        <w:ind w:left="600" w:hanging="600"/>
        <w:jc w:val="both"/>
        <w:rPr>
          <w:rFonts w:ascii="Book Antiqua" w:hAnsi="Book Antiqua"/>
          <w:b/>
          <w:bCs/>
          <w:sz w:val="28"/>
          <w:szCs w:val="28"/>
          <w:lang w:val="es-PR"/>
        </w:rPr>
      </w:pPr>
    </w:p>
    <w:p w14:paraId="48527258" w14:textId="58B46A91" w:rsidR="00BE4ED8" w:rsidRPr="002A03A5" w:rsidRDefault="00AA41A5" w:rsidP="00BE4ED8">
      <w:pPr>
        <w:suppressLineNumbers/>
        <w:jc w:val="center"/>
        <w:rPr>
          <w:rStyle w:val="textonormal1"/>
          <w:rFonts w:ascii="Book Antiqua" w:eastAsiaTheme="majorEastAsia" w:hAnsi="Book Antiqua"/>
          <w:sz w:val="24"/>
          <w:szCs w:val="24"/>
          <w:lang w:val="es-PR"/>
        </w:rPr>
      </w:pPr>
      <w:r w:rsidRPr="002A03A5">
        <w:rPr>
          <w:rFonts w:ascii="Book Antiqua" w:hAnsi="Book Antiqua"/>
          <w:szCs w:val="24"/>
          <w:lang w:val="es-ES_tradnl"/>
        </w:rPr>
        <w:t>EXPOSICIÓN DE MOTIVOS</w:t>
      </w:r>
      <w:r w:rsidRPr="002A03A5">
        <w:rPr>
          <w:rStyle w:val="textonormal1"/>
          <w:rFonts w:ascii="Book Antiqua" w:eastAsiaTheme="majorEastAsia" w:hAnsi="Book Antiqua"/>
          <w:sz w:val="24"/>
          <w:szCs w:val="24"/>
          <w:lang w:val="es-PR"/>
        </w:rPr>
        <w:t xml:space="preserve"> </w:t>
      </w:r>
    </w:p>
    <w:p w14:paraId="05C860AF" w14:textId="77777777" w:rsidR="00BE4ED8" w:rsidRPr="00D35A43" w:rsidRDefault="00BE4ED8" w:rsidP="00BE4ED8">
      <w:pPr>
        <w:suppressLineNumbers/>
        <w:rPr>
          <w:rStyle w:val="textonormal1"/>
          <w:rFonts w:ascii="Book Antiqua" w:eastAsiaTheme="majorEastAsia" w:hAnsi="Book Antiqua"/>
          <w:sz w:val="24"/>
          <w:szCs w:val="24"/>
          <w:lang w:val="es-PR"/>
        </w:rPr>
      </w:pPr>
    </w:p>
    <w:p w14:paraId="1D728ABC" w14:textId="300962C5" w:rsidR="00005471" w:rsidRDefault="0014272B" w:rsidP="00005471">
      <w:pPr>
        <w:suppressLineNumbers/>
        <w:jc w:val="both"/>
        <w:rPr>
          <w:rFonts w:ascii="Book Antiqua" w:eastAsiaTheme="majorEastAsia" w:hAnsi="Book Antiqua" w:cs="Arial"/>
          <w:color w:val="000000"/>
          <w:lang w:val="es-PR"/>
        </w:rPr>
      </w:pPr>
      <w:r w:rsidRPr="00D35A43">
        <w:rPr>
          <w:rFonts w:ascii="Book Antiqua" w:eastAsiaTheme="majorEastAsia" w:hAnsi="Book Antiqua" w:cs="Arial"/>
          <w:color w:val="000000"/>
          <w:szCs w:val="24"/>
          <w:lang w:val="es-PR"/>
        </w:rPr>
        <w:tab/>
      </w:r>
      <w:r w:rsidR="00005471" w:rsidRPr="00005471">
        <w:rPr>
          <w:rFonts w:ascii="Book Antiqua" w:eastAsiaTheme="majorEastAsia" w:hAnsi="Book Antiqua" w:cs="Arial"/>
          <w:color w:val="000000"/>
          <w:lang w:val="es-PR"/>
        </w:rPr>
        <w:t xml:space="preserve">Las zonas costeras de Puerto Rico representan algunos de los recursos naturales, turísticos y económicos más valiosos de nuestra Isla. Sin embargo, estas áreas enfrentan condiciones ambientales severas que aceleran el deterioro de la infraestructura, especialmente debido a la alta concentración de salitre en el ambiente. La corrosión prematura de </w:t>
      </w:r>
      <w:r w:rsidR="00005471">
        <w:rPr>
          <w:rFonts w:ascii="Book Antiqua" w:eastAsiaTheme="majorEastAsia" w:hAnsi="Book Antiqua" w:cs="Arial"/>
          <w:color w:val="000000"/>
          <w:lang w:val="es-PR"/>
        </w:rPr>
        <w:t>infraest</w:t>
      </w:r>
      <w:r w:rsidR="00005471" w:rsidRPr="00005471">
        <w:rPr>
          <w:rFonts w:ascii="Book Antiqua" w:eastAsiaTheme="majorEastAsia" w:hAnsi="Book Antiqua" w:cs="Arial"/>
          <w:color w:val="000000"/>
          <w:lang w:val="es-PR"/>
        </w:rPr>
        <w:t>ructuras públicas no solo afecta la seguridad y funcionalidad de estas instalaciones, sino también impacta negativamente la imagen y atractivo de regiones que dependen fundamentalmente del turismo.</w:t>
      </w:r>
    </w:p>
    <w:p w14:paraId="4855E4C1" w14:textId="77777777" w:rsidR="00005471" w:rsidRPr="00005471" w:rsidRDefault="00005471" w:rsidP="00005471">
      <w:pPr>
        <w:suppressLineNumbers/>
        <w:jc w:val="both"/>
        <w:rPr>
          <w:rFonts w:ascii="Book Antiqua" w:eastAsiaTheme="majorEastAsia" w:hAnsi="Book Antiqua" w:cs="Arial"/>
          <w:color w:val="000000"/>
          <w:lang w:val="es-PR"/>
        </w:rPr>
      </w:pPr>
    </w:p>
    <w:p w14:paraId="6E58D84D" w14:textId="069AE8B1" w:rsidR="00005471" w:rsidRDefault="00005471" w:rsidP="00005471">
      <w:pPr>
        <w:suppressLineNumbers/>
        <w:jc w:val="both"/>
        <w:rPr>
          <w:rFonts w:ascii="Book Antiqua" w:eastAsiaTheme="majorEastAsia" w:hAnsi="Book Antiqua" w:cs="Arial"/>
          <w:color w:val="000000"/>
          <w:szCs w:val="24"/>
          <w:lang w:val="es-PR"/>
        </w:rPr>
      </w:pPr>
      <w:r>
        <w:rPr>
          <w:rFonts w:ascii="Book Antiqua" w:eastAsiaTheme="majorEastAsia" w:hAnsi="Book Antiqua" w:cs="Arial"/>
          <w:color w:val="000000"/>
          <w:szCs w:val="24"/>
          <w:lang w:val="es-PR"/>
        </w:rPr>
        <w:tab/>
      </w:r>
      <w:r w:rsidRPr="00005471">
        <w:rPr>
          <w:rFonts w:ascii="Book Antiqua" w:eastAsiaTheme="majorEastAsia" w:hAnsi="Book Antiqua" w:cs="Arial"/>
          <w:color w:val="000000"/>
          <w:szCs w:val="24"/>
          <w:lang w:val="es-PR"/>
        </w:rPr>
        <w:t>En múltiples ocasiones, edificaciones y obras construidas por el Estado en zonas costeras muestran señales de deterioro en cortos periodos de tiempo, aun cuando su vida útil debía ser considerablemente mayor. El desgaste acelerado de puentes, paseos, balnearios, carreteras, luminarias</w:t>
      </w:r>
      <w:r>
        <w:rPr>
          <w:rFonts w:ascii="Book Antiqua" w:eastAsiaTheme="majorEastAsia" w:hAnsi="Book Antiqua" w:cs="Arial"/>
          <w:color w:val="000000"/>
          <w:szCs w:val="24"/>
          <w:lang w:val="es-PR"/>
        </w:rPr>
        <w:t xml:space="preserve"> </w:t>
      </w:r>
      <w:r w:rsidRPr="00005471">
        <w:rPr>
          <w:rFonts w:ascii="Book Antiqua" w:eastAsiaTheme="majorEastAsia" w:hAnsi="Book Antiqua" w:cs="Arial"/>
          <w:color w:val="000000"/>
          <w:szCs w:val="24"/>
          <w:lang w:val="es-PR"/>
        </w:rPr>
        <w:t>y otras facilidades públicas</w:t>
      </w:r>
      <w:r>
        <w:rPr>
          <w:rFonts w:ascii="Book Antiqua" w:eastAsiaTheme="majorEastAsia" w:hAnsi="Book Antiqua" w:cs="Arial"/>
          <w:color w:val="000000"/>
          <w:szCs w:val="24"/>
          <w:lang w:val="es-PR"/>
        </w:rPr>
        <w:t>,</w:t>
      </w:r>
      <w:r w:rsidRPr="00005471">
        <w:rPr>
          <w:rFonts w:ascii="Book Antiqua" w:eastAsiaTheme="majorEastAsia" w:hAnsi="Book Antiqua" w:cs="Arial"/>
          <w:color w:val="000000"/>
          <w:szCs w:val="24"/>
          <w:lang w:val="es-PR"/>
        </w:rPr>
        <w:t xml:space="preserve"> crea una impresión de abandono que desluce áreas de gran belleza y relevancia económica. A esto se suma la realidad fiscal del País, que limita la capacidad gubernamental para realizar mantenimiento constante y reparaciones frecuentes, provocando que muchas de estas estructuras pasen años sin recibir la atención necesaria.</w:t>
      </w:r>
    </w:p>
    <w:p w14:paraId="3D74EDAA" w14:textId="77777777" w:rsidR="00005471" w:rsidRPr="00005471" w:rsidRDefault="00005471" w:rsidP="00005471">
      <w:pPr>
        <w:suppressLineNumbers/>
        <w:jc w:val="both"/>
        <w:rPr>
          <w:rFonts w:ascii="Book Antiqua" w:eastAsiaTheme="majorEastAsia" w:hAnsi="Book Antiqua" w:cs="Arial"/>
          <w:color w:val="000000"/>
          <w:szCs w:val="24"/>
          <w:lang w:val="es-PR"/>
        </w:rPr>
      </w:pPr>
    </w:p>
    <w:p w14:paraId="32BC65C4" w14:textId="3B1A4B54" w:rsidR="00005471" w:rsidRPr="00005471" w:rsidRDefault="00005471" w:rsidP="00005471">
      <w:pPr>
        <w:suppressLineNumbers/>
        <w:jc w:val="both"/>
        <w:rPr>
          <w:rFonts w:ascii="Book Antiqua" w:eastAsiaTheme="majorEastAsia" w:hAnsi="Book Antiqua" w:cs="Arial"/>
          <w:color w:val="000000"/>
          <w:szCs w:val="24"/>
          <w:lang w:val="es-PR"/>
        </w:rPr>
      </w:pPr>
      <w:r>
        <w:rPr>
          <w:rFonts w:ascii="Book Antiqua" w:eastAsiaTheme="majorEastAsia" w:hAnsi="Book Antiqua" w:cs="Arial"/>
          <w:color w:val="000000"/>
          <w:szCs w:val="24"/>
          <w:lang w:val="es-PR"/>
        </w:rPr>
        <w:lastRenderedPageBreak/>
        <w:tab/>
      </w:r>
      <w:r w:rsidRPr="00005471">
        <w:rPr>
          <w:rFonts w:ascii="Book Antiqua" w:eastAsiaTheme="majorEastAsia" w:hAnsi="Book Antiqua" w:cs="Arial"/>
          <w:color w:val="000000"/>
          <w:szCs w:val="24"/>
          <w:lang w:val="es-PR"/>
        </w:rPr>
        <w:t>Es responsabilidad del Estado promover prácticas de construcción resiliente que garanticen que los fondos públicos se utilicen de forma eficiente y que las obras realizadas perduren aún bajo condiciones ambientales adversas. La implementación de requisitos uniformes de protección anticorrosiva y la obligación de que los contratistas garanticen su trabajo por un periodo mínimo de diez años permitirá reducir significativamente los costos de mantenimiento, aumentará la durabilidad de la infraestructura y contribuirá a preservar la estética y funcionalidad de zonas altamente frecuentadas por residentes y turistas.</w:t>
      </w:r>
    </w:p>
    <w:p w14:paraId="65C8F633" w14:textId="77777777" w:rsidR="00005471" w:rsidRPr="00005471" w:rsidRDefault="00005471" w:rsidP="00005471">
      <w:pPr>
        <w:suppressLineNumbers/>
        <w:jc w:val="both"/>
        <w:rPr>
          <w:rFonts w:ascii="Book Antiqua" w:eastAsiaTheme="majorEastAsia" w:hAnsi="Book Antiqua" w:cs="Arial"/>
          <w:color w:val="000000"/>
          <w:szCs w:val="24"/>
          <w:lang w:val="es-PR"/>
        </w:rPr>
      </w:pPr>
    </w:p>
    <w:p w14:paraId="0098D092" w14:textId="054361CF" w:rsidR="00005471" w:rsidRPr="00005471" w:rsidRDefault="00005471" w:rsidP="00005471">
      <w:pPr>
        <w:suppressLineNumbers/>
        <w:jc w:val="both"/>
        <w:rPr>
          <w:rFonts w:ascii="Book Antiqua" w:eastAsiaTheme="majorEastAsia" w:hAnsi="Book Antiqua" w:cs="Arial"/>
          <w:color w:val="000000"/>
          <w:szCs w:val="24"/>
          <w:lang w:val="es-PR"/>
        </w:rPr>
      </w:pPr>
      <w:r>
        <w:rPr>
          <w:rFonts w:ascii="Book Antiqua" w:eastAsiaTheme="majorEastAsia" w:hAnsi="Book Antiqua" w:cs="Arial"/>
          <w:color w:val="000000"/>
          <w:szCs w:val="24"/>
          <w:lang w:val="es-PR"/>
        </w:rPr>
        <w:tab/>
      </w:r>
      <w:r w:rsidRPr="00005471">
        <w:rPr>
          <w:rFonts w:ascii="Book Antiqua" w:eastAsiaTheme="majorEastAsia" w:hAnsi="Book Antiqua" w:cs="Arial"/>
          <w:color w:val="000000"/>
          <w:szCs w:val="24"/>
          <w:lang w:val="es-PR"/>
        </w:rPr>
        <w:t>Por todo lo anterior, esta medida busca establecer estándares claros y obligatorios para asegurar que toda construcción financiada o realizada por el Estado en áreas costeras</w:t>
      </w:r>
      <w:r>
        <w:rPr>
          <w:rFonts w:ascii="Book Antiqua" w:eastAsiaTheme="majorEastAsia" w:hAnsi="Book Antiqua" w:cs="Arial"/>
          <w:color w:val="000000"/>
          <w:szCs w:val="24"/>
          <w:lang w:val="es-PR"/>
        </w:rPr>
        <w:t>,</w:t>
      </w:r>
      <w:r w:rsidRPr="00005471">
        <w:rPr>
          <w:rFonts w:ascii="Book Antiqua" w:eastAsiaTheme="majorEastAsia" w:hAnsi="Book Antiqua" w:cs="Arial"/>
          <w:color w:val="000000"/>
          <w:szCs w:val="24"/>
          <w:lang w:val="es-PR"/>
        </w:rPr>
        <w:t xml:space="preserve"> susceptibles al salitre</w:t>
      </w:r>
      <w:r>
        <w:rPr>
          <w:rFonts w:ascii="Book Antiqua" w:eastAsiaTheme="majorEastAsia" w:hAnsi="Book Antiqua" w:cs="Arial"/>
          <w:color w:val="000000"/>
          <w:szCs w:val="24"/>
          <w:lang w:val="es-PR"/>
        </w:rPr>
        <w:t>,</w:t>
      </w:r>
      <w:r w:rsidRPr="00005471">
        <w:rPr>
          <w:rFonts w:ascii="Book Antiqua" w:eastAsiaTheme="majorEastAsia" w:hAnsi="Book Antiqua" w:cs="Arial"/>
          <w:color w:val="000000"/>
          <w:szCs w:val="24"/>
          <w:lang w:val="es-PR"/>
        </w:rPr>
        <w:t xml:space="preserve"> incluya</w:t>
      </w:r>
      <w:r>
        <w:rPr>
          <w:rFonts w:ascii="Book Antiqua" w:eastAsiaTheme="majorEastAsia" w:hAnsi="Book Antiqua" w:cs="Arial"/>
          <w:color w:val="000000"/>
          <w:szCs w:val="24"/>
          <w:lang w:val="es-PR"/>
        </w:rPr>
        <w:t>n</w:t>
      </w:r>
      <w:r w:rsidRPr="00005471">
        <w:rPr>
          <w:rFonts w:ascii="Book Antiqua" w:eastAsiaTheme="majorEastAsia" w:hAnsi="Book Antiqua" w:cs="Arial"/>
          <w:color w:val="000000"/>
          <w:szCs w:val="24"/>
          <w:lang w:val="es-PR"/>
        </w:rPr>
        <w:t xml:space="preserve"> materiales, tratamientos y procesos que retrasen la corrosión y protejan la inversión pública. Este marco normativo fomentará proyectos más resistentes, protegerá recursos económicos del erario y garantizará que nuestras costas, una de las mayores riquezas de Puerto Rico, cuenten con infraestructura digna, segura y duradera para las generaciones presentes y futuras.</w:t>
      </w:r>
    </w:p>
    <w:p w14:paraId="059B9063" w14:textId="77777777" w:rsidR="00D94B9B" w:rsidRPr="00D35A43" w:rsidRDefault="00D94B9B" w:rsidP="008E4347">
      <w:pPr>
        <w:suppressLineNumbers/>
        <w:jc w:val="both"/>
        <w:outlineLvl w:val="3"/>
        <w:rPr>
          <w:rFonts w:ascii="Book Antiqua" w:hAnsi="Book Antiqua"/>
          <w:szCs w:val="24"/>
          <w:lang w:val="es-PR"/>
        </w:rPr>
      </w:pPr>
    </w:p>
    <w:p w14:paraId="2FEF9A79" w14:textId="1070BEF0" w:rsidR="00AA41A5" w:rsidRPr="00D35A43" w:rsidRDefault="00A91136" w:rsidP="00AA41A5">
      <w:pPr>
        <w:suppressLineNumbers/>
        <w:spacing w:line="480" w:lineRule="auto"/>
        <w:jc w:val="both"/>
        <w:rPr>
          <w:rFonts w:ascii="Book Antiqua" w:hAnsi="Book Antiqua"/>
          <w:i/>
          <w:lang w:val="es-ES"/>
        </w:rPr>
      </w:pPr>
      <w:r w:rsidRPr="00D35A43">
        <w:rPr>
          <w:rFonts w:ascii="Book Antiqua" w:hAnsi="Book Antiqua"/>
          <w:i/>
          <w:lang w:val="es-ES"/>
        </w:rPr>
        <w:t>DECR</w:t>
      </w:r>
      <w:r w:rsidR="002A03A5">
        <w:rPr>
          <w:rFonts w:ascii="Book Antiqua" w:hAnsi="Book Antiqua"/>
          <w:i/>
          <w:lang w:val="es-ES"/>
        </w:rPr>
        <w:t>É</w:t>
      </w:r>
      <w:r w:rsidRPr="00D35A43">
        <w:rPr>
          <w:rFonts w:ascii="Book Antiqua" w:hAnsi="Book Antiqua"/>
          <w:i/>
          <w:lang w:val="es-ES"/>
        </w:rPr>
        <w:t>TESE</w:t>
      </w:r>
      <w:r w:rsidR="00AA41A5" w:rsidRPr="00D35A43">
        <w:rPr>
          <w:rFonts w:ascii="Book Antiqua" w:hAnsi="Book Antiqua"/>
          <w:i/>
          <w:lang w:val="es-ES"/>
        </w:rPr>
        <w:t xml:space="preserve"> POR LA CÁMARA DE REPRESENTANTES DE PUERTO RICO:</w:t>
      </w:r>
    </w:p>
    <w:p w14:paraId="1BC5164F" w14:textId="3C68A363" w:rsidR="00DA6E0D" w:rsidRPr="00F341A5" w:rsidRDefault="00E70FA6" w:rsidP="009C22E8">
      <w:pPr>
        <w:spacing w:line="480" w:lineRule="auto"/>
        <w:ind w:firstLine="600"/>
        <w:jc w:val="both"/>
        <w:rPr>
          <w:rFonts w:ascii="Book Antiqua" w:hAnsi="Book Antiqua"/>
          <w:lang w:val="es-ES"/>
        </w:rPr>
      </w:pPr>
      <w:r w:rsidRPr="00F341A5">
        <w:rPr>
          <w:rFonts w:ascii="Book Antiqua" w:hAnsi="Book Antiqua"/>
          <w:lang w:val="es-PR"/>
        </w:rPr>
        <w:t>ARTÍCULO</w:t>
      </w:r>
      <w:r w:rsidRPr="00F341A5">
        <w:rPr>
          <w:rFonts w:ascii="Book Antiqua" w:hAnsi="Book Antiqua"/>
          <w:lang w:val="es-ES"/>
        </w:rPr>
        <w:t xml:space="preserve"> </w:t>
      </w:r>
      <w:r w:rsidR="00DA6E0D" w:rsidRPr="00F341A5">
        <w:rPr>
          <w:rFonts w:ascii="Book Antiqua" w:hAnsi="Book Antiqua"/>
          <w:lang w:val="es-ES"/>
        </w:rPr>
        <w:t xml:space="preserve">1- </w:t>
      </w:r>
      <w:r w:rsidR="009C22E8" w:rsidRPr="00F341A5">
        <w:rPr>
          <w:rFonts w:ascii="Book Antiqua" w:hAnsi="Book Antiqua"/>
          <w:lang w:val="es-ES"/>
        </w:rPr>
        <w:t>Propósito</w:t>
      </w:r>
    </w:p>
    <w:p w14:paraId="408C6B7D" w14:textId="1EDAAA3B" w:rsidR="00EE7D0E" w:rsidRPr="00F341A5" w:rsidRDefault="00E269C5" w:rsidP="000F4162">
      <w:pPr>
        <w:spacing w:line="480" w:lineRule="auto"/>
        <w:ind w:firstLine="600"/>
        <w:jc w:val="both"/>
        <w:rPr>
          <w:rFonts w:ascii="Book Antiqua" w:hAnsi="Book Antiqua"/>
          <w:szCs w:val="24"/>
          <w:lang w:val="es-PR"/>
        </w:rPr>
      </w:pPr>
      <w:r w:rsidRPr="00F341A5">
        <w:rPr>
          <w:rFonts w:ascii="Book Antiqua" w:hAnsi="Book Antiqua"/>
          <w:lang w:val="es-ES"/>
        </w:rPr>
        <w:t>E</w:t>
      </w:r>
      <w:proofErr w:type="spellStart"/>
      <w:r w:rsidRPr="00F341A5">
        <w:rPr>
          <w:rFonts w:ascii="Book Antiqua" w:hAnsi="Book Antiqua"/>
          <w:lang w:val="es-PR"/>
        </w:rPr>
        <w:t>sta</w:t>
      </w:r>
      <w:proofErr w:type="spellEnd"/>
      <w:r w:rsidRPr="00F341A5">
        <w:rPr>
          <w:rFonts w:ascii="Book Antiqua" w:hAnsi="Book Antiqua"/>
          <w:lang w:val="es-PR"/>
        </w:rPr>
        <w:t xml:space="preserve"> ley se conocerá y podrá ser citada como la </w:t>
      </w:r>
      <w:r w:rsidR="000972BD">
        <w:rPr>
          <w:rFonts w:ascii="Book Antiqua" w:hAnsi="Book Antiqua"/>
          <w:szCs w:val="24"/>
          <w:lang w:val="es-PR"/>
        </w:rPr>
        <w:t>“</w:t>
      </w:r>
      <w:r w:rsidR="000972BD" w:rsidRPr="00005471">
        <w:rPr>
          <w:rFonts w:ascii="Book Antiqua" w:hAnsi="Book Antiqua"/>
          <w:szCs w:val="24"/>
          <w:lang w:val="es-PR"/>
        </w:rPr>
        <w:t xml:space="preserve">Ley </w:t>
      </w:r>
      <w:r w:rsidR="000972BD">
        <w:rPr>
          <w:rFonts w:ascii="Book Antiqua" w:hAnsi="Book Antiqua"/>
          <w:szCs w:val="24"/>
          <w:lang w:val="es-PR"/>
        </w:rPr>
        <w:t>para Preservar y Proteger la Infraestructura Pública del Salitre”.</w:t>
      </w:r>
    </w:p>
    <w:p w14:paraId="27A31CA5" w14:textId="77777777" w:rsidR="00A71DD4" w:rsidRDefault="00005471" w:rsidP="00005471">
      <w:pPr>
        <w:spacing w:line="480" w:lineRule="auto"/>
        <w:ind w:firstLine="600"/>
        <w:jc w:val="both"/>
        <w:rPr>
          <w:rFonts w:ascii="Book Antiqua" w:hAnsi="Book Antiqua"/>
          <w:lang w:val="es-PR"/>
        </w:rPr>
      </w:pPr>
      <w:r w:rsidRPr="00005471">
        <w:rPr>
          <w:rFonts w:ascii="Book Antiqua" w:hAnsi="Book Antiqua"/>
          <w:lang w:val="es-PR"/>
        </w:rPr>
        <w:t xml:space="preserve">El propósito </w:t>
      </w:r>
      <w:r w:rsidR="00A71DD4">
        <w:rPr>
          <w:rFonts w:ascii="Book Antiqua" w:hAnsi="Book Antiqua"/>
          <w:lang w:val="es-PR"/>
        </w:rPr>
        <w:t>de esta Ley es</w:t>
      </w:r>
      <w:r w:rsidRPr="00005471">
        <w:rPr>
          <w:rFonts w:ascii="Book Antiqua" w:hAnsi="Book Antiqua"/>
          <w:lang w:val="es-PR"/>
        </w:rPr>
        <w:t xml:space="preserve"> establecer requisitos obligatorios para garantizar la durabilidad y seguridad de las construcciones ubicadas en zonas costeras, donde la exposición constante al salitre y a otros agentes corrosivos pu</w:t>
      </w:r>
      <w:r w:rsidR="00A71DD4">
        <w:rPr>
          <w:rFonts w:ascii="Book Antiqua" w:hAnsi="Book Antiqua"/>
          <w:lang w:val="es-PR"/>
        </w:rPr>
        <w:t>dieran</w:t>
      </w:r>
      <w:r w:rsidRPr="00005471">
        <w:rPr>
          <w:rFonts w:ascii="Book Antiqua" w:hAnsi="Book Antiqua"/>
          <w:lang w:val="es-PR"/>
        </w:rPr>
        <w:t xml:space="preserve"> comprometer la integridad estructural de edificaciones, obras públicas y facilidades críticas. </w:t>
      </w:r>
    </w:p>
    <w:p w14:paraId="0ACC1380" w14:textId="0B0A5D1F" w:rsidR="00005471" w:rsidRPr="00005471" w:rsidRDefault="00005471" w:rsidP="00005471">
      <w:pPr>
        <w:spacing w:line="480" w:lineRule="auto"/>
        <w:ind w:firstLine="600"/>
        <w:jc w:val="both"/>
        <w:rPr>
          <w:rFonts w:ascii="Book Antiqua" w:hAnsi="Book Antiqua"/>
          <w:lang w:val="es-PR"/>
        </w:rPr>
      </w:pPr>
      <w:r w:rsidRPr="00005471">
        <w:rPr>
          <w:rFonts w:ascii="Book Antiqua" w:hAnsi="Book Antiqua"/>
          <w:lang w:val="es-PR"/>
        </w:rPr>
        <w:t>Este proyecto busca asegurar que los materiales utilizados, así como los procesos constructivos, incorporen medidas adecuadas de protección anticorrosiva y cuenten con garantías mínimas por parte de los contratistas.</w:t>
      </w:r>
    </w:p>
    <w:p w14:paraId="46A84A0D" w14:textId="515295CC" w:rsidR="00F341A5" w:rsidRPr="00F341A5" w:rsidRDefault="00F341A5" w:rsidP="00F341A5">
      <w:pPr>
        <w:spacing w:line="480" w:lineRule="auto"/>
        <w:ind w:firstLine="600"/>
        <w:jc w:val="both"/>
        <w:rPr>
          <w:rFonts w:ascii="Book Antiqua" w:hAnsi="Book Antiqua"/>
          <w:lang w:val="es-PR"/>
        </w:rPr>
      </w:pPr>
      <w:r w:rsidRPr="00F341A5">
        <w:rPr>
          <w:rFonts w:ascii="Book Antiqua" w:hAnsi="Book Antiqua"/>
          <w:lang w:val="es-PR"/>
        </w:rPr>
        <w:t>ARTÍCULO 2 — Aplicabilidad</w:t>
      </w:r>
    </w:p>
    <w:p w14:paraId="083D3B9F" w14:textId="68AB5B7C" w:rsidR="00A71DD4" w:rsidRPr="00A71DD4" w:rsidRDefault="00A71DD4" w:rsidP="00A71DD4">
      <w:pPr>
        <w:spacing w:line="480" w:lineRule="auto"/>
        <w:ind w:firstLine="600"/>
        <w:jc w:val="both"/>
        <w:rPr>
          <w:rFonts w:ascii="Book Antiqua" w:hAnsi="Book Antiqua"/>
          <w:lang w:val="es-PR"/>
        </w:rPr>
      </w:pPr>
      <w:r w:rsidRPr="00A71DD4">
        <w:rPr>
          <w:rFonts w:ascii="Book Antiqua" w:hAnsi="Book Antiqua"/>
          <w:lang w:val="es-PR"/>
        </w:rPr>
        <w:lastRenderedPageBreak/>
        <w:t xml:space="preserve">Las disposiciones de esta Ley aplicarán a toda obra de construcción, reconstrucción, rehabilitación, mejora permanente o remodelación realizada, financiada, auspiciada o contratada por el </w:t>
      </w:r>
      <w:r>
        <w:rPr>
          <w:rFonts w:ascii="Book Antiqua" w:hAnsi="Book Antiqua"/>
          <w:lang w:val="es-PR"/>
        </w:rPr>
        <w:t>Gobierno</w:t>
      </w:r>
      <w:r w:rsidRPr="00A71DD4">
        <w:rPr>
          <w:rFonts w:ascii="Book Antiqua" w:hAnsi="Book Antiqua"/>
          <w:lang w:val="es-PR"/>
        </w:rPr>
        <w:t xml:space="preserve"> de Puerto Rico, sus agencias, corporaciones públicas, instrumentalidades, municipios y cualquier entidad que administre fondos públicos.</w:t>
      </w:r>
    </w:p>
    <w:p w14:paraId="3024F21E" w14:textId="1C2FA588" w:rsidR="00A71DD4" w:rsidRPr="00A71DD4" w:rsidRDefault="00A71DD4" w:rsidP="00A71DD4">
      <w:pPr>
        <w:spacing w:line="480" w:lineRule="auto"/>
        <w:ind w:firstLine="600"/>
        <w:jc w:val="both"/>
        <w:rPr>
          <w:rFonts w:ascii="Book Antiqua" w:hAnsi="Book Antiqua"/>
          <w:lang w:val="es-PR"/>
        </w:rPr>
      </w:pPr>
      <w:r w:rsidRPr="00A71DD4">
        <w:rPr>
          <w:rFonts w:ascii="Book Antiqua" w:hAnsi="Book Antiqua"/>
          <w:lang w:val="es-PR"/>
        </w:rPr>
        <w:t>Esta Ley será aplicable a todo proyecto ubicado en zonas costeras, áreas marítimo-terrestres o regiones clasificadas como susceptibles al impacto del salitre según los parámetros establecidos por las agencias ambientales, de planificación o infraestructura del Estado. Incluirá,</w:t>
      </w:r>
      <w:r>
        <w:rPr>
          <w:rFonts w:ascii="Book Antiqua" w:hAnsi="Book Antiqua"/>
          <w:lang w:val="es-PR"/>
        </w:rPr>
        <w:t xml:space="preserve"> pero</w:t>
      </w:r>
      <w:r w:rsidRPr="00A71DD4">
        <w:rPr>
          <w:rFonts w:ascii="Book Antiqua" w:hAnsi="Book Antiqua"/>
          <w:lang w:val="es-PR"/>
        </w:rPr>
        <w:t xml:space="preserve"> sin limitarse</w:t>
      </w:r>
      <w:r>
        <w:rPr>
          <w:rFonts w:ascii="Book Antiqua" w:hAnsi="Book Antiqua"/>
          <w:lang w:val="es-PR"/>
        </w:rPr>
        <w:t>,</w:t>
      </w:r>
      <w:r w:rsidRPr="00A71DD4">
        <w:rPr>
          <w:rFonts w:ascii="Book Antiqua" w:hAnsi="Book Antiqua"/>
          <w:lang w:val="es-PR"/>
        </w:rPr>
        <w:t xml:space="preserve"> a facilidades recreativas, turísticas, de transporte, carreteras, paseos, edificaciones públicas, instalaciones de servicios esenciales y cualquier otra estructura expuesta a condiciones ambientales de alta salinidad.</w:t>
      </w:r>
    </w:p>
    <w:p w14:paraId="14693AF3" w14:textId="77777777" w:rsidR="00A71DD4" w:rsidRPr="00A71DD4" w:rsidRDefault="00A71DD4" w:rsidP="00A71DD4">
      <w:pPr>
        <w:spacing w:line="480" w:lineRule="auto"/>
        <w:ind w:firstLine="600"/>
        <w:jc w:val="both"/>
        <w:rPr>
          <w:rFonts w:ascii="Book Antiqua" w:hAnsi="Book Antiqua"/>
          <w:lang w:val="es-PR"/>
        </w:rPr>
      </w:pPr>
      <w:r w:rsidRPr="00A71DD4">
        <w:rPr>
          <w:rFonts w:ascii="Book Antiqua" w:hAnsi="Book Antiqua"/>
          <w:lang w:val="es-PR"/>
        </w:rPr>
        <w:t>Asimismo, las disposiciones de esta Ley aplicarán a proyectos que, aun cuando no se encuentren directamente en la franja costera, estén ubicados en áreas donde la exposición al salitre pueda comprometer la integridad estructural o acelerar el deterioro de los materiales utilizados.</w:t>
      </w:r>
    </w:p>
    <w:p w14:paraId="33BBF0AF" w14:textId="2D38D114" w:rsidR="00F341A5" w:rsidRDefault="00F341A5" w:rsidP="00F341A5">
      <w:pPr>
        <w:spacing w:line="480" w:lineRule="auto"/>
        <w:ind w:firstLine="600"/>
        <w:jc w:val="both"/>
        <w:rPr>
          <w:rFonts w:ascii="Book Antiqua" w:hAnsi="Book Antiqua"/>
          <w:lang w:val="es-PR"/>
        </w:rPr>
      </w:pPr>
      <w:r w:rsidRPr="00F341A5">
        <w:rPr>
          <w:rFonts w:ascii="Book Antiqua" w:hAnsi="Book Antiqua"/>
          <w:lang w:val="es-PR"/>
        </w:rPr>
        <w:t>ARTÍCULO</w:t>
      </w:r>
      <w:r w:rsidRPr="00F341A5">
        <w:rPr>
          <w:rFonts w:ascii="Book Antiqua" w:hAnsi="Book Antiqua"/>
          <w:b/>
          <w:bCs/>
          <w:lang w:val="es-PR"/>
        </w:rPr>
        <w:t xml:space="preserve"> 3 </w:t>
      </w:r>
      <w:r w:rsidRPr="00F403C2">
        <w:rPr>
          <w:rFonts w:ascii="Book Antiqua" w:hAnsi="Book Antiqua"/>
          <w:lang w:val="es-PR"/>
        </w:rPr>
        <w:t>— Definiciones</w:t>
      </w:r>
    </w:p>
    <w:p w14:paraId="5E489DEB" w14:textId="77777777" w:rsidR="00A71DD4" w:rsidRPr="00A71DD4" w:rsidRDefault="00A71DD4" w:rsidP="00A71DD4">
      <w:pPr>
        <w:spacing w:line="480" w:lineRule="auto"/>
        <w:ind w:firstLine="600"/>
        <w:jc w:val="both"/>
        <w:rPr>
          <w:rFonts w:ascii="Book Antiqua" w:hAnsi="Book Antiqua"/>
          <w:lang w:val="es-PR"/>
        </w:rPr>
      </w:pPr>
      <w:r w:rsidRPr="00A71DD4">
        <w:rPr>
          <w:rFonts w:ascii="Book Antiqua" w:hAnsi="Book Antiqua"/>
          <w:lang w:val="es-PR"/>
        </w:rPr>
        <w:t>Para fines de esta Ley, los siguientes términos tendrán el significado que a continuación se expresa:</w:t>
      </w:r>
    </w:p>
    <w:p w14:paraId="22DF39AF" w14:textId="46A5FFA7" w:rsidR="00A71DD4" w:rsidRPr="00A71DD4" w:rsidRDefault="00A71DD4" w:rsidP="00A71DD4">
      <w:pPr>
        <w:numPr>
          <w:ilvl w:val="0"/>
          <w:numId w:val="32"/>
        </w:numPr>
        <w:spacing w:line="480" w:lineRule="auto"/>
        <w:jc w:val="both"/>
        <w:rPr>
          <w:rFonts w:ascii="Book Antiqua" w:hAnsi="Book Antiqua"/>
          <w:lang w:val="es-PR"/>
        </w:rPr>
      </w:pPr>
      <w:r w:rsidRPr="00A71DD4">
        <w:rPr>
          <w:rFonts w:ascii="Book Antiqua" w:hAnsi="Book Antiqua"/>
          <w:lang w:val="es-PR"/>
        </w:rPr>
        <w:t>Área susceptible al salitre</w:t>
      </w:r>
      <w:r>
        <w:rPr>
          <w:rFonts w:ascii="Book Antiqua" w:hAnsi="Book Antiqua"/>
          <w:lang w:val="es-PR"/>
        </w:rPr>
        <w:t xml:space="preserve">- </w:t>
      </w:r>
      <w:r w:rsidRPr="00A71DD4">
        <w:rPr>
          <w:rFonts w:ascii="Book Antiqua" w:hAnsi="Book Antiqua"/>
          <w:lang w:val="es-PR"/>
        </w:rPr>
        <w:t>Región que, aun cuando no esté ubicada directamente en la franja costera, presenta niveles altos de exposición al salitre capaces de acelerar la corrosión o el deterioro estructural, según evaluaciones técnicas de agencias ambientales, de planificación o de infraestructura.</w:t>
      </w:r>
    </w:p>
    <w:p w14:paraId="68B4A4F8" w14:textId="50B1BB0A" w:rsidR="00A71DD4" w:rsidRPr="00A71DD4" w:rsidRDefault="00A71DD4" w:rsidP="00A71DD4">
      <w:pPr>
        <w:numPr>
          <w:ilvl w:val="0"/>
          <w:numId w:val="32"/>
        </w:numPr>
        <w:spacing w:line="480" w:lineRule="auto"/>
        <w:jc w:val="both"/>
        <w:rPr>
          <w:rFonts w:ascii="Book Antiqua" w:hAnsi="Book Antiqua"/>
          <w:lang w:val="es-PR"/>
        </w:rPr>
      </w:pPr>
      <w:r w:rsidRPr="00A71DD4">
        <w:rPr>
          <w:rFonts w:ascii="Book Antiqua" w:hAnsi="Book Antiqua"/>
          <w:lang w:val="es-PR"/>
        </w:rPr>
        <w:lastRenderedPageBreak/>
        <w:t>Construcción</w:t>
      </w:r>
      <w:r>
        <w:rPr>
          <w:rFonts w:ascii="Book Antiqua" w:hAnsi="Book Antiqua"/>
          <w:lang w:val="es-PR"/>
        </w:rPr>
        <w:t xml:space="preserve">- </w:t>
      </w:r>
      <w:r w:rsidRPr="00A71DD4">
        <w:rPr>
          <w:rFonts w:ascii="Book Antiqua" w:hAnsi="Book Antiqua"/>
          <w:lang w:val="es-PR"/>
        </w:rPr>
        <w:t>Se refiere a toda obra nueva, edificación, estructura, infraestructura, instalación o facilidad pública que se lleve a cabo mediante contratos, proyectos o iniciativas del Estado Libre Asociado de Puerto Rico, sus agencias, corporaciones públicas, instrumentalidades o municipios.</w:t>
      </w:r>
    </w:p>
    <w:p w14:paraId="7529B959" w14:textId="0EA22016" w:rsidR="00A71DD4" w:rsidRPr="00A71DD4" w:rsidRDefault="00A71DD4" w:rsidP="00A71DD4">
      <w:pPr>
        <w:numPr>
          <w:ilvl w:val="0"/>
          <w:numId w:val="32"/>
        </w:numPr>
        <w:spacing w:line="480" w:lineRule="auto"/>
        <w:jc w:val="both"/>
        <w:rPr>
          <w:rFonts w:ascii="Book Antiqua" w:hAnsi="Book Antiqua"/>
          <w:lang w:val="es-PR"/>
        </w:rPr>
      </w:pPr>
      <w:r w:rsidRPr="00A71DD4">
        <w:rPr>
          <w:rFonts w:ascii="Book Antiqua" w:hAnsi="Book Antiqua"/>
          <w:lang w:val="es-PR"/>
        </w:rPr>
        <w:t>Contratista</w:t>
      </w:r>
      <w:r>
        <w:rPr>
          <w:rFonts w:ascii="Book Antiqua" w:hAnsi="Book Antiqua"/>
          <w:lang w:val="es-PR"/>
        </w:rPr>
        <w:t xml:space="preserve">- </w:t>
      </w:r>
      <w:r w:rsidRPr="00A71DD4">
        <w:rPr>
          <w:rFonts w:ascii="Book Antiqua" w:hAnsi="Book Antiqua"/>
          <w:lang w:val="es-PR"/>
        </w:rPr>
        <w:t>Toda persona natural o jurídica, empresa, consorcio o entidad que realice trabajos de construcción, rehabilitación o remodelación financiados o contratados por el Estado Libre Asociado de Puerto Rico o sus instrumentalidades.</w:t>
      </w:r>
    </w:p>
    <w:p w14:paraId="5CB883D1" w14:textId="19EEE42F" w:rsidR="00A71DD4" w:rsidRPr="00A71DD4" w:rsidRDefault="00A71DD4" w:rsidP="00A71DD4">
      <w:pPr>
        <w:numPr>
          <w:ilvl w:val="0"/>
          <w:numId w:val="32"/>
        </w:numPr>
        <w:spacing w:line="480" w:lineRule="auto"/>
        <w:jc w:val="both"/>
        <w:rPr>
          <w:rFonts w:ascii="Book Antiqua" w:hAnsi="Book Antiqua"/>
          <w:lang w:val="es-PR"/>
        </w:rPr>
      </w:pPr>
      <w:r w:rsidRPr="00A71DD4">
        <w:rPr>
          <w:rFonts w:ascii="Book Antiqua" w:hAnsi="Book Antiqua"/>
          <w:lang w:val="es-PR"/>
        </w:rPr>
        <w:t>Garantía</w:t>
      </w:r>
      <w:r>
        <w:rPr>
          <w:rFonts w:ascii="Book Antiqua" w:hAnsi="Book Antiqua"/>
          <w:lang w:val="es-PR"/>
        </w:rPr>
        <w:t xml:space="preserve">- </w:t>
      </w:r>
      <w:r w:rsidRPr="00A71DD4">
        <w:rPr>
          <w:rFonts w:ascii="Book Antiqua" w:hAnsi="Book Antiqua"/>
          <w:lang w:val="es-PR"/>
        </w:rPr>
        <w:t>Obligación contractual que asume el contratista mediante la cual se compromete a responder, por un periodo mínimo de diez (10) años, por defectos relacionados con corrosión, fallas en el tratamiento anticorrosivo, deterioro prematuro de materiales o cualquier daño atribuible a exposición al salitre.</w:t>
      </w:r>
    </w:p>
    <w:p w14:paraId="2DA5C5C3" w14:textId="385A13D9" w:rsidR="00A71DD4" w:rsidRPr="00A71DD4" w:rsidRDefault="00A71DD4" w:rsidP="00A71DD4">
      <w:pPr>
        <w:numPr>
          <w:ilvl w:val="0"/>
          <w:numId w:val="32"/>
        </w:numPr>
        <w:spacing w:line="480" w:lineRule="auto"/>
        <w:jc w:val="both"/>
        <w:rPr>
          <w:rFonts w:ascii="Book Antiqua" w:hAnsi="Book Antiqua"/>
          <w:lang w:val="es-PR"/>
        </w:rPr>
      </w:pPr>
      <w:r w:rsidRPr="00A71DD4">
        <w:rPr>
          <w:rFonts w:ascii="Book Antiqua" w:hAnsi="Book Antiqua"/>
          <w:lang w:val="es-PR"/>
        </w:rPr>
        <w:t>Materiales</w:t>
      </w:r>
      <w:r>
        <w:rPr>
          <w:rFonts w:ascii="Book Antiqua" w:hAnsi="Book Antiqua"/>
          <w:lang w:val="es-PR"/>
        </w:rPr>
        <w:t xml:space="preserve"> </w:t>
      </w:r>
      <w:r w:rsidRPr="00A71DD4">
        <w:rPr>
          <w:rFonts w:ascii="Book Antiqua" w:hAnsi="Book Antiqua"/>
          <w:lang w:val="es-PR"/>
        </w:rPr>
        <w:t>anticorrosivos</w:t>
      </w:r>
      <w:r>
        <w:rPr>
          <w:rFonts w:ascii="Book Antiqua" w:hAnsi="Book Antiqua"/>
          <w:lang w:val="es-PR"/>
        </w:rPr>
        <w:t xml:space="preserve">- </w:t>
      </w:r>
      <w:r w:rsidRPr="00A71DD4">
        <w:rPr>
          <w:rFonts w:ascii="Book Antiqua" w:hAnsi="Book Antiqua"/>
          <w:lang w:val="es-PR"/>
        </w:rPr>
        <w:t>Incluye todo material, recubrimiento, aleación, aditivo, tratamiento químico o sistema constructivo diseñado para prevenir, reducir o retrasar la corrosión causada por la salinidad y otros agentes ambientales presentes en zonas costeras.</w:t>
      </w:r>
    </w:p>
    <w:p w14:paraId="4BA0A5B4" w14:textId="20F45ACA" w:rsidR="00A71DD4" w:rsidRPr="00A71DD4" w:rsidRDefault="00A71DD4" w:rsidP="00A71DD4">
      <w:pPr>
        <w:numPr>
          <w:ilvl w:val="0"/>
          <w:numId w:val="32"/>
        </w:numPr>
        <w:spacing w:line="480" w:lineRule="auto"/>
        <w:jc w:val="both"/>
        <w:rPr>
          <w:rFonts w:ascii="Book Antiqua" w:hAnsi="Book Antiqua"/>
          <w:lang w:val="es-PR"/>
        </w:rPr>
      </w:pPr>
      <w:r w:rsidRPr="00A71DD4">
        <w:rPr>
          <w:rFonts w:ascii="Book Antiqua" w:hAnsi="Book Antiqua"/>
          <w:lang w:val="es-PR"/>
        </w:rPr>
        <w:t>Plan de protección anticorrosiva</w:t>
      </w:r>
      <w:r>
        <w:rPr>
          <w:rFonts w:ascii="Book Antiqua" w:hAnsi="Book Antiqua"/>
          <w:lang w:val="es-PR"/>
        </w:rPr>
        <w:t xml:space="preserve">- </w:t>
      </w:r>
      <w:r w:rsidRPr="00A71DD4">
        <w:rPr>
          <w:rFonts w:ascii="Book Antiqua" w:hAnsi="Book Antiqua"/>
          <w:lang w:val="es-PR"/>
        </w:rPr>
        <w:t>Documento técnico presentado por el contratista en el que se detallan los tratamientos, materiales, especificaciones y procedimientos que serán utilizados para prevenir la corrosión y asegurar la durabilidad de la obra.</w:t>
      </w:r>
    </w:p>
    <w:p w14:paraId="6D01B863" w14:textId="78C469CB" w:rsidR="00A71DD4" w:rsidRPr="00A71DD4" w:rsidRDefault="00A71DD4" w:rsidP="00A71DD4">
      <w:pPr>
        <w:numPr>
          <w:ilvl w:val="0"/>
          <w:numId w:val="32"/>
        </w:numPr>
        <w:spacing w:line="480" w:lineRule="auto"/>
        <w:jc w:val="both"/>
        <w:rPr>
          <w:rFonts w:ascii="Book Antiqua" w:hAnsi="Book Antiqua"/>
          <w:lang w:val="es-PR"/>
        </w:rPr>
      </w:pPr>
      <w:r w:rsidRPr="00A71DD4">
        <w:rPr>
          <w:rFonts w:ascii="Book Antiqua" w:hAnsi="Book Antiqua"/>
          <w:lang w:val="es-PR"/>
        </w:rPr>
        <w:t>Reconstrucción, rehabilitación o remodelación</w:t>
      </w:r>
      <w:r>
        <w:rPr>
          <w:rFonts w:ascii="Book Antiqua" w:hAnsi="Book Antiqua"/>
          <w:lang w:val="es-PR"/>
        </w:rPr>
        <w:t xml:space="preserve">- </w:t>
      </w:r>
      <w:r w:rsidRPr="00A71DD4">
        <w:rPr>
          <w:rFonts w:ascii="Book Antiqua" w:hAnsi="Book Antiqua"/>
          <w:lang w:val="es-PR"/>
        </w:rPr>
        <w:t xml:space="preserve">Comprende toda intervención física destinada a reparar, fortalecer, mejorar, renovar o modificar estructuras </w:t>
      </w:r>
      <w:r w:rsidRPr="00A71DD4">
        <w:rPr>
          <w:rFonts w:ascii="Book Antiqua" w:hAnsi="Book Antiqua"/>
          <w:lang w:val="es-PR"/>
        </w:rPr>
        <w:lastRenderedPageBreak/>
        <w:t>existentes, incluyendo obras permanentes o mejoras sustanciales realizadas con fondos públicos.</w:t>
      </w:r>
    </w:p>
    <w:p w14:paraId="760BB189" w14:textId="0DB1D71F" w:rsidR="00A71DD4" w:rsidRPr="00A71DD4" w:rsidRDefault="00A71DD4" w:rsidP="00A71DD4">
      <w:pPr>
        <w:numPr>
          <w:ilvl w:val="0"/>
          <w:numId w:val="32"/>
        </w:numPr>
        <w:spacing w:line="480" w:lineRule="auto"/>
        <w:jc w:val="both"/>
        <w:rPr>
          <w:rFonts w:ascii="Book Antiqua" w:hAnsi="Book Antiqua"/>
          <w:lang w:val="es-PR"/>
        </w:rPr>
      </w:pPr>
      <w:r w:rsidRPr="00A71DD4">
        <w:rPr>
          <w:rFonts w:ascii="Book Antiqua" w:hAnsi="Book Antiqua"/>
          <w:lang w:val="es-PR"/>
        </w:rPr>
        <w:t>Zona costera</w:t>
      </w:r>
      <w:r>
        <w:rPr>
          <w:rFonts w:ascii="Book Antiqua" w:hAnsi="Book Antiqua"/>
          <w:lang w:val="es-PR"/>
        </w:rPr>
        <w:t xml:space="preserve">- </w:t>
      </w:r>
      <w:r w:rsidRPr="00A71DD4">
        <w:rPr>
          <w:rFonts w:ascii="Book Antiqua" w:hAnsi="Book Antiqua"/>
          <w:lang w:val="es-PR"/>
        </w:rPr>
        <w:t>Área definida por las agencias pertinentes del Estado como franja litoral sujeta a la influencia directa del ambiente marino, incluyendo playas, malecones, paseos costeros, áreas marítimo-terrestres y terrenos adyacentes afectados por salinidad.</w:t>
      </w:r>
    </w:p>
    <w:p w14:paraId="5160B85F" w14:textId="77777777" w:rsidR="00A71DD4" w:rsidRPr="00A71DD4" w:rsidRDefault="00F403C2" w:rsidP="00A71DD4">
      <w:pPr>
        <w:spacing w:line="480" w:lineRule="auto"/>
        <w:ind w:firstLine="600"/>
        <w:jc w:val="both"/>
        <w:rPr>
          <w:rFonts w:ascii="Book Antiqua" w:hAnsi="Book Antiqua"/>
          <w:lang w:val="es-PR"/>
        </w:rPr>
      </w:pPr>
      <w:r w:rsidRPr="00F403C2">
        <w:rPr>
          <w:rFonts w:ascii="Book Antiqua" w:hAnsi="Book Antiqua"/>
          <w:lang w:val="es-PR"/>
        </w:rPr>
        <w:t xml:space="preserve">ARTÍCULO 4 — </w:t>
      </w:r>
      <w:r w:rsidR="00A71DD4" w:rsidRPr="00A71DD4">
        <w:rPr>
          <w:rFonts w:ascii="Book Antiqua" w:hAnsi="Book Antiqua"/>
          <w:lang w:val="es-PR"/>
        </w:rPr>
        <w:t>Requisitos de Protección Anticorrosiva</w:t>
      </w:r>
    </w:p>
    <w:p w14:paraId="18A04732" w14:textId="77777777" w:rsidR="00FC5400" w:rsidRDefault="00A71DD4" w:rsidP="00A71DD4">
      <w:pPr>
        <w:spacing w:line="480" w:lineRule="auto"/>
        <w:ind w:firstLine="600"/>
        <w:jc w:val="both"/>
        <w:rPr>
          <w:rFonts w:ascii="Book Antiqua" w:hAnsi="Book Antiqua"/>
          <w:lang w:val="es-PR"/>
        </w:rPr>
      </w:pPr>
      <w:r w:rsidRPr="00A71DD4">
        <w:rPr>
          <w:rFonts w:ascii="Book Antiqua" w:hAnsi="Book Antiqua"/>
          <w:lang w:val="es-PR"/>
        </w:rPr>
        <w:t xml:space="preserve">Todo proyecto de construcción, reconstrucción, rehabilitación, mejora permanente o remodelación sujeto a esta Ley deberá incorporar medidas obligatorias de protección anticorrosiva destinadas a garantizar la durabilidad de las obras ubicadas en zonas costeras o áreas susceptibles al salitre. </w:t>
      </w:r>
    </w:p>
    <w:p w14:paraId="068DFED7" w14:textId="323439F5" w:rsidR="00A71DD4" w:rsidRPr="00FC5400" w:rsidRDefault="00A71DD4" w:rsidP="00A71DD4">
      <w:pPr>
        <w:spacing w:line="480" w:lineRule="auto"/>
        <w:ind w:firstLine="600"/>
        <w:jc w:val="both"/>
        <w:rPr>
          <w:rFonts w:ascii="Book Antiqua" w:hAnsi="Book Antiqua"/>
          <w:lang w:val="es-PR"/>
        </w:rPr>
      </w:pPr>
      <w:r w:rsidRPr="00FC5400">
        <w:rPr>
          <w:rFonts w:ascii="Book Antiqua" w:hAnsi="Book Antiqua"/>
          <w:lang w:val="es-PR"/>
        </w:rPr>
        <w:t xml:space="preserve">Para </w:t>
      </w:r>
      <w:r w:rsidR="00FC5400" w:rsidRPr="00FC5400">
        <w:rPr>
          <w:rFonts w:ascii="Book Antiqua" w:hAnsi="Book Antiqua"/>
          <w:lang w:val="es-PR"/>
        </w:rPr>
        <w:t>estos</w:t>
      </w:r>
      <w:r w:rsidRPr="00FC5400">
        <w:rPr>
          <w:rFonts w:ascii="Book Antiqua" w:hAnsi="Book Antiqua"/>
          <w:lang w:val="es-PR"/>
        </w:rPr>
        <w:t xml:space="preserve"> fines, se establece</w:t>
      </w:r>
      <w:r w:rsidR="00FC5400" w:rsidRPr="00FC5400">
        <w:rPr>
          <w:rFonts w:ascii="Book Antiqua" w:hAnsi="Book Antiqua"/>
          <w:lang w:val="es-PR"/>
        </w:rPr>
        <w:t>n</w:t>
      </w:r>
      <w:r w:rsidRPr="00FC5400">
        <w:rPr>
          <w:rFonts w:ascii="Book Antiqua" w:hAnsi="Book Antiqua"/>
          <w:lang w:val="es-PR"/>
        </w:rPr>
        <w:t xml:space="preserve"> los siguientes requisitos:</w:t>
      </w:r>
    </w:p>
    <w:p w14:paraId="107627EB" w14:textId="7918839C" w:rsidR="00A71DD4" w:rsidRPr="00A71DD4" w:rsidRDefault="00A71DD4" w:rsidP="00FC5400">
      <w:pPr>
        <w:numPr>
          <w:ilvl w:val="0"/>
          <w:numId w:val="34"/>
        </w:numPr>
        <w:spacing w:line="480" w:lineRule="auto"/>
        <w:jc w:val="both"/>
        <w:rPr>
          <w:rFonts w:ascii="Book Antiqua" w:hAnsi="Book Antiqua"/>
          <w:lang w:val="es-PR"/>
        </w:rPr>
      </w:pPr>
      <w:r w:rsidRPr="00A71DD4">
        <w:rPr>
          <w:rFonts w:ascii="Book Antiqua" w:hAnsi="Book Antiqua"/>
          <w:lang w:val="es-PR"/>
        </w:rPr>
        <w:t>Uso de materiales certificados</w:t>
      </w:r>
      <w:r>
        <w:rPr>
          <w:rFonts w:ascii="Book Antiqua" w:hAnsi="Book Antiqua"/>
          <w:lang w:val="es-PR"/>
        </w:rPr>
        <w:t xml:space="preserve">- </w:t>
      </w:r>
      <w:r w:rsidRPr="00A71DD4">
        <w:rPr>
          <w:rFonts w:ascii="Book Antiqua" w:hAnsi="Book Antiqua"/>
          <w:lang w:val="es-PR"/>
        </w:rPr>
        <w:t>Todo material metálico, incluido acero estructural, anclajes, tornillería, barandas, luminarias y cualquier otro componente expuesto, deberá contar con recubrimientos, galvanizados, aleaciones o tratamientos anticorrosivos certificados para ambientes de alta salinidad.</w:t>
      </w:r>
    </w:p>
    <w:p w14:paraId="1FE6237C" w14:textId="0113F414" w:rsidR="00A71DD4" w:rsidRPr="00A71DD4" w:rsidRDefault="00A71DD4" w:rsidP="00FC5400">
      <w:pPr>
        <w:numPr>
          <w:ilvl w:val="0"/>
          <w:numId w:val="34"/>
        </w:numPr>
        <w:spacing w:line="480" w:lineRule="auto"/>
        <w:jc w:val="both"/>
        <w:rPr>
          <w:rFonts w:ascii="Book Antiqua" w:hAnsi="Book Antiqua"/>
          <w:lang w:val="es-PR"/>
        </w:rPr>
      </w:pPr>
      <w:r w:rsidRPr="00A71DD4">
        <w:rPr>
          <w:rFonts w:ascii="Book Antiqua" w:hAnsi="Book Antiqua"/>
          <w:lang w:val="es-PR"/>
        </w:rPr>
        <w:t>Concreto y elementos estructurales</w:t>
      </w:r>
      <w:r>
        <w:rPr>
          <w:rFonts w:ascii="Book Antiqua" w:hAnsi="Book Antiqua"/>
          <w:lang w:val="es-PR"/>
        </w:rPr>
        <w:t xml:space="preserve">- </w:t>
      </w:r>
      <w:r w:rsidRPr="00A71DD4">
        <w:rPr>
          <w:rFonts w:ascii="Book Antiqua" w:hAnsi="Book Antiqua"/>
          <w:lang w:val="es-PR"/>
        </w:rPr>
        <w:t xml:space="preserve">El concreto y otros materiales </w:t>
      </w:r>
      <w:r w:rsidR="00FC5400" w:rsidRPr="00A71DD4">
        <w:rPr>
          <w:rFonts w:ascii="Book Antiqua" w:hAnsi="Book Antiqua"/>
          <w:lang w:val="es-PR"/>
        </w:rPr>
        <w:t>cementicos</w:t>
      </w:r>
      <w:r w:rsidRPr="00A71DD4">
        <w:rPr>
          <w:rFonts w:ascii="Book Antiqua" w:hAnsi="Book Antiqua"/>
          <w:lang w:val="es-PR"/>
        </w:rPr>
        <w:t xml:space="preserve"> utilizados en proyectos cubiertos por esta Ley deberán cumplir con especificaciones técnicas que garanticen su resistencia a la penetración de cloruros y su durabilidad en ambientes marinos, incluyendo la utilización de aditivos, mezclas especiales y barreras protectoras según requerido.</w:t>
      </w:r>
    </w:p>
    <w:p w14:paraId="5AEC1FF7" w14:textId="46D67589" w:rsidR="00A71DD4" w:rsidRPr="00A71DD4" w:rsidRDefault="00A71DD4" w:rsidP="00FC5400">
      <w:pPr>
        <w:numPr>
          <w:ilvl w:val="0"/>
          <w:numId w:val="34"/>
        </w:numPr>
        <w:spacing w:line="480" w:lineRule="auto"/>
        <w:jc w:val="both"/>
        <w:rPr>
          <w:rFonts w:ascii="Book Antiqua" w:hAnsi="Book Antiqua"/>
          <w:lang w:val="es-PR"/>
        </w:rPr>
      </w:pPr>
      <w:r w:rsidRPr="00A71DD4">
        <w:rPr>
          <w:rFonts w:ascii="Book Antiqua" w:hAnsi="Book Antiqua"/>
          <w:lang w:val="es-PR"/>
        </w:rPr>
        <w:lastRenderedPageBreak/>
        <w:t>Tratamientos especializados</w:t>
      </w:r>
      <w:r w:rsidR="00FC5400">
        <w:rPr>
          <w:rFonts w:ascii="Book Antiqua" w:hAnsi="Book Antiqua"/>
          <w:lang w:val="es-PR"/>
        </w:rPr>
        <w:t xml:space="preserve">- </w:t>
      </w:r>
      <w:r w:rsidRPr="00A71DD4">
        <w:rPr>
          <w:rFonts w:ascii="Book Antiqua" w:hAnsi="Book Antiqua"/>
          <w:lang w:val="es-PR"/>
        </w:rPr>
        <w:t>Toda superficie expuesta deberá incluir selladores, pinturas anticorrosivas, membranas protectoras u otros sistemas equivalentes aprobados por reglamentación o estándares de ingeniería aplicables. Los tratamientos seleccionados deberán tener una vida útil compatible con las condiciones ambientales del lugar del proyecto.</w:t>
      </w:r>
    </w:p>
    <w:p w14:paraId="2F93315B" w14:textId="1554DB20" w:rsidR="00A71DD4" w:rsidRPr="00A71DD4" w:rsidRDefault="00A71DD4" w:rsidP="00FC5400">
      <w:pPr>
        <w:numPr>
          <w:ilvl w:val="0"/>
          <w:numId w:val="34"/>
        </w:numPr>
        <w:spacing w:line="480" w:lineRule="auto"/>
        <w:jc w:val="both"/>
        <w:rPr>
          <w:rFonts w:ascii="Book Antiqua" w:hAnsi="Book Antiqua"/>
          <w:lang w:val="es-PR"/>
        </w:rPr>
      </w:pPr>
      <w:r w:rsidRPr="00A71DD4">
        <w:rPr>
          <w:rFonts w:ascii="Book Antiqua" w:hAnsi="Book Antiqua"/>
          <w:lang w:val="es-PR"/>
        </w:rPr>
        <w:t>Plan de protección anticorrosiva</w:t>
      </w:r>
      <w:r w:rsidR="00FC5400">
        <w:rPr>
          <w:rFonts w:ascii="Book Antiqua" w:hAnsi="Book Antiqua"/>
          <w:lang w:val="es-PR"/>
        </w:rPr>
        <w:t xml:space="preserve">- </w:t>
      </w:r>
      <w:r w:rsidRPr="00A71DD4">
        <w:rPr>
          <w:rFonts w:ascii="Book Antiqua" w:hAnsi="Book Antiqua"/>
          <w:lang w:val="es-PR"/>
        </w:rPr>
        <w:t xml:space="preserve">Cada contratista deberá someter un plan detallado que describa los materiales, métodos, recubrimientos, especificaciones técnicas, certificaciones y vida útil proyectada de los sistemas anticorrosivos a utilizar. Este plan requerirá aprobación previa de la agencia o entidad </w:t>
      </w:r>
      <w:r w:rsidR="00FC5400">
        <w:rPr>
          <w:rFonts w:ascii="Book Antiqua" w:hAnsi="Book Antiqua"/>
          <w:lang w:val="es-PR"/>
        </w:rPr>
        <w:t xml:space="preserve">responsable de la tramitación del </w:t>
      </w:r>
      <w:r w:rsidRPr="00A71DD4">
        <w:rPr>
          <w:rFonts w:ascii="Book Antiqua" w:hAnsi="Book Antiqua"/>
          <w:lang w:val="es-PR"/>
        </w:rPr>
        <w:t>contrat</w:t>
      </w:r>
      <w:r w:rsidR="00FC5400">
        <w:rPr>
          <w:rFonts w:ascii="Book Antiqua" w:hAnsi="Book Antiqua"/>
          <w:lang w:val="es-PR"/>
        </w:rPr>
        <w:t>o</w:t>
      </w:r>
      <w:r w:rsidRPr="00A71DD4">
        <w:rPr>
          <w:rFonts w:ascii="Book Antiqua" w:hAnsi="Book Antiqua"/>
          <w:lang w:val="es-PR"/>
        </w:rPr>
        <w:t>.</w:t>
      </w:r>
    </w:p>
    <w:p w14:paraId="3CD935BE" w14:textId="73F99BD3" w:rsidR="00A71DD4" w:rsidRPr="00A71DD4" w:rsidRDefault="00A71DD4" w:rsidP="00FC5400">
      <w:pPr>
        <w:numPr>
          <w:ilvl w:val="0"/>
          <w:numId w:val="34"/>
        </w:numPr>
        <w:spacing w:line="480" w:lineRule="auto"/>
        <w:jc w:val="both"/>
        <w:rPr>
          <w:rFonts w:ascii="Book Antiqua" w:hAnsi="Book Antiqua"/>
          <w:lang w:val="es-PR"/>
        </w:rPr>
      </w:pPr>
      <w:r w:rsidRPr="00A71DD4">
        <w:rPr>
          <w:rFonts w:ascii="Book Antiqua" w:hAnsi="Book Antiqua"/>
          <w:lang w:val="es-PR"/>
        </w:rPr>
        <w:t>Verificación e inspección</w:t>
      </w:r>
      <w:r w:rsidR="00FC5400">
        <w:rPr>
          <w:rFonts w:ascii="Book Antiqua" w:hAnsi="Book Antiqua"/>
          <w:lang w:val="es-PR"/>
        </w:rPr>
        <w:t xml:space="preserve">- </w:t>
      </w:r>
      <w:r w:rsidRPr="00A71DD4">
        <w:rPr>
          <w:rFonts w:ascii="Book Antiqua" w:hAnsi="Book Antiqua"/>
          <w:lang w:val="es-PR"/>
        </w:rPr>
        <w:t>La entidad contratante deberá asegurar que, durante todas las fases de construcción, personal autorizado inspeccione la correcta aplicación de los materiales y tratamientos anticorrosivos. Cualquier desviación de las especificaciones aprobadas podrá resultar en suspensión de los trabajos, multas o sanciones contractuales.</w:t>
      </w:r>
    </w:p>
    <w:p w14:paraId="73EF9103" w14:textId="59DE0F01" w:rsidR="00A71DD4" w:rsidRPr="00A71DD4" w:rsidRDefault="00A71DD4" w:rsidP="00FC5400">
      <w:pPr>
        <w:numPr>
          <w:ilvl w:val="0"/>
          <w:numId w:val="34"/>
        </w:numPr>
        <w:spacing w:line="480" w:lineRule="auto"/>
        <w:jc w:val="both"/>
        <w:rPr>
          <w:rFonts w:ascii="Book Antiqua" w:hAnsi="Book Antiqua"/>
          <w:lang w:val="es-PR"/>
        </w:rPr>
      </w:pPr>
      <w:r w:rsidRPr="00A71DD4">
        <w:rPr>
          <w:rFonts w:ascii="Book Antiqua" w:hAnsi="Book Antiqua"/>
          <w:lang w:val="es-PR"/>
        </w:rPr>
        <w:t>Cumplimiento con normas técnicas</w:t>
      </w:r>
      <w:r w:rsidR="00FC5400">
        <w:rPr>
          <w:rFonts w:ascii="Book Antiqua" w:hAnsi="Book Antiqua"/>
          <w:lang w:val="es-PR"/>
        </w:rPr>
        <w:t xml:space="preserve">- </w:t>
      </w:r>
      <w:r w:rsidRPr="00A71DD4">
        <w:rPr>
          <w:rFonts w:ascii="Book Antiqua" w:hAnsi="Book Antiqua"/>
          <w:lang w:val="es-PR"/>
        </w:rPr>
        <w:t>Todos los materiales, tratamientos y sistemas utilizados deberán cumplir con códigos de construcción, reglamentos estatales aplicables y estándares reconocidos por entidades técnicas o profesionales pertinentes.</w:t>
      </w:r>
    </w:p>
    <w:p w14:paraId="5BDB1C86" w14:textId="77777777" w:rsidR="00FC5400" w:rsidRPr="00FC5400" w:rsidRDefault="00F403C2" w:rsidP="00FC5400">
      <w:pPr>
        <w:spacing w:line="480" w:lineRule="auto"/>
        <w:ind w:firstLine="600"/>
        <w:jc w:val="both"/>
        <w:rPr>
          <w:rFonts w:ascii="Book Antiqua" w:hAnsi="Book Antiqua"/>
          <w:lang w:val="es-PR"/>
        </w:rPr>
      </w:pPr>
      <w:r w:rsidRPr="00F341A5">
        <w:rPr>
          <w:rFonts w:ascii="Book Antiqua" w:hAnsi="Book Antiqua"/>
          <w:lang w:val="es-PR"/>
        </w:rPr>
        <w:t>ARTÍCULO</w:t>
      </w:r>
      <w:r w:rsidRPr="00F403C2">
        <w:rPr>
          <w:rFonts w:ascii="Book Antiqua" w:hAnsi="Book Antiqua"/>
          <w:b/>
          <w:bCs/>
          <w:lang w:val="es-PR"/>
        </w:rPr>
        <w:t xml:space="preserve"> </w:t>
      </w:r>
      <w:r w:rsidRPr="00F403C2">
        <w:rPr>
          <w:rFonts w:ascii="Book Antiqua" w:hAnsi="Book Antiqua"/>
          <w:lang w:val="es-PR"/>
        </w:rPr>
        <w:t xml:space="preserve">5 — </w:t>
      </w:r>
      <w:r w:rsidR="00FC5400" w:rsidRPr="00FC5400">
        <w:rPr>
          <w:rFonts w:ascii="Book Antiqua" w:hAnsi="Book Antiqua"/>
          <w:lang w:val="es-PR"/>
        </w:rPr>
        <w:t>Garantías del Contratista</w:t>
      </w:r>
    </w:p>
    <w:p w14:paraId="78B33356" w14:textId="77777777" w:rsidR="00BD0E46" w:rsidRDefault="00FC5400" w:rsidP="00FC5400">
      <w:pPr>
        <w:spacing w:line="480" w:lineRule="auto"/>
        <w:ind w:firstLine="600"/>
        <w:jc w:val="both"/>
        <w:rPr>
          <w:rFonts w:ascii="Book Antiqua" w:hAnsi="Book Antiqua"/>
          <w:lang w:val="es-PR"/>
        </w:rPr>
      </w:pPr>
      <w:r w:rsidRPr="00FC5400">
        <w:rPr>
          <w:rFonts w:ascii="Book Antiqua" w:hAnsi="Book Antiqua"/>
          <w:lang w:val="es-PR"/>
        </w:rPr>
        <w:t>Todo contratista que realice trabajos de construcción, reconstrucción, rehabilitación, mejora permanente o remodelación en proyectos cubiertos por esta Ley</w:t>
      </w:r>
      <w:r w:rsidR="00BD0E46">
        <w:rPr>
          <w:rFonts w:ascii="Book Antiqua" w:hAnsi="Book Antiqua"/>
          <w:lang w:val="es-PR"/>
        </w:rPr>
        <w:t>,</w:t>
      </w:r>
      <w:r w:rsidRPr="00FC5400">
        <w:rPr>
          <w:rFonts w:ascii="Book Antiqua" w:hAnsi="Book Antiqua"/>
          <w:lang w:val="es-PR"/>
        </w:rPr>
        <w:t xml:space="preserve"> </w:t>
      </w:r>
      <w:r w:rsidRPr="00FC5400">
        <w:rPr>
          <w:rFonts w:ascii="Book Antiqua" w:hAnsi="Book Antiqua"/>
          <w:lang w:val="es-PR"/>
        </w:rPr>
        <w:lastRenderedPageBreak/>
        <w:t xml:space="preserve">deberá proveer una garantía obligatoria que asegure la durabilidad y funcionalidad de la obra frente a la exposición al salitre y otros agentes corrosivos. </w:t>
      </w:r>
    </w:p>
    <w:p w14:paraId="7FE2217C" w14:textId="0F4582AF" w:rsidR="00FC5400" w:rsidRPr="00BD0E46" w:rsidRDefault="00FC5400" w:rsidP="00FC5400">
      <w:pPr>
        <w:spacing w:line="480" w:lineRule="auto"/>
        <w:ind w:firstLine="600"/>
        <w:jc w:val="both"/>
        <w:rPr>
          <w:rFonts w:ascii="Book Antiqua" w:hAnsi="Book Antiqua"/>
          <w:lang w:val="es-PR"/>
        </w:rPr>
      </w:pPr>
      <w:r w:rsidRPr="00BD0E46">
        <w:rPr>
          <w:rFonts w:ascii="Book Antiqua" w:hAnsi="Book Antiqua"/>
          <w:lang w:val="es-PR"/>
        </w:rPr>
        <w:t>Dicha garantía deberá cumplir con los siguientes requisitos:</w:t>
      </w:r>
    </w:p>
    <w:p w14:paraId="63B16DF3" w14:textId="77777777" w:rsidR="00BD0E46" w:rsidRDefault="00FC5400" w:rsidP="00BD0E46">
      <w:pPr>
        <w:numPr>
          <w:ilvl w:val="0"/>
          <w:numId w:val="36"/>
        </w:numPr>
        <w:spacing w:line="480" w:lineRule="auto"/>
        <w:jc w:val="both"/>
        <w:rPr>
          <w:rFonts w:ascii="Book Antiqua" w:hAnsi="Book Antiqua"/>
          <w:lang w:val="es-PR"/>
        </w:rPr>
      </w:pPr>
      <w:r w:rsidRPr="00FC5400">
        <w:rPr>
          <w:rFonts w:ascii="Book Antiqua" w:hAnsi="Book Antiqua"/>
          <w:lang w:val="es-PR"/>
        </w:rPr>
        <w:t>Duración mínima</w:t>
      </w:r>
      <w:r w:rsidR="00BD0E46">
        <w:rPr>
          <w:rFonts w:ascii="Book Antiqua" w:hAnsi="Book Antiqua"/>
          <w:lang w:val="es-PR"/>
        </w:rPr>
        <w:t xml:space="preserve"> </w:t>
      </w:r>
    </w:p>
    <w:p w14:paraId="2B67E9F3" w14:textId="756795CE" w:rsidR="00BD0E46" w:rsidRPr="00BD0E46" w:rsidRDefault="00FC5400" w:rsidP="00BD0E46">
      <w:pPr>
        <w:spacing w:line="480" w:lineRule="auto"/>
        <w:ind w:left="720"/>
        <w:jc w:val="both"/>
        <w:rPr>
          <w:rFonts w:ascii="Book Antiqua" w:hAnsi="Book Antiqua"/>
          <w:lang w:val="es-PR"/>
        </w:rPr>
      </w:pPr>
      <w:r w:rsidRPr="00BD0E46">
        <w:rPr>
          <w:rFonts w:ascii="Book Antiqua" w:hAnsi="Book Antiqua"/>
          <w:lang w:val="es-PR"/>
        </w:rPr>
        <w:t>El contratista deberá garantizar la obra por un periodo no menor de diez (10) años contados a partir de la aceptación final del proyecto por la entidad contratante.</w:t>
      </w:r>
    </w:p>
    <w:p w14:paraId="05099A60" w14:textId="77777777" w:rsidR="00BD0E46" w:rsidRDefault="00FC5400" w:rsidP="00BD0E46">
      <w:pPr>
        <w:numPr>
          <w:ilvl w:val="0"/>
          <w:numId w:val="36"/>
        </w:numPr>
        <w:spacing w:line="480" w:lineRule="auto"/>
        <w:jc w:val="both"/>
        <w:rPr>
          <w:rFonts w:ascii="Book Antiqua" w:hAnsi="Book Antiqua"/>
          <w:lang w:val="es-PR"/>
        </w:rPr>
      </w:pPr>
      <w:r w:rsidRPr="00BD0E46">
        <w:rPr>
          <w:rFonts w:ascii="Book Antiqua" w:hAnsi="Book Antiqua"/>
          <w:lang w:val="es-PR"/>
        </w:rPr>
        <w:t>Alcance de la garantía</w:t>
      </w:r>
      <w:r w:rsidR="00BD0E46" w:rsidRPr="00BD0E46">
        <w:rPr>
          <w:rFonts w:ascii="Book Antiqua" w:hAnsi="Book Antiqua"/>
          <w:lang w:val="es-PR"/>
        </w:rPr>
        <w:t xml:space="preserve"> </w:t>
      </w:r>
    </w:p>
    <w:p w14:paraId="1DBF0835" w14:textId="6C333F20" w:rsidR="00FC5400" w:rsidRPr="00BD0E46" w:rsidRDefault="00FC5400" w:rsidP="00BD0E46">
      <w:pPr>
        <w:spacing w:line="480" w:lineRule="auto"/>
        <w:ind w:left="720"/>
        <w:jc w:val="both"/>
        <w:rPr>
          <w:rFonts w:ascii="Book Antiqua" w:hAnsi="Book Antiqua"/>
          <w:lang w:val="es-PR"/>
        </w:rPr>
      </w:pPr>
      <w:r w:rsidRPr="00BD0E46">
        <w:rPr>
          <w:rFonts w:ascii="Book Antiqua" w:hAnsi="Book Antiqua"/>
          <w:lang w:val="es-PR"/>
        </w:rPr>
        <w:t>La garantía cubrirá defectos, fallas o deterioros atribuibles a:</w:t>
      </w:r>
      <w:r w:rsidRPr="00BD0E46">
        <w:rPr>
          <w:rFonts w:ascii="Book Antiqua" w:hAnsi="Book Antiqua"/>
          <w:lang w:val="es-PR"/>
        </w:rPr>
        <w:br/>
      </w:r>
      <w:r w:rsidR="00BD0E46">
        <w:rPr>
          <w:rFonts w:ascii="Book Antiqua" w:hAnsi="Book Antiqua"/>
          <w:lang w:val="es-PR"/>
        </w:rPr>
        <w:t xml:space="preserve">1) </w:t>
      </w:r>
      <w:r w:rsidRPr="00BD0E46">
        <w:rPr>
          <w:rFonts w:ascii="Book Antiqua" w:hAnsi="Book Antiqua"/>
          <w:lang w:val="es-PR"/>
        </w:rPr>
        <w:t>Corrosión de materiales metálicos o componentes estructurales.</w:t>
      </w:r>
      <w:r w:rsidRPr="00BD0E46">
        <w:rPr>
          <w:rFonts w:ascii="Book Antiqua" w:hAnsi="Book Antiqua"/>
          <w:lang w:val="es-PR"/>
        </w:rPr>
        <w:br/>
      </w:r>
      <w:r w:rsidR="00BD0E46">
        <w:rPr>
          <w:rFonts w:ascii="Book Antiqua" w:hAnsi="Book Antiqua"/>
          <w:lang w:val="es-PR"/>
        </w:rPr>
        <w:t>2)</w:t>
      </w:r>
      <w:r w:rsidRPr="00BD0E46">
        <w:rPr>
          <w:rFonts w:ascii="Book Antiqua" w:hAnsi="Book Antiqua"/>
          <w:lang w:val="es-PR"/>
        </w:rPr>
        <w:t xml:space="preserve"> Fallas en la aplicación o desempeño de tratamientos anticorrosivos.</w:t>
      </w:r>
      <w:r w:rsidRPr="00BD0E46">
        <w:rPr>
          <w:rFonts w:ascii="Book Antiqua" w:hAnsi="Book Antiqua"/>
          <w:lang w:val="es-PR"/>
        </w:rPr>
        <w:br/>
      </w:r>
      <w:r w:rsidR="00BD0E46" w:rsidRPr="00BD0E46">
        <w:rPr>
          <w:rFonts w:ascii="Book Antiqua" w:hAnsi="Book Antiqua"/>
          <w:lang w:val="es-PR"/>
        </w:rPr>
        <w:t>3</w:t>
      </w:r>
      <w:r w:rsidR="00BD0E46">
        <w:rPr>
          <w:rFonts w:ascii="Book Antiqua" w:hAnsi="Book Antiqua"/>
          <w:lang w:val="es-PR"/>
        </w:rPr>
        <w:t>)</w:t>
      </w:r>
      <w:r w:rsidRPr="00BD0E46">
        <w:rPr>
          <w:rFonts w:ascii="Book Antiqua" w:hAnsi="Book Antiqua"/>
          <w:lang w:val="es-PR"/>
        </w:rPr>
        <w:t xml:space="preserve"> Deterioro prematuro del concreto u otros elementos expuestos a la salinidad.</w:t>
      </w:r>
      <w:r w:rsidRPr="00BD0E46">
        <w:rPr>
          <w:rFonts w:ascii="Book Antiqua" w:hAnsi="Book Antiqua"/>
          <w:lang w:val="es-PR"/>
        </w:rPr>
        <w:br/>
      </w:r>
      <w:r w:rsidR="00BD0E46" w:rsidRPr="00BD0E46">
        <w:rPr>
          <w:rFonts w:ascii="Book Antiqua" w:hAnsi="Book Antiqua"/>
          <w:lang w:val="es-PR"/>
        </w:rPr>
        <w:t>4</w:t>
      </w:r>
      <w:r w:rsidR="00BD0E46">
        <w:rPr>
          <w:rFonts w:ascii="Book Antiqua" w:hAnsi="Book Antiqua"/>
          <w:lang w:val="es-PR"/>
        </w:rPr>
        <w:t>)</w:t>
      </w:r>
      <w:r w:rsidRPr="00BD0E46">
        <w:rPr>
          <w:rFonts w:ascii="Book Antiqua" w:hAnsi="Book Antiqua"/>
          <w:lang w:val="es-PR"/>
        </w:rPr>
        <w:t xml:space="preserve"> Cualquier daño relacionado directamente con la exposición al ambiente marino o la presencia de salitre.</w:t>
      </w:r>
    </w:p>
    <w:p w14:paraId="37916FB8" w14:textId="77777777" w:rsidR="00BD0E46" w:rsidRDefault="00FC5400" w:rsidP="00FC5400">
      <w:pPr>
        <w:numPr>
          <w:ilvl w:val="0"/>
          <w:numId w:val="36"/>
        </w:numPr>
        <w:spacing w:line="480" w:lineRule="auto"/>
        <w:jc w:val="both"/>
        <w:rPr>
          <w:rFonts w:ascii="Book Antiqua" w:hAnsi="Book Antiqua"/>
          <w:lang w:val="es-PR"/>
        </w:rPr>
      </w:pPr>
      <w:r w:rsidRPr="00FC5400">
        <w:rPr>
          <w:rFonts w:ascii="Book Antiqua" w:hAnsi="Book Antiqua"/>
          <w:lang w:val="es-PR"/>
        </w:rPr>
        <w:t>Obligaciones del contratista</w:t>
      </w:r>
      <w:r w:rsidR="00BD0E46">
        <w:rPr>
          <w:rFonts w:ascii="Book Antiqua" w:hAnsi="Book Antiqua"/>
          <w:lang w:val="es-PR"/>
        </w:rPr>
        <w:t xml:space="preserve"> </w:t>
      </w:r>
    </w:p>
    <w:p w14:paraId="44AAAAED" w14:textId="19825206" w:rsidR="00FC5400" w:rsidRPr="00FC5400" w:rsidRDefault="00FC5400" w:rsidP="00BD0E46">
      <w:pPr>
        <w:spacing w:line="480" w:lineRule="auto"/>
        <w:ind w:left="720"/>
        <w:jc w:val="both"/>
        <w:rPr>
          <w:rFonts w:ascii="Book Antiqua" w:hAnsi="Book Antiqua"/>
          <w:lang w:val="es-PR"/>
        </w:rPr>
      </w:pPr>
      <w:r w:rsidRPr="00FC5400">
        <w:rPr>
          <w:rFonts w:ascii="Book Antiqua" w:hAnsi="Book Antiqua"/>
          <w:lang w:val="es-PR"/>
        </w:rPr>
        <w:t>Durante el periodo de garantía, el contratista será responsable de reparar, corregir o sustituir, sin costo adicional para la entidad contratante, cualquier defecto cubierto. Estas reparaciones deberán realizarse dentro de un periodo razonable y sin interrumpir indebidamente las operaciones o uso de la instalación afectada.</w:t>
      </w:r>
    </w:p>
    <w:p w14:paraId="507903FE" w14:textId="77777777" w:rsidR="00BD0E46" w:rsidRDefault="00FC5400" w:rsidP="00FC5400">
      <w:pPr>
        <w:numPr>
          <w:ilvl w:val="0"/>
          <w:numId w:val="36"/>
        </w:numPr>
        <w:spacing w:line="480" w:lineRule="auto"/>
        <w:jc w:val="both"/>
        <w:rPr>
          <w:rFonts w:ascii="Book Antiqua" w:hAnsi="Book Antiqua"/>
          <w:lang w:val="es-PR"/>
        </w:rPr>
      </w:pPr>
      <w:r w:rsidRPr="00FC5400">
        <w:rPr>
          <w:rFonts w:ascii="Book Antiqua" w:hAnsi="Book Antiqua"/>
          <w:lang w:val="es-PR"/>
        </w:rPr>
        <w:t>Certificación de cumplimiento</w:t>
      </w:r>
      <w:r w:rsidR="00BD0E46">
        <w:rPr>
          <w:rFonts w:ascii="Book Antiqua" w:hAnsi="Book Antiqua"/>
          <w:lang w:val="es-PR"/>
        </w:rPr>
        <w:t xml:space="preserve"> </w:t>
      </w:r>
    </w:p>
    <w:p w14:paraId="626C1F7C" w14:textId="7D0FA6A2" w:rsidR="00FC5400" w:rsidRPr="00FC5400" w:rsidRDefault="00FC5400" w:rsidP="00BD0E46">
      <w:pPr>
        <w:spacing w:line="480" w:lineRule="auto"/>
        <w:ind w:left="720"/>
        <w:jc w:val="both"/>
        <w:rPr>
          <w:rFonts w:ascii="Book Antiqua" w:hAnsi="Book Antiqua"/>
          <w:lang w:val="es-PR"/>
        </w:rPr>
      </w:pPr>
      <w:r w:rsidRPr="00FC5400">
        <w:rPr>
          <w:rFonts w:ascii="Book Antiqua" w:hAnsi="Book Antiqua"/>
          <w:lang w:val="es-PR"/>
        </w:rPr>
        <w:t>Al completarse la obra, el contratista deberá entregar una certificación escrita</w:t>
      </w:r>
      <w:r w:rsidR="0091266A">
        <w:rPr>
          <w:rFonts w:ascii="Book Antiqua" w:hAnsi="Book Antiqua"/>
          <w:lang w:val="es-PR"/>
        </w:rPr>
        <w:t xml:space="preserve"> y juramentada,</w:t>
      </w:r>
      <w:r w:rsidRPr="00FC5400">
        <w:rPr>
          <w:rFonts w:ascii="Book Antiqua" w:hAnsi="Book Antiqua"/>
          <w:lang w:val="es-PR"/>
        </w:rPr>
        <w:t xml:space="preserve"> </w:t>
      </w:r>
      <w:r w:rsidR="0091266A">
        <w:rPr>
          <w:rFonts w:ascii="Book Antiqua" w:hAnsi="Book Antiqua"/>
          <w:lang w:val="es-PR"/>
        </w:rPr>
        <w:t>confirmando</w:t>
      </w:r>
      <w:r w:rsidRPr="00FC5400">
        <w:rPr>
          <w:rFonts w:ascii="Book Antiqua" w:hAnsi="Book Antiqua"/>
          <w:lang w:val="es-PR"/>
        </w:rPr>
        <w:t xml:space="preserve"> que todos los materiales, tratamientos y procesos </w:t>
      </w:r>
      <w:r w:rsidRPr="00FC5400">
        <w:rPr>
          <w:rFonts w:ascii="Book Antiqua" w:hAnsi="Book Antiqua"/>
          <w:lang w:val="es-PR"/>
        </w:rPr>
        <w:lastRenderedPageBreak/>
        <w:t>utilizados cumplen con los requisitos establecidos por esta Ley y por las especificaciones del proyecto.</w:t>
      </w:r>
    </w:p>
    <w:p w14:paraId="7C4AAB57" w14:textId="77777777" w:rsidR="0091266A" w:rsidRDefault="00CD4648" w:rsidP="0091266A">
      <w:pPr>
        <w:spacing w:line="480" w:lineRule="auto"/>
        <w:ind w:firstLine="600"/>
        <w:jc w:val="both"/>
        <w:rPr>
          <w:rFonts w:ascii="Book Antiqua" w:hAnsi="Book Antiqua"/>
          <w:lang w:val="es-PR"/>
        </w:rPr>
      </w:pPr>
      <w:r w:rsidRPr="00F341A5">
        <w:rPr>
          <w:rFonts w:ascii="Book Antiqua" w:hAnsi="Book Antiqua"/>
          <w:lang w:val="es-PR"/>
        </w:rPr>
        <w:t>ARTÍCULO</w:t>
      </w:r>
      <w:r w:rsidRPr="00CD4648">
        <w:rPr>
          <w:rFonts w:ascii="Book Antiqua" w:hAnsi="Book Antiqua"/>
          <w:b/>
          <w:bCs/>
          <w:lang w:val="es-PR"/>
        </w:rPr>
        <w:t xml:space="preserve"> </w:t>
      </w:r>
      <w:r w:rsidRPr="00CD4648">
        <w:rPr>
          <w:rFonts w:ascii="Book Antiqua" w:hAnsi="Book Antiqua"/>
          <w:lang w:val="es-PR"/>
        </w:rPr>
        <w:t>6 — Penalidades</w:t>
      </w:r>
    </w:p>
    <w:p w14:paraId="6ABEF89B" w14:textId="2DE31934" w:rsidR="00CD4648" w:rsidRPr="00CD4648" w:rsidRDefault="00CD4648" w:rsidP="0091266A">
      <w:pPr>
        <w:spacing w:line="480" w:lineRule="auto"/>
        <w:ind w:firstLine="600"/>
        <w:jc w:val="both"/>
        <w:rPr>
          <w:rFonts w:ascii="Book Antiqua" w:hAnsi="Book Antiqua"/>
          <w:lang w:val="es-PR"/>
        </w:rPr>
      </w:pPr>
      <w:r w:rsidRPr="00CD4648">
        <w:rPr>
          <w:rFonts w:ascii="Book Antiqua" w:hAnsi="Book Antiqua"/>
          <w:lang w:val="es-PR"/>
        </w:rPr>
        <w:t xml:space="preserve">La entidad reguladora con jurisdicción podrá imponer multas administrativas que no serán menores de mil dólares ($1,000) ni mayores de diez mil dólares ($10,000) por cada violación individual. </w:t>
      </w:r>
    </w:p>
    <w:p w14:paraId="1C839A3E" w14:textId="77777777" w:rsidR="00CD4648" w:rsidRPr="00CD4648" w:rsidRDefault="00CD4648" w:rsidP="00CD4648">
      <w:pPr>
        <w:spacing w:line="480" w:lineRule="auto"/>
        <w:ind w:firstLine="600"/>
        <w:jc w:val="both"/>
        <w:rPr>
          <w:rFonts w:ascii="Book Antiqua" w:hAnsi="Book Antiqua"/>
          <w:lang w:val="es-PR"/>
        </w:rPr>
      </w:pPr>
      <w:r w:rsidRPr="00CD4648">
        <w:rPr>
          <w:rFonts w:ascii="Book Antiqua" w:hAnsi="Book Antiqua"/>
          <w:lang w:val="es-PR"/>
        </w:rPr>
        <w:t>Estas penalidades serán aplicables sin perjuicio de cualquier otro remedio, sanción o acción administrativa o civil autorizada por ley.</w:t>
      </w:r>
    </w:p>
    <w:p w14:paraId="617EAE19" w14:textId="1D05B84F" w:rsidR="00CB6D5A" w:rsidRPr="00CB6D5A" w:rsidRDefault="00CB6D5A" w:rsidP="00CB6D5A">
      <w:pPr>
        <w:spacing w:line="480" w:lineRule="auto"/>
        <w:ind w:firstLine="600"/>
        <w:jc w:val="both"/>
        <w:rPr>
          <w:rFonts w:ascii="Book Antiqua" w:hAnsi="Book Antiqua"/>
          <w:lang w:val="es-PR"/>
        </w:rPr>
      </w:pPr>
      <w:r w:rsidRPr="00CB6D5A">
        <w:rPr>
          <w:rFonts w:ascii="Book Antiqua" w:hAnsi="Book Antiqua"/>
          <w:lang w:val="es-PR"/>
        </w:rPr>
        <w:t>ARTÍCULO 7 — Vigencia</w:t>
      </w:r>
    </w:p>
    <w:p w14:paraId="53E9D1EB" w14:textId="56ED9606" w:rsidR="00CB6D5A" w:rsidRPr="00CB6D5A" w:rsidRDefault="00CB6D5A" w:rsidP="00CB6D5A">
      <w:pPr>
        <w:spacing w:line="480" w:lineRule="auto"/>
        <w:ind w:firstLine="600"/>
        <w:jc w:val="both"/>
        <w:rPr>
          <w:rFonts w:ascii="Book Antiqua" w:hAnsi="Book Antiqua"/>
          <w:lang w:val="es-PR"/>
        </w:rPr>
      </w:pPr>
      <w:r w:rsidRPr="00CB6D5A">
        <w:rPr>
          <w:rFonts w:ascii="Book Antiqua" w:hAnsi="Book Antiqua"/>
          <w:lang w:val="es-PR"/>
        </w:rPr>
        <w:t xml:space="preserve">Esta Ley entrará en vigor inmediatamente después de su aprobación. No obstante, las entidades sujetas a sus disposiciones contarán con un término de hasta </w:t>
      </w:r>
      <w:r w:rsidR="0091266A">
        <w:rPr>
          <w:rFonts w:ascii="Book Antiqua" w:hAnsi="Book Antiqua"/>
          <w:lang w:val="es-PR"/>
        </w:rPr>
        <w:t>treinta</w:t>
      </w:r>
      <w:r w:rsidRPr="00CB6D5A">
        <w:rPr>
          <w:rFonts w:ascii="Book Antiqua" w:hAnsi="Book Antiqua"/>
          <w:lang w:val="es-PR"/>
        </w:rPr>
        <w:t xml:space="preserve"> (</w:t>
      </w:r>
      <w:r w:rsidR="0091266A">
        <w:rPr>
          <w:rFonts w:ascii="Book Antiqua" w:hAnsi="Book Antiqua"/>
          <w:lang w:val="es-PR"/>
        </w:rPr>
        <w:t>3</w:t>
      </w:r>
      <w:r w:rsidRPr="00CB6D5A">
        <w:rPr>
          <w:rFonts w:ascii="Book Antiqua" w:hAnsi="Book Antiqua"/>
          <w:lang w:val="es-PR"/>
        </w:rPr>
        <w:t>0) días, a partir de la fecha de vigencia, para realizar los ajustes operacionales, tecnológicos y administrativos necesarios para asegurar su cumplimiento pleno.</w:t>
      </w:r>
    </w:p>
    <w:p w14:paraId="5292AB99" w14:textId="1A14C780" w:rsidR="00DA6E0D" w:rsidRPr="00F341A5" w:rsidRDefault="002F2F57" w:rsidP="00EE7D0E">
      <w:pPr>
        <w:spacing w:line="480" w:lineRule="auto"/>
        <w:ind w:firstLine="600"/>
        <w:jc w:val="both"/>
        <w:rPr>
          <w:rFonts w:ascii="Book Antiqua" w:hAnsi="Book Antiqua"/>
          <w:lang w:val="es-ES"/>
        </w:rPr>
      </w:pPr>
      <w:r w:rsidRPr="00F341A5">
        <w:rPr>
          <w:rFonts w:ascii="Book Antiqua" w:hAnsi="Book Antiqua"/>
          <w:lang w:val="es-PR"/>
        </w:rPr>
        <w:t xml:space="preserve">ARTÍCULO </w:t>
      </w:r>
      <w:r w:rsidR="00CB6D5A">
        <w:rPr>
          <w:rFonts w:ascii="Book Antiqua" w:hAnsi="Book Antiqua"/>
          <w:lang w:val="es-PR"/>
        </w:rPr>
        <w:t>8</w:t>
      </w:r>
      <w:r w:rsidRPr="00F341A5">
        <w:rPr>
          <w:rFonts w:ascii="Book Antiqua" w:hAnsi="Book Antiqua"/>
          <w:lang w:val="es-PR"/>
        </w:rPr>
        <w:t xml:space="preserve"> —</w:t>
      </w:r>
      <w:r w:rsidR="00DA6E0D" w:rsidRPr="00F341A5">
        <w:rPr>
          <w:rFonts w:ascii="Book Antiqua" w:hAnsi="Book Antiqua"/>
          <w:lang w:val="es-ES"/>
        </w:rPr>
        <w:t>Cláusula de Separabilidad</w:t>
      </w:r>
    </w:p>
    <w:p w14:paraId="5FCDFE3F" w14:textId="5905915D" w:rsidR="00DA6E0D" w:rsidRPr="00F341A5" w:rsidRDefault="00DA6E0D" w:rsidP="00DA6E0D">
      <w:pPr>
        <w:spacing w:line="480" w:lineRule="auto"/>
        <w:ind w:firstLine="600"/>
        <w:jc w:val="both"/>
        <w:rPr>
          <w:rFonts w:ascii="Book Antiqua" w:hAnsi="Book Antiqua"/>
          <w:lang w:val="es-ES"/>
        </w:rPr>
      </w:pPr>
      <w:r w:rsidRPr="00F341A5">
        <w:rPr>
          <w:rFonts w:ascii="Book Antiqua" w:hAnsi="Book Antiqua"/>
          <w:lang w:val="es-ES"/>
        </w:rPr>
        <w:t xml:space="preserve">Si cualquier disposición de esta </w:t>
      </w:r>
      <w:r w:rsidR="008F38C2" w:rsidRPr="00F341A5">
        <w:rPr>
          <w:rFonts w:ascii="Book Antiqua" w:hAnsi="Book Antiqua"/>
          <w:lang w:val="es-ES"/>
        </w:rPr>
        <w:t>l</w:t>
      </w:r>
      <w:r w:rsidRPr="00F341A5">
        <w:rPr>
          <w:rFonts w:ascii="Book Antiqua" w:hAnsi="Book Antiqua"/>
          <w:lang w:val="es-ES"/>
        </w:rPr>
        <w:t>ey fuera declarada nula o inconstitucional, tal determinación no afectará el resto de las disposiciones, las cuales permanecerán en pleno vigor y efecto.</w:t>
      </w:r>
    </w:p>
    <w:sectPr w:rsidR="00DA6E0D" w:rsidRPr="00F341A5" w:rsidSect="00AA41A5">
      <w:headerReference w:type="even" r:id="rId11"/>
      <w:headerReference w:type="default" r:id="rId12"/>
      <w:headerReference w:type="first" r:id="rId13"/>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742A1" w14:textId="77777777" w:rsidR="00434889" w:rsidRDefault="00434889" w:rsidP="00AA41A5">
      <w:r>
        <w:separator/>
      </w:r>
    </w:p>
  </w:endnote>
  <w:endnote w:type="continuationSeparator" w:id="0">
    <w:p w14:paraId="4973B625" w14:textId="77777777" w:rsidR="00434889" w:rsidRDefault="00434889" w:rsidP="00AA4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F8E0B" w14:textId="77777777" w:rsidR="00434889" w:rsidRDefault="00434889" w:rsidP="00AA41A5">
      <w:r>
        <w:separator/>
      </w:r>
    </w:p>
  </w:footnote>
  <w:footnote w:type="continuationSeparator" w:id="0">
    <w:p w14:paraId="78610C60" w14:textId="77777777" w:rsidR="00434889" w:rsidRDefault="00434889" w:rsidP="00AA4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9346" w14:textId="77777777" w:rsidR="001D2DBF" w:rsidRDefault="001D2DBF">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6D1EF6C" w14:textId="77777777" w:rsidR="001D2DBF" w:rsidRDefault="001D2DB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91A33" w14:textId="77777777" w:rsidR="001D2DBF" w:rsidRDefault="001D2DBF">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359EC9DB" w14:textId="77777777" w:rsidR="001D2DBF" w:rsidRDefault="001D2DBF">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10E2" w14:textId="77777777" w:rsidR="001D2DBF" w:rsidRPr="00572FDC" w:rsidRDefault="001D2DBF">
    <w:pPr>
      <w:pStyle w:val="Encabezado"/>
      <w:jc w:val="cent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450A4"/>
    <w:multiLevelType w:val="multilevel"/>
    <w:tmpl w:val="3AA89BD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5D05AE"/>
    <w:multiLevelType w:val="hybridMultilevel"/>
    <w:tmpl w:val="426ED0F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9166AD"/>
    <w:multiLevelType w:val="multilevel"/>
    <w:tmpl w:val="89C82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B40752"/>
    <w:multiLevelType w:val="multilevel"/>
    <w:tmpl w:val="FB5811B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422A50"/>
    <w:multiLevelType w:val="multilevel"/>
    <w:tmpl w:val="0FDA8C1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D2144C"/>
    <w:multiLevelType w:val="multilevel"/>
    <w:tmpl w:val="BF28E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5A6E8A"/>
    <w:multiLevelType w:val="multilevel"/>
    <w:tmpl w:val="CD00F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246EE9"/>
    <w:multiLevelType w:val="multilevel"/>
    <w:tmpl w:val="F056B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706ED2"/>
    <w:multiLevelType w:val="hybridMultilevel"/>
    <w:tmpl w:val="7412784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7D62E51"/>
    <w:multiLevelType w:val="multilevel"/>
    <w:tmpl w:val="442E06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360427"/>
    <w:multiLevelType w:val="multilevel"/>
    <w:tmpl w:val="E00CF22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8B040F"/>
    <w:multiLevelType w:val="hybridMultilevel"/>
    <w:tmpl w:val="B144FA4C"/>
    <w:lvl w:ilvl="0" w:tplc="04090017">
      <w:start w:val="1"/>
      <w:numFmt w:val="lowerLetter"/>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2" w15:restartNumberingAfterBreak="0">
    <w:nsid w:val="288F2587"/>
    <w:multiLevelType w:val="multilevel"/>
    <w:tmpl w:val="CCC2E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956178"/>
    <w:multiLevelType w:val="multilevel"/>
    <w:tmpl w:val="1BAA9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8F7AC2"/>
    <w:multiLevelType w:val="multilevel"/>
    <w:tmpl w:val="70B2F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FD420F"/>
    <w:multiLevelType w:val="multilevel"/>
    <w:tmpl w:val="D0BC4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2A74B7"/>
    <w:multiLevelType w:val="multilevel"/>
    <w:tmpl w:val="C6B80FD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D30890"/>
    <w:multiLevelType w:val="multilevel"/>
    <w:tmpl w:val="6582B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EC517F"/>
    <w:multiLevelType w:val="multilevel"/>
    <w:tmpl w:val="5BA06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B027B5"/>
    <w:multiLevelType w:val="hybridMultilevel"/>
    <w:tmpl w:val="E542CA62"/>
    <w:lvl w:ilvl="0" w:tplc="54386868">
      <w:start w:val="1"/>
      <w:numFmt w:val="lowerLetter"/>
      <w:lvlText w:val="(%1)"/>
      <w:lvlJc w:val="left"/>
      <w:pPr>
        <w:ind w:left="720" w:hanging="360"/>
      </w:pPr>
      <w:rPr>
        <w:rFonts w:ascii="Times New Roman" w:eastAsia="Times New Roman" w:hAnsi="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B502F3"/>
    <w:multiLevelType w:val="multilevel"/>
    <w:tmpl w:val="B1E65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045E01"/>
    <w:multiLevelType w:val="multilevel"/>
    <w:tmpl w:val="2B689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3004BC"/>
    <w:multiLevelType w:val="multilevel"/>
    <w:tmpl w:val="B9F210D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CD0CEC"/>
    <w:multiLevelType w:val="multilevel"/>
    <w:tmpl w:val="EF96E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F061AE1"/>
    <w:multiLevelType w:val="multilevel"/>
    <w:tmpl w:val="C0A64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0A4028"/>
    <w:multiLevelType w:val="multilevel"/>
    <w:tmpl w:val="047A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B3856F4"/>
    <w:multiLevelType w:val="hybridMultilevel"/>
    <w:tmpl w:val="0CE625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266F78"/>
    <w:multiLevelType w:val="multilevel"/>
    <w:tmpl w:val="55449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475DF8"/>
    <w:multiLevelType w:val="multilevel"/>
    <w:tmpl w:val="58505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B83FBB"/>
    <w:multiLevelType w:val="multilevel"/>
    <w:tmpl w:val="FCEEB8A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8A518A"/>
    <w:multiLevelType w:val="multilevel"/>
    <w:tmpl w:val="CF02F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B06A52"/>
    <w:multiLevelType w:val="multilevel"/>
    <w:tmpl w:val="40708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F5B3719"/>
    <w:multiLevelType w:val="multilevel"/>
    <w:tmpl w:val="13921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66E3B1E"/>
    <w:multiLevelType w:val="multilevel"/>
    <w:tmpl w:val="20CC937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A850BE4"/>
    <w:multiLevelType w:val="multilevel"/>
    <w:tmpl w:val="A2BA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BE83417"/>
    <w:multiLevelType w:val="multilevel"/>
    <w:tmpl w:val="04DA9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116C7D"/>
    <w:multiLevelType w:val="multilevel"/>
    <w:tmpl w:val="A246D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9560691">
    <w:abstractNumId w:val="15"/>
  </w:num>
  <w:num w:numId="2" w16cid:durableId="485820518">
    <w:abstractNumId w:val="12"/>
  </w:num>
  <w:num w:numId="3" w16cid:durableId="172915716">
    <w:abstractNumId w:val="3"/>
  </w:num>
  <w:num w:numId="4" w16cid:durableId="11811001">
    <w:abstractNumId w:val="31"/>
  </w:num>
  <w:num w:numId="5" w16cid:durableId="1161002829">
    <w:abstractNumId w:val="1"/>
  </w:num>
  <w:num w:numId="6" w16cid:durableId="512957640">
    <w:abstractNumId w:val="26"/>
  </w:num>
  <w:num w:numId="7" w16cid:durableId="243074712">
    <w:abstractNumId w:val="25"/>
  </w:num>
  <w:num w:numId="8" w16cid:durableId="1435857935">
    <w:abstractNumId w:val="9"/>
  </w:num>
  <w:num w:numId="9" w16cid:durableId="345718953">
    <w:abstractNumId w:val="21"/>
  </w:num>
  <w:num w:numId="10" w16cid:durableId="1123156179">
    <w:abstractNumId w:val="28"/>
  </w:num>
  <w:num w:numId="11" w16cid:durableId="780491759">
    <w:abstractNumId w:val="30"/>
  </w:num>
  <w:num w:numId="12" w16cid:durableId="325208526">
    <w:abstractNumId w:val="19"/>
  </w:num>
  <w:num w:numId="13" w16cid:durableId="1602487505">
    <w:abstractNumId w:val="17"/>
  </w:num>
  <w:num w:numId="14" w16cid:durableId="1987465993">
    <w:abstractNumId w:val="36"/>
  </w:num>
  <w:num w:numId="15" w16cid:durableId="1157916577">
    <w:abstractNumId w:val="27"/>
  </w:num>
  <w:num w:numId="16" w16cid:durableId="492448361">
    <w:abstractNumId w:val="5"/>
  </w:num>
  <w:num w:numId="17" w16cid:durableId="1930691547">
    <w:abstractNumId w:val="11"/>
  </w:num>
  <w:num w:numId="18" w16cid:durableId="1220897325">
    <w:abstractNumId w:val="20"/>
  </w:num>
  <w:num w:numId="19" w16cid:durableId="1596938675">
    <w:abstractNumId w:val="16"/>
  </w:num>
  <w:num w:numId="20" w16cid:durableId="465854643">
    <w:abstractNumId w:val="35"/>
  </w:num>
  <w:num w:numId="21" w16cid:durableId="32850534">
    <w:abstractNumId w:val="4"/>
  </w:num>
  <w:num w:numId="22" w16cid:durableId="1595747173">
    <w:abstractNumId w:val="23"/>
  </w:num>
  <w:num w:numId="23" w16cid:durableId="378869351">
    <w:abstractNumId w:val="8"/>
  </w:num>
  <w:num w:numId="24" w16cid:durableId="746728921">
    <w:abstractNumId w:val="18"/>
  </w:num>
  <w:num w:numId="25" w16cid:durableId="1859001369">
    <w:abstractNumId w:val="0"/>
  </w:num>
  <w:num w:numId="26" w16cid:durableId="1094474924">
    <w:abstractNumId w:val="24"/>
  </w:num>
  <w:num w:numId="27" w16cid:durableId="875235301">
    <w:abstractNumId w:val="33"/>
  </w:num>
  <w:num w:numId="28" w16cid:durableId="2129735185">
    <w:abstractNumId w:val="6"/>
  </w:num>
  <w:num w:numId="29" w16cid:durableId="1022626621">
    <w:abstractNumId w:val="14"/>
  </w:num>
  <w:num w:numId="30" w16cid:durableId="1411391064">
    <w:abstractNumId w:val="32"/>
  </w:num>
  <w:num w:numId="31" w16cid:durableId="876433012">
    <w:abstractNumId w:val="13"/>
  </w:num>
  <w:num w:numId="32" w16cid:durableId="1855217816">
    <w:abstractNumId w:val="10"/>
  </w:num>
  <w:num w:numId="33" w16cid:durableId="109016365">
    <w:abstractNumId w:val="2"/>
  </w:num>
  <w:num w:numId="34" w16cid:durableId="1403017877">
    <w:abstractNumId w:val="22"/>
  </w:num>
  <w:num w:numId="35" w16cid:durableId="1144128483">
    <w:abstractNumId w:val="34"/>
  </w:num>
  <w:num w:numId="36" w16cid:durableId="1026061152">
    <w:abstractNumId w:val="29"/>
  </w:num>
  <w:num w:numId="37" w16cid:durableId="10816852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A5"/>
    <w:rsid w:val="00005471"/>
    <w:rsid w:val="00017F74"/>
    <w:rsid w:val="00021F53"/>
    <w:rsid w:val="000270BD"/>
    <w:rsid w:val="00042DF8"/>
    <w:rsid w:val="000451FD"/>
    <w:rsid w:val="00052C14"/>
    <w:rsid w:val="000538DA"/>
    <w:rsid w:val="000613BB"/>
    <w:rsid w:val="00066AF6"/>
    <w:rsid w:val="00083B26"/>
    <w:rsid w:val="00084056"/>
    <w:rsid w:val="000972BD"/>
    <w:rsid w:val="000A30E3"/>
    <w:rsid w:val="000A4629"/>
    <w:rsid w:val="000B3219"/>
    <w:rsid w:val="000D1F1F"/>
    <w:rsid w:val="000E4B18"/>
    <w:rsid w:val="000F4162"/>
    <w:rsid w:val="000F7D03"/>
    <w:rsid w:val="00107165"/>
    <w:rsid w:val="001320DC"/>
    <w:rsid w:val="0014272B"/>
    <w:rsid w:val="00152E0A"/>
    <w:rsid w:val="00160F6D"/>
    <w:rsid w:val="00174B98"/>
    <w:rsid w:val="00193155"/>
    <w:rsid w:val="00194286"/>
    <w:rsid w:val="001D231E"/>
    <w:rsid w:val="001D2DBF"/>
    <w:rsid w:val="001F17E4"/>
    <w:rsid w:val="001F539F"/>
    <w:rsid w:val="002052E6"/>
    <w:rsid w:val="00223F07"/>
    <w:rsid w:val="00230E11"/>
    <w:rsid w:val="002348DF"/>
    <w:rsid w:val="002424DB"/>
    <w:rsid w:val="00242E0A"/>
    <w:rsid w:val="002458B1"/>
    <w:rsid w:val="00246126"/>
    <w:rsid w:val="0024736A"/>
    <w:rsid w:val="0026215B"/>
    <w:rsid w:val="0027278C"/>
    <w:rsid w:val="00277CDF"/>
    <w:rsid w:val="00282514"/>
    <w:rsid w:val="002A03A5"/>
    <w:rsid w:val="002A09AB"/>
    <w:rsid w:val="002A3E4A"/>
    <w:rsid w:val="002B303A"/>
    <w:rsid w:val="002C2DFB"/>
    <w:rsid w:val="002D266E"/>
    <w:rsid w:val="002F2F57"/>
    <w:rsid w:val="00322A68"/>
    <w:rsid w:val="00323764"/>
    <w:rsid w:val="00347FE7"/>
    <w:rsid w:val="0035718E"/>
    <w:rsid w:val="00361992"/>
    <w:rsid w:val="00366C4B"/>
    <w:rsid w:val="00387780"/>
    <w:rsid w:val="003941BA"/>
    <w:rsid w:val="003A6FBF"/>
    <w:rsid w:val="003B1283"/>
    <w:rsid w:val="003B14EF"/>
    <w:rsid w:val="003B6AD2"/>
    <w:rsid w:val="003D3D02"/>
    <w:rsid w:val="003D43EB"/>
    <w:rsid w:val="003E6683"/>
    <w:rsid w:val="003E72E2"/>
    <w:rsid w:val="003F7C77"/>
    <w:rsid w:val="00414BE4"/>
    <w:rsid w:val="004340D7"/>
    <w:rsid w:val="004346EB"/>
    <w:rsid w:val="00434889"/>
    <w:rsid w:val="00435AB3"/>
    <w:rsid w:val="00435C92"/>
    <w:rsid w:val="0045787F"/>
    <w:rsid w:val="0046090E"/>
    <w:rsid w:val="00463E83"/>
    <w:rsid w:val="0046454F"/>
    <w:rsid w:val="004809E8"/>
    <w:rsid w:val="00485E87"/>
    <w:rsid w:val="00495B28"/>
    <w:rsid w:val="004A5D3E"/>
    <w:rsid w:val="004A6BC5"/>
    <w:rsid w:val="004B5791"/>
    <w:rsid w:val="004C7858"/>
    <w:rsid w:val="004D109F"/>
    <w:rsid w:val="004D3ACA"/>
    <w:rsid w:val="004D41A6"/>
    <w:rsid w:val="004E3C2C"/>
    <w:rsid w:val="00525314"/>
    <w:rsid w:val="00540BF6"/>
    <w:rsid w:val="005430B6"/>
    <w:rsid w:val="00546497"/>
    <w:rsid w:val="00551BBC"/>
    <w:rsid w:val="00556197"/>
    <w:rsid w:val="005668F9"/>
    <w:rsid w:val="005843F4"/>
    <w:rsid w:val="005A4DB9"/>
    <w:rsid w:val="005B5674"/>
    <w:rsid w:val="005C4BC0"/>
    <w:rsid w:val="005C5995"/>
    <w:rsid w:val="006060C6"/>
    <w:rsid w:val="006168DA"/>
    <w:rsid w:val="00623873"/>
    <w:rsid w:val="00625A43"/>
    <w:rsid w:val="00632064"/>
    <w:rsid w:val="00655375"/>
    <w:rsid w:val="006560C4"/>
    <w:rsid w:val="00661174"/>
    <w:rsid w:val="006662E8"/>
    <w:rsid w:val="00670D69"/>
    <w:rsid w:val="006712F0"/>
    <w:rsid w:val="00672A7B"/>
    <w:rsid w:val="006C20B3"/>
    <w:rsid w:val="006C2254"/>
    <w:rsid w:val="006C5128"/>
    <w:rsid w:val="007438C7"/>
    <w:rsid w:val="00745EFD"/>
    <w:rsid w:val="00752185"/>
    <w:rsid w:val="007528DA"/>
    <w:rsid w:val="00757D43"/>
    <w:rsid w:val="007671CE"/>
    <w:rsid w:val="00772E0F"/>
    <w:rsid w:val="00776D01"/>
    <w:rsid w:val="007850FE"/>
    <w:rsid w:val="00791E8F"/>
    <w:rsid w:val="00796CBD"/>
    <w:rsid w:val="007A5E68"/>
    <w:rsid w:val="007B0AA8"/>
    <w:rsid w:val="007B3258"/>
    <w:rsid w:val="007B4B81"/>
    <w:rsid w:val="007B6BD4"/>
    <w:rsid w:val="007C0385"/>
    <w:rsid w:val="007D178C"/>
    <w:rsid w:val="00805561"/>
    <w:rsid w:val="00806202"/>
    <w:rsid w:val="0081322A"/>
    <w:rsid w:val="00815EB4"/>
    <w:rsid w:val="00820722"/>
    <w:rsid w:val="008334EE"/>
    <w:rsid w:val="00852BDA"/>
    <w:rsid w:val="008622A1"/>
    <w:rsid w:val="00870D54"/>
    <w:rsid w:val="00873A80"/>
    <w:rsid w:val="00890E9B"/>
    <w:rsid w:val="00891BA0"/>
    <w:rsid w:val="008C7458"/>
    <w:rsid w:val="008D1E5F"/>
    <w:rsid w:val="008E4347"/>
    <w:rsid w:val="008E4884"/>
    <w:rsid w:val="008E5964"/>
    <w:rsid w:val="008F38C2"/>
    <w:rsid w:val="0091266A"/>
    <w:rsid w:val="00926429"/>
    <w:rsid w:val="00943505"/>
    <w:rsid w:val="00966DE0"/>
    <w:rsid w:val="00967CC4"/>
    <w:rsid w:val="00971DB5"/>
    <w:rsid w:val="00976148"/>
    <w:rsid w:val="009857E6"/>
    <w:rsid w:val="00996D15"/>
    <w:rsid w:val="009A2EE8"/>
    <w:rsid w:val="009C22E8"/>
    <w:rsid w:val="009C6D3C"/>
    <w:rsid w:val="009E6473"/>
    <w:rsid w:val="009F5B8C"/>
    <w:rsid w:val="00A53AD2"/>
    <w:rsid w:val="00A53BE7"/>
    <w:rsid w:val="00A71DD4"/>
    <w:rsid w:val="00A819DD"/>
    <w:rsid w:val="00A86307"/>
    <w:rsid w:val="00A90627"/>
    <w:rsid w:val="00A91136"/>
    <w:rsid w:val="00A917FD"/>
    <w:rsid w:val="00AA285B"/>
    <w:rsid w:val="00AA41A5"/>
    <w:rsid w:val="00AA5AC5"/>
    <w:rsid w:val="00AC4B34"/>
    <w:rsid w:val="00AD0485"/>
    <w:rsid w:val="00AD2C74"/>
    <w:rsid w:val="00B310A9"/>
    <w:rsid w:val="00B50FB9"/>
    <w:rsid w:val="00B524B3"/>
    <w:rsid w:val="00B529BC"/>
    <w:rsid w:val="00B82443"/>
    <w:rsid w:val="00B86317"/>
    <w:rsid w:val="00B87681"/>
    <w:rsid w:val="00BB35B9"/>
    <w:rsid w:val="00BB3C22"/>
    <w:rsid w:val="00BC1517"/>
    <w:rsid w:val="00BC3CAF"/>
    <w:rsid w:val="00BD0E46"/>
    <w:rsid w:val="00BE4ED8"/>
    <w:rsid w:val="00BF2983"/>
    <w:rsid w:val="00BF5677"/>
    <w:rsid w:val="00C46CFD"/>
    <w:rsid w:val="00C51B29"/>
    <w:rsid w:val="00CA069D"/>
    <w:rsid w:val="00CB12A9"/>
    <w:rsid w:val="00CB2F7D"/>
    <w:rsid w:val="00CB6D5A"/>
    <w:rsid w:val="00CC2D4F"/>
    <w:rsid w:val="00CD2747"/>
    <w:rsid w:val="00CD4648"/>
    <w:rsid w:val="00CD7861"/>
    <w:rsid w:val="00D01357"/>
    <w:rsid w:val="00D04BA4"/>
    <w:rsid w:val="00D328F4"/>
    <w:rsid w:val="00D35A43"/>
    <w:rsid w:val="00D3780C"/>
    <w:rsid w:val="00D5001E"/>
    <w:rsid w:val="00D50F5D"/>
    <w:rsid w:val="00D51BF2"/>
    <w:rsid w:val="00D54165"/>
    <w:rsid w:val="00D6316F"/>
    <w:rsid w:val="00D6355C"/>
    <w:rsid w:val="00D9096B"/>
    <w:rsid w:val="00D94B9B"/>
    <w:rsid w:val="00DA01AF"/>
    <w:rsid w:val="00DA6E0D"/>
    <w:rsid w:val="00E01E69"/>
    <w:rsid w:val="00E11BB7"/>
    <w:rsid w:val="00E2446B"/>
    <w:rsid w:val="00E269C5"/>
    <w:rsid w:val="00E51B82"/>
    <w:rsid w:val="00E65A15"/>
    <w:rsid w:val="00E6654F"/>
    <w:rsid w:val="00E70FA6"/>
    <w:rsid w:val="00E9376B"/>
    <w:rsid w:val="00E96953"/>
    <w:rsid w:val="00EA53B4"/>
    <w:rsid w:val="00EC2F12"/>
    <w:rsid w:val="00EE7D0E"/>
    <w:rsid w:val="00EF0F23"/>
    <w:rsid w:val="00F20D47"/>
    <w:rsid w:val="00F341A5"/>
    <w:rsid w:val="00F403C2"/>
    <w:rsid w:val="00F60BE8"/>
    <w:rsid w:val="00F639FA"/>
    <w:rsid w:val="00F71D6E"/>
    <w:rsid w:val="00F813AE"/>
    <w:rsid w:val="00F81AF5"/>
    <w:rsid w:val="00F95A6D"/>
    <w:rsid w:val="00FC2E89"/>
    <w:rsid w:val="00FC5400"/>
    <w:rsid w:val="00FD33FC"/>
    <w:rsid w:val="00FD42E7"/>
    <w:rsid w:val="00FE704B"/>
    <w:rsid w:val="00FF0FDF"/>
    <w:rsid w:val="00FF5437"/>
    <w:rsid w:val="00FF6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A50E2"/>
  <w15:chartTrackingRefBased/>
  <w15:docId w15:val="{9F392B5C-FE9C-4029-A8BD-DD7DA9933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1A5"/>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AA4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4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41A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41A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41A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41A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41A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41A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41A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41A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41A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41A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41A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41A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41A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41A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41A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41A5"/>
    <w:rPr>
      <w:rFonts w:eastAsiaTheme="majorEastAsia" w:cstheme="majorBidi"/>
      <w:color w:val="272727" w:themeColor="text1" w:themeTint="D8"/>
    </w:rPr>
  </w:style>
  <w:style w:type="paragraph" w:styleId="Ttulo">
    <w:name w:val="Title"/>
    <w:basedOn w:val="Normal"/>
    <w:next w:val="Normal"/>
    <w:link w:val="TtuloCar"/>
    <w:uiPriority w:val="10"/>
    <w:qFormat/>
    <w:rsid w:val="00AA41A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41A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41A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41A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41A5"/>
    <w:pPr>
      <w:spacing w:before="160"/>
      <w:jc w:val="center"/>
    </w:pPr>
    <w:rPr>
      <w:i/>
      <w:iCs/>
      <w:color w:val="404040" w:themeColor="text1" w:themeTint="BF"/>
    </w:rPr>
  </w:style>
  <w:style w:type="character" w:customStyle="1" w:styleId="CitaCar">
    <w:name w:val="Cita Car"/>
    <w:basedOn w:val="Fuentedeprrafopredeter"/>
    <w:link w:val="Cita"/>
    <w:uiPriority w:val="29"/>
    <w:rsid w:val="00AA41A5"/>
    <w:rPr>
      <w:i/>
      <w:iCs/>
      <w:color w:val="404040" w:themeColor="text1" w:themeTint="BF"/>
    </w:rPr>
  </w:style>
  <w:style w:type="paragraph" w:styleId="Prrafodelista">
    <w:name w:val="List Paragraph"/>
    <w:basedOn w:val="Normal"/>
    <w:uiPriority w:val="34"/>
    <w:qFormat/>
    <w:rsid w:val="00AA41A5"/>
    <w:pPr>
      <w:ind w:left="720"/>
      <w:contextualSpacing/>
    </w:pPr>
  </w:style>
  <w:style w:type="character" w:styleId="nfasisintenso">
    <w:name w:val="Intense Emphasis"/>
    <w:basedOn w:val="Fuentedeprrafopredeter"/>
    <w:uiPriority w:val="21"/>
    <w:qFormat/>
    <w:rsid w:val="00AA41A5"/>
    <w:rPr>
      <w:i/>
      <w:iCs/>
      <w:color w:val="0F4761" w:themeColor="accent1" w:themeShade="BF"/>
    </w:rPr>
  </w:style>
  <w:style w:type="paragraph" w:styleId="Citadestacada">
    <w:name w:val="Intense Quote"/>
    <w:basedOn w:val="Normal"/>
    <w:next w:val="Normal"/>
    <w:link w:val="CitadestacadaCar"/>
    <w:uiPriority w:val="30"/>
    <w:qFormat/>
    <w:rsid w:val="00AA4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41A5"/>
    <w:rPr>
      <w:i/>
      <w:iCs/>
      <w:color w:val="0F4761" w:themeColor="accent1" w:themeShade="BF"/>
    </w:rPr>
  </w:style>
  <w:style w:type="character" w:styleId="Referenciaintensa">
    <w:name w:val="Intense Reference"/>
    <w:basedOn w:val="Fuentedeprrafopredeter"/>
    <w:uiPriority w:val="32"/>
    <w:qFormat/>
    <w:rsid w:val="00AA41A5"/>
    <w:rPr>
      <w:b/>
      <w:bCs/>
      <w:smallCaps/>
      <w:color w:val="0F4761" w:themeColor="accent1" w:themeShade="BF"/>
      <w:spacing w:val="5"/>
    </w:rPr>
  </w:style>
  <w:style w:type="paragraph" w:customStyle="1" w:styleId="Title2">
    <w:name w:val="Title2"/>
    <w:basedOn w:val="Normal"/>
    <w:next w:val="Normal"/>
    <w:rsid w:val="00AA41A5"/>
    <w:pPr>
      <w:tabs>
        <w:tab w:val="left" w:pos="648"/>
        <w:tab w:val="right" w:pos="7776"/>
        <w:tab w:val="left" w:pos="7848"/>
      </w:tabs>
    </w:pPr>
  </w:style>
  <w:style w:type="paragraph" w:styleId="Encabezado">
    <w:name w:val="header"/>
    <w:basedOn w:val="Normal"/>
    <w:link w:val="EncabezadoCar"/>
    <w:uiPriority w:val="99"/>
    <w:rsid w:val="00AA41A5"/>
    <w:pPr>
      <w:tabs>
        <w:tab w:val="center" w:pos="4320"/>
        <w:tab w:val="right" w:pos="8640"/>
      </w:tabs>
    </w:pPr>
  </w:style>
  <w:style w:type="character" w:customStyle="1" w:styleId="EncabezadoCar">
    <w:name w:val="Encabezado Car"/>
    <w:basedOn w:val="Fuentedeprrafopredeter"/>
    <w:link w:val="Encabezado"/>
    <w:uiPriority w:val="99"/>
    <w:rsid w:val="00AA41A5"/>
    <w:rPr>
      <w:rFonts w:ascii="Times New Roman" w:eastAsia="Times New Roman" w:hAnsi="Times New Roman" w:cs="Times New Roman"/>
      <w:kern w:val="0"/>
      <w:szCs w:val="20"/>
      <w14:ligatures w14:val="none"/>
    </w:rPr>
  </w:style>
  <w:style w:type="character" w:styleId="Nmerodepgina">
    <w:name w:val="page number"/>
    <w:basedOn w:val="Fuentedeprrafopredeter"/>
    <w:rsid w:val="00AA41A5"/>
  </w:style>
  <w:style w:type="character" w:customStyle="1" w:styleId="textonormal1">
    <w:name w:val="textonormal1"/>
    <w:rsid w:val="00AA41A5"/>
    <w:rPr>
      <w:rFonts w:ascii="Arial" w:hAnsi="Arial" w:cs="Arial" w:hint="default"/>
      <w:i w:val="0"/>
      <w:iCs w:val="0"/>
      <w:strike w:val="0"/>
      <w:dstrike w:val="0"/>
      <w:color w:val="000000"/>
      <w:sz w:val="20"/>
      <w:szCs w:val="20"/>
      <w:u w:val="none"/>
      <w:effect w:val="none"/>
    </w:rPr>
  </w:style>
  <w:style w:type="paragraph" w:styleId="Textonotapie">
    <w:name w:val="footnote text"/>
    <w:basedOn w:val="Normal"/>
    <w:link w:val="TextonotapieCar"/>
    <w:uiPriority w:val="99"/>
    <w:semiHidden/>
    <w:unhideWhenUsed/>
    <w:rsid w:val="00AA41A5"/>
    <w:rPr>
      <w:sz w:val="20"/>
    </w:rPr>
  </w:style>
  <w:style w:type="character" w:customStyle="1" w:styleId="TextonotapieCar">
    <w:name w:val="Texto nota pie Car"/>
    <w:basedOn w:val="Fuentedeprrafopredeter"/>
    <w:link w:val="Textonotapie"/>
    <w:uiPriority w:val="99"/>
    <w:semiHidden/>
    <w:rsid w:val="00AA41A5"/>
    <w:rPr>
      <w:rFonts w:ascii="Times New Roman" w:eastAsia="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AA41A5"/>
    <w:rPr>
      <w:vertAlign w:val="superscript"/>
    </w:rPr>
  </w:style>
  <w:style w:type="character" w:styleId="Nmerodelnea">
    <w:name w:val="line number"/>
    <w:basedOn w:val="Fuentedeprrafopredeter"/>
    <w:uiPriority w:val="99"/>
    <w:semiHidden/>
    <w:unhideWhenUsed/>
    <w:rsid w:val="00AA41A5"/>
  </w:style>
  <w:style w:type="character" w:styleId="Hipervnculo">
    <w:name w:val="Hyperlink"/>
    <w:basedOn w:val="Fuentedeprrafopredeter"/>
    <w:uiPriority w:val="99"/>
    <w:unhideWhenUsed/>
    <w:rsid w:val="00AA41A5"/>
    <w:rPr>
      <w:color w:val="467886" w:themeColor="hyperlink"/>
      <w:u w:val="single"/>
    </w:rPr>
  </w:style>
  <w:style w:type="character" w:styleId="Mencinsinresolver">
    <w:name w:val="Unresolved Mention"/>
    <w:basedOn w:val="Fuentedeprrafopredeter"/>
    <w:uiPriority w:val="99"/>
    <w:semiHidden/>
    <w:unhideWhenUsed/>
    <w:rsid w:val="00AA41A5"/>
    <w:rPr>
      <w:color w:val="605E5C"/>
      <w:shd w:val="clear" w:color="auto" w:fill="E1DFDD"/>
    </w:rPr>
  </w:style>
  <w:style w:type="paragraph" w:styleId="NormalWeb">
    <w:name w:val="Normal (Web)"/>
    <w:basedOn w:val="Normal"/>
    <w:uiPriority w:val="99"/>
    <w:semiHidden/>
    <w:unhideWhenUsed/>
    <w:rsid w:val="00242E0A"/>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21482">
      <w:bodyDiv w:val="1"/>
      <w:marLeft w:val="0"/>
      <w:marRight w:val="0"/>
      <w:marTop w:val="0"/>
      <w:marBottom w:val="0"/>
      <w:divBdr>
        <w:top w:val="none" w:sz="0" w:space="0" w:color="auto"/>
        <w:left w:val="none" w:sz="0" w:space="0" w:color="auto"/>
        <w:bottom w:val="none" w:sz="0" w:space="0" w:color="auto"/>
        <w:right w:val="none" w:sz="0" w:space="0" w:color="auto"/>
      </w:divBdr>
    </w:div>
    <w:div w:id="210580347">
      <w:bodyDiv w:val="1"/>
      <w:marLeft w:val="0"/>
      <w:marRight w:val="0"/>
      <w:marTop w:val="0"/>
      <w:marBottom w:val="0"/>
      <w:divBdr>
        <w:top w:val="none" w:sz="0" w:space="0" w:color="auto"/>
        <w:left w:val="none" w:sz="0" w:space="0" w:color="auto"/>
        <w:bottom w:val="none" w:sz="0" w:space="0" w:color="auto"/>
        <w:right w:val="none" w:sz="0" w:space="0" w:color="auto"/>
      </w:divBdr>
    </w:div>
    <w:div w:id="267934559">
      <w:bodyDiv w:val="1"/>
      <w:marLeft w:val="0"/>
      <w:marRight w:val="0"/>
      <w:marTop w:val="0"/>
      <w:marBottom w:val="0"/>
      <w:divBdr>
        <w:top w:val="none" w:sz="0" w:space="0" w:color="auto"/>
        <w:left w:val="none" w:sz="0" w:space="0" w:color="auto"/>
        <w:bottom w:val="none" w:sz="0" w:space="0" w:color="auto"/>
        <w:right w:val="none" w:sz="0" w:space="0" w:color="auto"/>
      </w:divBdr>
    </w:div>
    <w:div w:id="402609910">
      <w:bodyDiv w:val="1"/>
      <w:marLeft w:val="0"/>
      <w:marRight w:val="0"/>
      <w:marTop w:val="0"/>
      <w:marBottom w:val="0"/>
      <w:divBdr>
        <w:top w:val="none" w:sz="0" w:space="0" w:color="auto"/>
        <w:left w:val="none" w:sz="0" w:space="0" w:color="auto"/>
        <w:bottom w:val="none" w:sz="0" w:space="0" w:color="auto"/>
        <w:right w:val="none" w:sz="0" w:space="0" w:color="auto"/>
      </w:divBdr>
    </w:div>
    <w:div w:id="435954096">
      <w:bodyDiv w:val="1"/>
      <w:marLeft w:val="0"/>
      <w:marRight w:val="0"/>
      <w:marTop w:val="0"/>
      <w:marBottom w:val="0"/>
      <w:divBdr>
        <w:top w:val="none" w:sz="0" w:space="0" w:color="auto"/>
        <w:left w:val="none" w:sz="0" w:space="0" w:color="auto"/>
        <w:bottom w:val="none" w:sz="0" w:space="0" w:color="auto"/>
        <w:right w:val="none" w:sz="0" w:space="0" w:color="auto"/>
      </w:divBdr>
    </w:div>
    <w:div w:id="462122054">
      <w:bodyDiv w:val="1"/>
      <w:marLeft w:val="0"/>
      <w:marRight w:val="0"/>
      <w:marTop w:val="0"/>
      <w:marBottom w:val="0"/>
      <w:divBdr>
        <w:top w:val="none" w:sz="0" w:space="0" w:color="auto"/>
        <w:left w:val="none" w:sz="0" w:space="0" w:color="auto"/>
        <w:bottom w:val="none" w:sz="0" w:space="0" w:color="auto"/>
        <w:right w:val="none" w:sz="0" w:space="0" w:color="auto"/>
      </w:divBdr>
    </w:div>
    <w:div w:id="468061228">
      <w:bodyDiv w:val="1"/>
      <w:marLeft w:val="0"/>
      <w:marRight w:val="0"/>
      <w:marTop w:val="0"/>
      <w:marBottom w:val="0"/>
      <w:divBdr>
        <w:top w:val="none" w:sz="0" w:space="0" w:color="auto"/>
        <w:left w:val="none" w:sz="0" w:space="0" w:color="auto"/>
        <w:bottom w:val="none" w:sz="0" w:space="0" w:color="auto"/>
        <w:right w:val="none" w:sz="0" w:space="0" w:color="auto"/>
      </w:divBdr>
    </w:div>
    <w:div w:id="494077235">
      <w:bodyDiv w:val="1"/>
      <w:marLeft w:val="0"/>
      <w:marRight w:val="0"/>
      <w:marTop w:val="0"/>
      <w:marBottom w:val="0"/>
      <w:divBdr>
        <w:top w:val="none" w:sz="0" w:space="0" w:color="auto"/>
        <w:left w:val="none" w:sz="0" w:space="0" w:color="auto"/>
        <w:bottom w:val="none" w:sz="0" w:space="0" w:color="auto"/>
        <w:right w:val="none" w:sz="0" w:space="0" w:color="auto"/>
      </w:divBdr>
    </w:div>
    <w:div w:id="644968538">
      <w:bodyDiv w:val="1"/>
      <w:marLeft w:val="0"/>
      <w:marRight w:val="0"/>
      <w:marTop w:val="0"/>
      <w:marBottom w:val="0"/>
      <w:divBdr>
        <w:top w:val="none" w:sz="0" w:space="0" w:color="auto"/>
        <w:left w:val="none" w:sz="0" w:space="0" w:color="auto"/>
        <w:bottom w:val="none" w:sz="0" w:space="0" w:color="auto"/>
        <w:right w:val="none" w:sz="0" w:space="0" w:color="auto"/>
      </w:divBdr>
    </w:div>
    <w:div w:id="1011684767">
      <w:bodyDiv w:val="1"/>
      <w:marLeft w:val="0"/>
      <w:marRight w:val="0"/>
      <w:marTop w:val="0"/>
      <w:marBottom w:val="0"/>
      <w:divBdr>
        <w:top w:val="none" w:sz="0" w:space="0" w:color="auto"/>
        <w:left w:val="none" w:sz="0" w:space="0" w:color="auto"/>
        <w:bottom w:val="none" w:sz="0" w:space="0" w:color="auto"/>
        <w:right w:val="none" w:sz="0" w:space="0" w:color="auto"/>
      </w:divBdr>
    </w:div>
    <w:div w:id="1047532609">
      <w:bodyDiv w:val="1"/>
      <w:marLeft w:val="0"/>
      <w:marRight w:val="0"/>
      <w:marTop w:val="0"/>
      <w:marBottom w:val="0"/>
      <w:divBdr>
        <w:top w:val="none" w:sz="0" w:space="0" w:color="auto"/>
        <w:left w:val="none" w:sz="0" w:space="0" w:color="auto"/>
        <w:bottom w:val="none" w:sz="0" w:space="0" w:color="auto"/>
        <w:right w:val="none" w:sz="0" w:space="0" w:color="auto"/>
      </w:divBdr>
    </w:div>
    <w:div w:id="1056051949">
      <w:bodyDiv w:val="1"/>
      <w:marLeft w:val="0"/>
      <w:marRight w:val="0"/>
      <w:marTop w:val="0"/>
      <w:marBottom w:val="0"/>
      <w:divBdr>
        <w:top w:val="none" w:sz="0" w:space="0" w:color="auto"/>
        <w:left w:val="none" w:sz="0" w:space="0" w:color="auto"/>
        <w:bottom w:val="none" w:sz="0" w:space="0" w:color="auto"/>
        <w:right w:val="none" w:sz="0" w:space="0" w:color="auto"/>
      </w:divBdr>
    </w:div>
    <w:div w:id="1142119261">
      <w:bodyDiv w:val="1"/>
      <w:marLeft w:val="0"/>
      <w:marRight w:val="0"/>
      <w:marTop w:val="0"/>
      <w:marBottom w:val="0"/>
      <w:divBdr>
        <w:top w:val="none" w:sz="0" w:space="0" w:color="auto"/>
        <w:left w:val="none" w:sz="0" w:space="0" w:color="auto"/>
        <w:bottom w:val="none" w:sz="0" w:space="0" w:color="auto"/>
        <w:right w:val="none" w:sz="0" w:space="0" w:color="auto"/>
      </w:divBdr>
    </w:div>
    <w:div w:id="1187446789">
      <w:bodyDiv w:val="1"/>
      <w:marLeft w:val="0"/>
      <w:marRight w:val="0"/>
      <w:marTop w:val="0"/>
      <w:marBottom w:val="0"/>
      <w:divBdr>
        <w:top w:val="none" w:sz="0" w:space="0" w:color="auto"/>
        <w:left w:val="none" w:sz="0" w:space="0" w:color="auto"/>
        <w:bottom w:val="none" w:sz="0" w:space="0" w:color="auto"/>
        <w:right w:val="none" w:sz="0" w:space="0" w:color="auto"/>
      </w:divBdr>
    </w:div>
    <w:div w:id="1264612775">
      <w:bodyDiv w:val="1"/>
      <w:marLeft w:val="0"/>
      <w:marRight w:val="0"/>
      <w:marTop w:val="0"/>
      <w:marBottom w:val="0"/>
      <w:divBdr>
        <w:top w:val="none" w:sz="0" w:space="0" w:color="auto"/>
        <w:left w:val="none" w:sz="0" w:space="0" w:color="auto"/>
        <w:bottom w:val="none" w:sz="0" w:space="0" w:color="auto"/>
        <w:right w:val="none" w:sz="0" w:space="0" w:color="auto"/>
      </w:divBdr>
    </w:div>
    <w:div w:id="1276444808">
      <w:bodyDiv w:val="1"/>
      <w:marLeft w:val="0"/>
      <w:marRight w:val="0"/>
      <w:marTop w:val="0"/>
      <w:marBottom w:val="0"/>
      <w:divBdr>
        <w:top w:val="none" w:sz="0" w:space="0" w:color="auto"/>
        <w:left w:val="none" w:sz="0" w:space="0" w:color="auto"/>
        <w:bottom w:val="none" w:sz="0" w:space="0" w:color="auto"/>
        <w:right w:val="none" w:sz="0" w:space="0" w:color="auto"/>
      </w:divBdr>
    </w:div>
    <w:div w:id="1280071358">
      <w:bodyDiv w:val="1"/>
      <w:marLeft w:val="0"/>
      <w:marRight w:val="0"/>
      <w:marTop w:val="0"/>
      <w:marBottom w:val="0"/>
      <w:divBdr>
        <w:top w:val="none" w:sz="0" w:space="0" w:color="auto"/>
        <w:left w:val="none" w:sz="0" w:space="0" w:color="auto"/>
        <w:bottom w:val="none" w:sz="0" w:space="0" w:color="auto"/>
        <w:right w:val="none" w:sz="0" w:space="0" w:color="auto"/>
      </w:divBdr>
    </w:div>
    <w:div w:id="1281303509">
      <w:bodyDiv w:val="1"/>
      <w:marLeft w:val="0"/>
      <w:marRight w:val="0"/>
      <w:marTop w:val="0"/>
      <w:marBottom w:val="0"/>
      <w:divBdr>
        <w:top w:val="none" w:sz="0" w:space="0" w:color="auto"/>
        <w:left w:val="none" w:sz="0" w:space="0" w:color="auto"/>
        <w:bottom w:val="none" w:sz="0" w:space="0" w:color="auto"/>
        <w:right w:val="none" w:sz="0" w:space="0" w:color="auto"/>
      </w:divBdr>
    </w:div>
    <w:div w:id="1323192983">
      <w:bodyDiv w:val="1"/>
      <w:marLeft w:val="0"/>
      <w:marRight w:val="0"/>
      <w:marTop w:val="0"/>
      <w:marBottom w:val="0"/>
      <w:divBdr>
        <w:top w:val="none" w:sz="0" w:space="0" w:color="auto"/>
        <w:left w:val="none" w:sz="0" w:space="0" w:color="auto"/>
        <w:bottom w:val="none" w:sz="0" w:space="0" w:color="auto"/>
        <w:right w:val="none" w:sz="0" w:space="0" w:color="auto"/>
      </w:divBdr>
    </w:div>
    <w:div w:id="1331714957">
      <w:bodyDiv w:val="1"/>
      <w:marLeft w:val="0"/>
      <w:marRight w:val="0"/>
      <w:marTop w:val="0"/>
      <w:marBottom w:val="0"/>
      <w:divBdr>
        <w:top w:val="none" w:sz="0" w:space="0" w:color="auto"/>
        <w:left w:val="none" w:sz="0" w:space="0" w:color="auto"/>
        <w:bottom w:val="none" w:sz="0" w:space="0" w:color="auto"/>
        <w:right w:val="none" w:sz="0" w:space="0" w:color="auto"/>
      </w:divBdr>
    </w:div>
    <w:div w:id="1382482563">
      <w:bodyDiv w:val="1"/>
      <w:marLeft w:val="0"/>
      <w:marRight w:val="0"/>
      <w:marTop w:val="0"/>
      <w:marBottom w:val="0"/>
      <w:divBdr>
        <w:top w:val="none" w:sz="0" w:space="0" w:color="auto"/>
        <w:left w:val="none" w:sz="0" w:space="0" w:color="auto"/>
        <w:bottom w:val="none" w:sz="0" w:space="0" w:color="auto"/>
        <w:right w:val="none" w:sz="0" w:space="0" w:color="auto"/>
      </w:divBdr>
    </w:div>
    <w:div w:id="1432506042">
      <w:bodyDiv w:val="1"/>
      <w:marLeft w:val="0"/>
      <w:marRight w:val="0"/>
      <w:marTop w:val="0"/>
      <w:marBottom w:val="0"/>
      <w:divBdr>
        <w:top w:val="none" w:sz="0" w:space="0" w:color="auto"/>
        <w:left w:val="none" w:sz="0" w:space="0" w:color="auto"/>
        <w:bottom w:val="none" w:sz="0" w:space="0" w:color="auto"/>
        <w:right w:val="none" w:sz="0" w:space="0" w:color="auto"/>
      </w:divBdr>
    </w:div>
    <w:div w:id="1472942768">
      <w:bodyDiv w:val="1"/>
      <w:marLeft w:val="0"/>
      <w:marRight w:val="0"/>
      <w:marTop w:val="0"/>
      <w:marBottom w:val="0"/>
      <w:divBdr>
        <w:top w:val="none" w:sz="0" w:space="0" w:color="auto"/>
        <w:left w:val="none" w:sz="0" w:space="0" w:color="auto"/>
        <w:bottom w:val="none" w:sz="0" w:space="0" w:color="auto"/>
        <w:right w:val="none" w:sz="0" w:space="0" w:color="auto"/>
      </w:divBdr>
    </w:div>
    <w:div w:id="1573924133">
      <w:bodyDiv w:val="1"/>
      <w:marLeft w:val="0"/>
      <w:marRight w:val="0"/>
      <w:marTop w:val="0"/>
      <w:marBottom w:val="0"/>
      <w:divBdr>
        <w:top w:val="none" w:sz="0" w:space="0" w:color="auto"/>
        <w:left w:val="none" w:sz="0" w:space="0" w:color="auto"/>
        <w:bottom w:val="none" w:sz="0" w:space="0" w:color="auto"/>
        <w:right w:val="none" w:sz="0" w:space="0" w:color="auto"/>
      </w:divBdr>
    </w:div>
    <w:div w:id="1635988325">
      <w:bodyDiv w:val="1"/>
      <w:marLeft w:val="0"/>
      <w:marRight w:val="0"/>
      <w:marTop w:val="0"/>
      <w:marBottom w:val="0"/>
      <w:divBdr>
        <w:top w:val="none" w:sz="0" w:space="0" w:color="auto"/>
        <w:left w:val="none" w:sz="0" w:space="0" w:color="auto"/>
        <w:bottom w:val="none" w:sz="0" w:space="0" w:color="auto"/>
        <w:right w:val="none" w:sz="0" w:space="0" w:color="auto"/>
      </w:divBdr>
    </w:div>
    <w:div w:id="1688408902">
      <w:bodyDiv w:val="1"/>
      <w:marLeft w:val="0"/>
      <w:marRight w:val="0"/>
      <w:marTop w:val="0"/>
      <w:marBottom w:val="0"/>
      <w:divBdr>
        <w:top w:val="none" w:sz="0" w:space="0" w:color="auto"/>
        <w:left w:val="none" w:sz="0" w:space="0" w:color="auto"/>
        <w:bottom w:val="none" w:sz="0" w:space="0" w:color="auto"/>
        <w:right w:val="none" w:sz="0" w:space="0" w:color="auto"/>
      </w:divBdr>
    </w:div>
    <w:div w:id="1748839788">
      <w:bodyDiv w:val="1"/>
      <w:marLeft w:val="0"/>
      <w:marRight w:val="0"/>
      <w:marTop w:val="0"/>
      <w:marBottom w:val="0"/>
      <w:divBdr>
        <w:top w:val="none" w:sz="0" w:space="0" w:color="auto"/>
        <w:left w:val="none" w:sz="0" w:space="0" w:color="auto"/>
        <w:bottom w:val="none" w:sz="0" w:space="0" w:color="auto"/>
        <w:right w:val="none" w:sz="0" w:space="0" w:color="auto"/>
      </w:divBdr>
    </w:div>
    <w:div w:id="1826778218">
      <w:bodyDiv w:val="1"/>
      <w:marLeft w:val="0"/>
      <w:marRight w:val="0"/>
      <w:marTop w:val="0"/>
      <w:marBottom w:val="0"/>
      <w:divBdr>
        <w:top w:val="none" w:sz="0" w:space="0" w:color="auto"/>
        <w:left w:val="none" w:sz="0" w:space="0" w:color="auto"/>
        <w:bottom w:val="none" w:sz="0" w:space="0" w:color="auto"/>
        <w:right w:val="none" w:sz="0" w:space="0" w:color="auto"/>
      </w:divBdr>
    </w:div>
    <w:div w:id="1829395936">
      <w:bodyDiv w:val="1"/>
      <w:marLeft w:val="0"/>
      <w:marRight w:val="0"/>
      <w:marTop w:val="0"/>
      <w:marBottom w:val="0"/>
      <w:divBdr>
        <w:top w:val="none" w:sz="0" w:space="0" w:color="auto"/>
        <w:left w:val="none" w:sz="0" w:space="0" w:color="auto"/>
        <w:bottom w:val="none" w:sz="0" w:space="0" w:color="auto"/>
        <w:right w:val="none" w:sz="0" w:space="0" w:color="auto"/>
      </w:divBdr>
    </w:div>
    <w:div w:id="1875268045">
      <w:bodyDiv w:val="1"/>
      <w:marLeft w:val="0"/>
      <w:marRight w:val="0"/>
      <w:marTop w:val="0"/>
      <w:marBottom w:val="0"/>
      <w:divBdr>
        <w:top w:val="none" w:sz="0" w:space="0" w:color="auto"/>
        <w:left w:val="none" w:sz="0" w:space="0" w:color="auto"/>
        <w:bottom w:val="none" w:sz="0" w:space="0" w:color="auto"/>
        <w:right w:val="none" w:sz="0" w:space="0" w:color="auto"/>
      </w:divBdr>
    </w:div>
    <w:div w:id="2035576798">
      <w:bodyDiv w:val="1"/>
      <w:marLeft w:val="0"/>
      <w:marRight w:val="0"/>
      <w:marTop w:val="0"/>
      <w:marBottom w:val="0"/>
      <w:divBdr>
        <w:top w:val="none" w:sz="0" w:space="0" w:color="auto"/>
        <w:left w:val="none" w:sz="0" w:space="0" w:color="auto"/>
        <w:bottom w:val="none" w:sz="0" w:space="0" w:color="auto"/>
        <w:right w:val="none" w:sz="0" w:space="0" w:color="auto"/>
      </w:divBdr>
    </w:div>
    <w:div w:id="2054648952">
      <w:bodyDiv w:val="1"/>
      <w:marLeft w:val="0"/>
      <w:marRight w:val="0"/>
      <w:marTop w:val="0"/>
      <w:marBottom w:val="0"/>
      <w:divBdr>
        <w:top w:val="none" w:sz="0" w:space="0" w:color="auto"/>
        <w:left w:val="none" w:sz="0" w:space="0" w:color="auto"/>
        <w:bottom w:val="none" w:sz="0" w:space="0" w:color="auto"/>
        <w:right w:val="none" w:sz="0" w:space="0" w:color="auto"/>
      </w:divBdr>
    </w:div>
    <w:div w:id="2082826016">
      <w:bodyDiv w:val="1"/>
      <w:marLeft w:val="0"/>
      <w:marRight w:val="0"/>
      <w:marTop w:val="0"/>
      <w:marBottom w:val="0"/>
      <w:divBdr>
        <w:top w:val="none" w:sz="0" w:space="0" w:color="auto"/>
        <w:left w:val="none" w:sz="0" w:space="0" w:color="auto"/>
        <w:bottom w:val="none" w:sz="0" w:space="0" w:color="auto"/>
        <w:right w:val="none" w:sz="0" w:space="0" w:color="auto"/>
      </w:divBdr>
    </w:div>
    <w:div w:id="211624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EA91D28ED3664BB79A14DFE520B8B8" ma:contentTypeVersion="4" ma:contentTypeDescription="Create a new document." ma:contentTypeScope="" ma:versionID="dc3c0b4c5b3d5f699cb373141370fd20">
  <xsd:schema xmlns:xsd="http://www.w3.org/2001/XMLSchema" xmlns:xs="http://www.w3.org/2001/XMLSchema" xmlns:p="http://schemas.microsoft.com/office/2006/metadata/properties" xmlns:ns3="df7765da-6eda-4b0c-817a-9bf05cb3cadf" targetNamespace="http://schemas.microsoft.com/office/2006/metadata/properties" ma:root="true" ma:fieldsID="fb63eab4442ac0a793132967435e0ca1" ns3:_="">
    <xsd:import namespace="df7765da-6eda-4b0c-817a-9bf05cb3cad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765da-6eda-4b0c-817a-9bf05cb3cad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86FE5D-8492-4517-9F0E-822C42196C23}">
  <ds:schemaRefs>
    <ds:schemaRef ds:uri="http://schemas.openxmlformats.org/officeDocument/2006/bibliography"/>
  </ds:schemaRefs>
</ds:datastoreItem>
</file>

<file path=customXml/itemProps2.xml><?xml version="1.0" encoding="utf-8"?>
<ds:datastoreItem xmlns:ds="http://schemas.openxmlformats.org/officeDocument/2006/customXml" ds:itemID="{394100DE-8179-4276-83A5-D3030D6276EE}">
  <ds:schemaRefs>
    <ds:schemaRef ds:uri="http://schemas.microsoft.com/sharepoint/v3/contenttype/forms"/>
  </ds:schemaRefs>
</ds:datastoreItem>
</file>

<file path=customXml/itemProps3.xml><?xml version="1.0" encoding="utf-8"?>
<ds:datastoreItem xmlns:ds="http://schemas.openxmlformats.org/officeDocument/2006/customXml" ds:itemID="{15FC66D9-A5DE-46B8-A137-FBE3DDD7CB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765da-6eda-4b0c-817a-9bf05cb3ca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59D9BB-D671-4DE6-A8C2-AB6513B2625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1815</Words>
  <Characters>10350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Rocío Alayón Morell</cp:lastModifiedBy>
  <cp:revision>3</cp:revision>
  <cp:lastPrinted>2026-04-06T17:05:00Z</cp:lastPrinted>
  <dcterms:created xsi:type="dcterms:W3CDTF">2026-05-18T16:47:00Z</dcterms:created>
  <dcterms:modified xsi:type="dcterms:W3CDTF">2026-05-19T16:01:00Z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0x010100E9EA91D28ED3664BB79A14DFE520B8B8</vt:lpwstr>
  </property>
</Properties>
</file>