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47167" w14:textId="08EA924D" w:rsidR="00FF6BD2" w:rsidRDefault="00C05908" w:rsidP="009B696A">
      <w:pPr>
        <w:jc w:val="center"/>
        <w:rPr>
          <w:rFonts w:ascii="Book Antiqua" w:hAnsi="Book Antiqua"/>
          <w:sz w:val="28"/>
          <w:lang w:val="es-ES_tradnl"/>
        </w:rPr>
      </w:pPr>
      <w:r>
        <w:rPr>
          <w:rFonts w:ascii="Book Antiqua" w:hAnsi="Book Antiqua"/>
          <w:sz w:val="28"/>
          <w:lang w:val="es-ES_tradnl"/>
        </w:rPr>
        <w:t>GOBIERNO</w:t>
      </w:r>
      <w:r w:rsidR="007223FC">
        <w:rPr>
          <w:rFonts w:ascii="Book Antiqua" w:hAnsi="Book Antiqua"/>
          <w:sz w:val="28"/>
          <w:lang w:val="es-ES_tradnl"/>
        </w:rPr>
        <w:t xml:space="preserve"> DE PUERTO RICO</w:t>
      </w:r>
    </w:p>
    <w:p w14:paraId="356F59C8" w14:textId="77777777" w:rsidR="007223FC" w:rsidRPr="001E0D88" w:rsidRDefault="007223FC" w:rsidP="001E0D88">
      <w:pPr>
        <w:jc w:val="center"/>
        <w:rPr>
          <w:rFonts w:ascii="Book Antiqua" w:hAnsi="Book Antiqua"/>
          <w:lang w:val="es-ES_tradnl"/>
        </w:rPr>
      </w:pPr>
    </w:p>
    <w:p w14:paraId="0BD40D93" w14:textId="657DBF00" w:rsidR="007223FC" w:rsidRPr="00D749B6" w:rsidRDefault="00C24E41" w:rsidP="00C24E41">
      <w:pPr>
        <w:pStyle w:val="Title2"/>
        <w:tabs>
          <w:tab w:val="clear" w:pos="648"/>
          <w:tab w:val="clear" w:pos="7776"/>
          <w:tab w:val="clear" w:pos="7848"/>
        </w:tabs>
        <w:rPr>
          <w:rFonts w:ascii="Book Antiqua" w:hAnsi="Book Antiqua"/>
          <w:lang w:val="es-PR"/>
        </w:rPr>
      </w:pPr>
      <w:r w:rsidRPr="00D749B6">
        <w:rPr>
          <w:rFonts w:ascii="Book Antiqua" w:hAnsi="Book Antiqua"/>
          <w:lang w:val="es-PR"/>
        </w:rPr>
        <w:t>20ma.</w:t>
      </w:r>
      <w:r w:rsidR="007223FC" w:rsidRPr="00D749B6">
        <w:rPr>
          <w:rFonts w:ascii="Book Antiqua" w:hAnsi="Book Antiqua"/>
          <w:lang w:val="es-PR"/>
        </w:rPr>
        <w:tab/>
        <w:t>Asamblea</w:t>
      </w:r>
      <w:r w:rsidR="007223FC" w:rsidRPr="00D749B6">
        <w:rPr>
          <w:rFonts w:ascii="Book Antiqua" w:hAnsi="Book Antiqua"/>
          <w:lang w:val="es-PR"/>
        </w:rPr>
        <w:tab/>
      </w:r>
      <w:r w:rsidRPr="00D749B6">
        <w:rPr>
          <w:rFonts w:ascii="Book Antiqua" w:hAnsi="Book Antiqua"/>
          <w:lang w:val="es-PR"/>
        </w:rPr>
        <w:tab/>
      </w:r>
      <w:r w:rsidRPr="00D749B6">
        <w:rPr>
          <w:rFonts w:ascii="Book Antiqua" w:hAnsi="Book Antiqua"/>
          <w:lang w:val="es-PR"/>
        </w:rPr>
        <w:tab/>
      </w:r>
      <w:r w:rsidRPr="00D749B6">
        <w:rPr>
          <w:rFonts w:ascii="Book Antiqua" w:hAnsi="Book Antiqua"/>
          <w:lang w:val="es-PR"/>
        </w:rPr>
        <w:tab/>
      </w:r>
      <w:r w:rsidRPr="00D749B6">
        <w:rPr>
          <w:rFonts w:ascii="Book Antiqua" w:hAnsi="Book Antiqua"/>
          <w:lang w:val="es-PR"/>
        </w:rPr>
        <w:tab/>
      </w:r>
      <w:r w:rsidRPr="00D749B6">
        <w:rPr>
          <w:rFonts w:ascii="Book Antiqua" w:hAnsi="Book Antiqua"/>
          <w:lang w:val="es-PR"/>
        </w:rPr>
        <w:tab/>
      </w:r>
      <w:r w:rsidRPr="00D749B6">
        <w:rPr>
          <w:rFonts w:ascii="Book Antiqua" w:hAnsi="Book Antiqua"/>
          <w:lang w:val="es-PR"/>
        </w:rPr>
        <w:tab/>
      </w:r>
      <w:r w:rsidRPr="00D749B6">
        <w:rPr>
          <w:rFonts w:ascii="Book Antiqua" w:hAnsi="Book Antiqua"/>
          <w:lang w:val="es-PR"/>
        </w:rPr>
        <w:tab/>
        <w:t xml:space="preserve">     </w:t>
      </w:r>
      <w:r w:rsidR="00D749B6">
        <w:rPr>
          <w:rFonts w:ascii="Book Antiqua" w:hAnsi="Book Antiqua"/>
          <w:lang w:val="es-PR"/>
        </w:rPr>
        <w:t xml:space="preserve">      </w:t>
      </w:r>
      <w:r w:rsidRPr="00D749B6">
        <w:rPr>
          <w:rFonts w:ascii="Book Antiqua" w:hAnsi="Book Antiqua"/>
          <w:lang w:val="es-PR"/>
        </w:rPr>
        <w:t xml:space="preserve">3ra. </w:t>
      </w:r>
      <w:r w:rsidR="007223FC" w:rsidRPr="00D749B6">
        <w:rPr>
          <w:rFonts w:ascii="Book Antiqua" w:hAnsi="Book Antiqua"/>
          <w:lang w:val="es-PR"/>
        </w:rPr>
        <w:t>Sesión</w:t>
      </w:r>
    </w:p>
    <w:p w14:paraId="6119718E" w14:textId="1C15B64A" w:rsidR="007223FC" w:rsidRPr="00D749B6" w:rsidRDefault="007223FC" w:rsidP="00C24E41">
      <w:pPr>
        <w:pStyle w:val="Title2"/>
        <w:tabs>
          <w:tab w:val="clear" w:pos="648"/>
          <w:tab w:val="clear" w:pos="7776"/>
          <w:tab w:val="clear" w:pos="7848"/>
        </w:tabs>
        <w:rPr>
          <w:rFonts w:ascii="Book Antiqua" w:hAnsi="Book Antiqua"/>
          <w:lang w:val="es-PR"/>
        </w:rPr>
      </w:pPr>
      <w:r w:rsidRPr="00D749B6">
        <w:rPr>
          <w:rFonts w:ascii="Book Antiqua" w:hAnsi="Book Antiqua"/>
          <w:lang w:val="es-PR"/>
        </w:rPr>
        <w:tab/>
        <w:t>Legislativa</w:t>
      </w:r>
      <w:r w:rsidRPr="00D749B6">
        <w:rPr>
          <w:rFonts w:ascii="Book Antiqua" w:hAnsi="Book Antiqua"/>
          <w:lang w:val="es-PR"/>
        </w:rPr>
        <w:tab/>
      </w:r>
      <w:r w:rsidRPr="00D749B6">
        <w:rPr>
          <w:rFonts w:ascii="Book Antiqua" w:hAnsi="Book Antiqua"/>
          <w:lang w:val="es-PR"/>
        </w:rPr>
        <w:tab/>
      </w:r>
      <w:r w:rsidR="00C24E41" w:rsidRPr="00D749B6">
        <w:rPr>
          <w:rFonts w:ascii="Book Antiqua" w:hAnsi="Book Antiqua"/>
          <w:lang w:val="es-PR"/>
        </w:rPr>
        <w:tab/>
      </w:r>
      <w:r w:rsidR="00C24E41" w:rsidRPr="00D749B6">
        <w:rPr>
          <w:rFonts w:ascii="Book Antiqua" w:hAnsi="Book Antiqua"/>
          <w:lang w:val="es-PR"/>
        </w:rPr>
        <w:tab/>
      </w:r>
      <w:r w:rsidR="00C24E41" w:rsidRPr="00D749B6">
        <w:rPr>
          <w:rFonts w:ascii="Book Antiqua" w:hAnsi="Book Antiqua"/>
          <w:lang w:val="es-PR"/>
        </w:rPr>
        <w:tab/>
      </w:r>
      <w:r w:rsidR="00C24E41" w:rsidRPr="00D749B6">
        <w:rPr>
          <w:rFonts w:ascii="Book Antiqua" w:hAnsi="Book Antiqua"/>
          <w:lang w:val="es-PR"/>
        </w:rPr>
        <w:tab/>
      </w:r>
      <w:r w:rsidR="00C24E41" w:rsidRPr="00D749B6">
        <w:rPr>
          <w:rFonts w:ascii="Book Antiqua" w:hAnsi="Book Antiqua"/>
          <w:lang w:val="es-PR"/>
        </w:rPr>
        <w:tab/>
      </w:r>
      <w:r w:rsidR="00C24E41" w:rsidRPr="00D749B6">
        <w:rPr>
          <w:rFonts w:ascii="Book Antiqua" w:hAnsi="Book Antiqua"/>
          <w:lang w:val="es-PR"/>
        </w:rPr>
        <w:tab/>
      </w:r>
      <w:r w:rsidR="00C24E41" w:rsidRPr="00D749B6">
        <w:rPr>
          <w:rFonts w:ascii="Book Antiqua" w:hAnsi="Book Antiqua"/>
          <w:lang w:val="es-PR"/>
        </w:rPr>
        <w:tab/>
      </w:r>
      <w:r w:rsidR="00D749B6">
        <w:rPr>
          <w:rFonts w:ascii="Book Antiqua" w:hAnsi="Book Antiqua"/>
          <w:lang w:val="es-PR"/>
        </w:rPr>
        <w:t xml:space="preserve">      </w:t>
      </w:r>
      <w:r w:rsidRPr="00D749B6">
        <w:rPr>
          <w:rFonts w:ascii="Book Antiqua" w:hAnsi="Book Antiqua"/>
          <w:lang w:val="es-PR"/>
        </w:rPr>
        <w:t>Ordinaria</w:t>
      </w:r>
    </w:p>
    <w:p w14:paraId="2826346C" w14:textId="77777777" w:rsidR="007223FC" w:rsidRPr="00D749B6" w:rsidRDefault="007223FC" w:rsidP="00C24E41">
      <w:pPr>
        <w:rPr>
          <w:rFonts w:ascii="Book Antiqua" w:hAnsi="Book Antiqua"/>
          <w:lang w:val="es-PR"/>
        </w:rPr>
      </w:pPr>
    </w:p>
    <w:p w14:paraId="5CB5D2EC" w14:textId="77777777" w:rsidR="007223FC" w:rsidRDefault="007223FC" w:rsidP="001E0D88">
      <w:pPr>
        <w:jc w:val="center"/>
        <w:rPr>
          <w:rFonts w:ascii="Book Antiqua" w:hAnsi="Book Antiqua"/>
          <w:b/>
          <w:sz w:val="36"/>
          <w:lang w:val="es-ES_tradnl"/>
        </w:rPr>
      </w:pPr>
      <w:r>
        <w:rPr>
          <w:rFonts w:ascii="Book Antiqua" w:hAnsi="Book Antiqua"/>
          <w:b/>
          <w:sz w:val="36"/>
          <w:lang w:val="es-ES_tradnl"/>
        </w:rPr>
        <w:t>CÁMARA DE REPRESENTANTES</w:t>
      </w:r>
    </w:p>
    <w:p w14:paraId="466990B5" w14:textId="77777777" w:rsidR="007223FC" w:rsidRPr="001E0D88" w:rsidRDefault="007223FC" w:rsidP="001E0D88">
      <w:pPr>
        <w:jc w:val="center"/>
        <w:rPr>
          <w:rFonts w:ascii="Book Antiqua" w:hAnsi="Book Antiqua"/>
          <w:b/>
          <w:szCs w:val="24"/>
          <w:lang w:val="es-ES_tradnl"/>
        </w:rPr>
      </w:pPr>
    </w:p>
    <w:p w14:paraId="5AE15BF3" w14:textId="27B3F047" w:rsidR="007223FC" w:rsidRDefault="007223FC" w:rsidP="001E0D88">
      <w:pPr>
        <w:jc w:val="center"/>
        <w:rPr>
          <w:rFonts w:ascii="Book Antiqua" w:hAnsi="Book Antiqua"/>
          <w:b/>
          <w:sz w:val="52"/>
          <w:lang w:val="es-ES_tradnl"/>
        </w:rPr>
      </w:pPr>
      <w:r>
        <w:rPr>
          <w:rFonts w:ascii="Book Antiqua" w:hAnsi="Book Antiqua"/>
          <w:b/>
          <w:sz w:val="52"/>
          <w:lang w:val="es-ES_tradnl"/>
        </w:rPr>
        <w:t>R. de la C.</w:t>
      </w:r>
      <w:r w:rsidR="00A6383D">
        <w:rPr>
          <w:rFonts w:ascii="Book Antiqua" w:hAnsi="Book Antiqua"/>
          <w:b/>
          <w:sz w:val="52"/>
          <w:lang w:val="es-ES_tradnl"/>
        </w:rPr>
        <w:t xml:space="preserve"> 707</w:t>
      </w:r>
    </w:p>
    <w:p w14:paraId="4FB5DD3D" w14:textId="6974E6E7" w:rsidR="001E0D88" w:rsidRPr="001E0D88" w:rsidRDefault="001E0D88" w:rsidP="001E0D88">
      <w:pPr>
        <w:jc w:val="center"/>
        <w:rPr>
          <w:rFonts w:ascii="Book Antiqua" w:hAnsi="Book Antiqua"/>
          <w:b/>
          <w:szCs w:val="24"/>
          <w:lang w:val="es-ES_tradnl"/>
        </w:rPr>
      </w:pPr>
    </w:p>
    <w:p w14:paraId="12915E35" w14:textId="73F2D208" w:rsidR="007223FC" w:rsidRDefault="00BA75E8" w:rsidP="001E0D88">
      <w:pPr>
        <w:jc w:val="center"/>
        <w:rPr>
          <w:rFonts w:ascii="Book Antiqua" w:hAnsi="Book Antiqua"/>
          <w:lang w:val="es-ES_tradnl"/>
        </w:rPr>
      </w:pPr>
      <w:r>
        <w:rPr>
          <w:rFonts w:ascii="Book Antiqua" w:hAnsi="Book Antiqua"/>
          <w:lang w:val="es-ES_tradnl"/>
        </w:rPr>
        <w:t>26</w:t>
      </w:r>
      <w:r w:rsidR="002171CA">
        <w:rPr>
          <w:rFonts w:ascii="Book Antiqua" w:hAnsi="Book Antiqua"/>
          <w:lang w:val="es-ES_tradnl"/>
        </w:rPr>
        <w:t xml:space="preserve"> </w:t>
      </w:r>
      <w:r w:rsidR="00E03207">
        <w:rPr>
          <w:rFonts w:ascii="Book Antiqua" w:hAnsi="Book Antiqua"/>
          <w:lang w:val="es-ES_tradnl"/>
        </w:rPr>
        <w:t xml:space="preserve">DE </w:t>
      </w:r>
      <w:r w:rsidR="00DA67AA">
        <w:rPr>
          <w:rFonts w:ascii="Book Antiqua" w:hAnsi="Book Antiqua"/>
          <w:lang w:val="es-ES_tradnl"/>
        </w:rPr>
        <w:t>MAYO</w:t>
      </w:r>
      <w:r w:rsidR="001D6647">
        <w:rPr>
          <w:rFonts w:ascii="Book Antiqua" w:hAnsi="Book Antiqua"/>
          <w:lang w:val="es-ES_tradnl"/>
        </w:rPr>
        <w:t xml:space="preserve"> </w:t>
      </w:r>
      <w:r w:rsidR="007223FC">
        <w:rPr>
          <w:rFonts w:ascii="Book Antiqua" w:hAnsi="Book Antiqua"/>
          <w:lang w:val="es-ES_tradnl"/>
        </w:rPr>
        <w:t>DE 202</w:t>
      </w:r>
      <w:r w:rsidR="001C42D4">
        <w:rPr>
          <w:rFonts w:ascii="Book Antiqua" w:hAnsi="Book Antiqua"/>
          <w:lang w:val="es-ES_tradnl"/>
        </w:rPr>
        <w:t>6</w:t>
      </w:r>
    </w:p>
    <w:p w14:paraId="1DA12E69" w14:textId="77777777" w:rsidR="002E59C0" w:rsidRPr="000369FF" w:rsidRDefault="002E59C0" w:rsidP="002E59C0">
      <w:pPr>
        <w:jc w:val="center"/>
        <w:rPr>
          <w:rFonts w:ascii="Book Antiqua" w:hAnsi="Book Antiqua"/>
          <w:lang w:val="es-ES_tradnl"/>
        </w:rPr>
      </w:pPr>
    </w:p>
    <w:p w14:paraId="4B7E216D" w14:textId="70316CC6" w:rsidR="002E59C0" w:rsidRPr="00C338B0" w:rsidRDefault="002E59C0" w:rsidP="0041111D">
      <w:pPr>
        <w:ind w:left="810" w:hanging="900"/>
        <w:jc w:val="center"/>
        <w:rPr>
          <w:rFonts w:ascii="Book Antiqua" w:hAnsi="Book Antiqua"/>
          <w:i/>
          <w:iCs/>
          <w:lang w:val="es-ES"/>
        </w:rPr>
      </w:pPr>
      <w:r w:rsidRPr="000369FF">
        <w:rPr>
          <w:rFonts w:ascii="Book Antiqua" w:hAnsi="Book Antiqua"/>
          <w:lang w:val="es-ES_tradnl"/>
        </w:rPr>
        <w:t>Presentad</w:t>
      </w:r>
      <w:r>
        <w:rPr>
          <w:rFonts w:ascii="Book Antiqua" w:hAnsi="Book Antiqua"/>
          <w:lang w:val="es-ES_tradnl"/>
        </w:rPr>
        <w:t>a</w:t>
      </w:r>
      <w:r w:rsidRPr="000369FF">
        <w:rPr>
          <w:rFonts w:ascii="Book Antiqua" w:hAnsi="Book Antiqua"/>
          <w:lang w:val="es-ES_tradnl"/>
        </w:rPr>
        <w:t xml:space="preserve"> por </w:t>
      </w:r>
      <w:r w:rsidR="00A94DDD">
        <w:rPr>
          <w:rFonts w:ascii="Book Antiqua" w:hAnsi="Book Antiqua"/>
          <w:lang w:val="es-ES_tradnl"/>
        </w:rPr>
        <w:t>el</w:t>
      </w:r>
      <w:r w:rsidRPr="00460923">
        <w:rPr>
          <w:rFonts w:ascii="Book Antiqua" w:hAnsi="Book Antiqua"/>
          <w:lang w:val="es-ES_tradnl"/>
        </w:rPr>
        <w:t xml:space="preserve"> representante </w:t>
      </w:r>
      <w:r w:rsidRPr="00460923">
        <w:rPr>
          <w:rFonts w:ascii="Book Antiqua" w:hAnsi="Book Antiqua"/>
          <w:i/>
          <w:iCs/>
          <w:lang w:val="es-ES"/>
        </w:rPr>
        <w:t>Ferrer Santiago</w:t>
      </w:r>
    </w:p>
    <w:p w14:paraId="6B41298E" w14:textId="77777777" w:rsidR="001E0D88" w:rsidRPr="002E59C0" w:rsidRDefault="001E0D88" w:rsidP="00D2391F">
      <w:pPr>
        <w:rPr>
          <w:rFonts w:ascii="Book Antiqua" w:hAnsi="Book Antiqua"/>
          <w:lang w:val="es-ES"/>
        </w:rPr>
      </w:pPr>
    </w:p>
    <w:p w14:paraId="7E5306B6" w14:textId="5B5522A0" w:rsidR="00657554" w:rsidRDefault="00657554" w:rsidP="00657554">
      <w:pPr>
        <w:jc w:val="center"/>
        <w:rPr>
          <w:rFonts w:ascii="Book Antiqua" w:hAnsi="Book Antiqua"/>
          <w:lang w:val="es-ES_tradnl"/>
        </w:rPr>
      </w:pPr>
      <w:r>
        <w:rPr>
          <w:rFonts w:ascii="Book Antiqua" w:hAnsi="Book Antiqua"/>
          <w:lang w:val="es-ES_tradnl"/>
        </w:rPr>
        <w:t>Referida a</w:t>
      </w:r>
      <w:r w:rsidR="00D749B6">
        <w:rPr>
          <w:rFonts w:ascii="Book Antiqua" w:hAnsi="Book Antiqua"/>
          <w:lang w:val="es-ES_tradnl"/>
        </w:rPr>
        <w:t xml:space="preserve"> la Comisión de Asuntos Internos</w:t>
      </w:r>
    </w:p>
    <w:p w14:paraId="0DCBA946" w14:textId="77777777" w:rsidR="007223FC" w:rsidRDefault="007223FC" w:rsidP="001E0D88">
      <w:pPr>
        <w:jc w:val="both"/>
        <w:rPr>
          <w:rFonts w:ascii="Book Antiqua" w:hAnsi="Book Antiqua"/>
          <w:lang w:val="es-ES_tradnl"/>
        </w:rPr>
      </w:pPr>
    </w:p>
    <w:p w14:paraId="59299EAC" w14:textId="77777777" w:rsidR="007223FC" w:rsidRDefault="007223FC" w:rsidP="001E0D88">
      <w:pPr>
        <w:jc w:val="center"/>
        <w:rPr>
          <w:rFonts w:ascii="Book Antiqua" w:hAnsi="Book Antiqua"/>
          <w:b/>
          <w:sz w:val="28"/>
          <w:lang w:val="es-ES_tradnl"/>
        </w:rPr>
      </w:pPr>
      <w:r>
        <w:rPr>
          <w:rFonts w:ascii="Book Antiqua" w:hAnsi="Book Antiqua"/>
          <w:b/>
          <w:sz w:val="28"/>
          <w:lang w:val="es-ES_tradnl"/>
        </w:rPr>
        <w:t>RESOLUCIÓN</w:t>
      </w:r>
    </w:p>
    <w:p w14:paraId="2CB907D3" w14:textId="77777777" w:rsidR="007223FC" w:rsidRDefault="007223FC" w:rsidP="001E0D88">
      <w:pPr>
        <w:jc w:val="both"/>
        <w:rPr>
          <w:rFonts w:ascii="Book Antiqua" w:hAnsi="Book Antiqua"/>
          <w:lang w:val="es-ES_tradnl"/>
        </w:rPr>
      </w:pPr>
    </w:p>
    <w:p w14:paraId="512C5A78" w14:textId="74887448" w:rsidR="00637DD1" w:rsidRPr="00701991" w:rsidRDefault="00FD2623" w:rsidP="00D749B6">
      <w:pPr>
        <w:ind w:left="720" w:hanging="720"/>
        <w:jc w:val="both"/>
        <w:rPr>
          <w:rFonts w:ascii="Book Antiqua" w:hAnsi="Book Antiqua"/>
          <w:lang w:val="es-PR"/>
        </w:rPr>
      </w:pPr>
      <w:r w:rsidRPr="00FD2623">
        <w:rPr>
          <w:rFonts w:ascii="Book Antiqua" w:hAnsi="Book Antiqua"/>
          <w:lang w:val="es-ES_tradnl"/>
        </w:rPr>
        <w:t xml:space="preserve">Para </w:t>
      </w:r>
      <w:r w:rsidR="00243CC2" w:rsidRPr="002248C4">
        <w:rPr>
          <w:rFonts w:ascii="Book Antiqua" w:hAnsi="Book Antiqua"/>
          <w:lang w:val="es-PR"/>
        </w:rPr>
        <w:t xml:space="preserve">ordenar a la Comisión de </w:t>
      </w:r>
      <w:r w:rsidR="00B44241">
        <w:rPr>
          <w:rFonts w:ascii="Book Antiqua" w:hAnsi="Book Antiqua"/>
          <w:lang w:val="es-PR"/>
        </w:rPr>
        <w:t xml:space="preserve">Gobierno de la Cámara de Representantes </w:t>
      </w:r>
      <w:r w:rsidR="00637DD1" w:rsidRPr="00637DD1">
        <w:rPr>
          <w:rFonts w:ascii="Book Antiqua" w:hAnsi="Book Antiqua"/>
          <w:lang w:val="es-PR"/>
        </w:rPr>
        <w:t>que realice una investigación sobre</w:t>
      </w:r>
      <w:r w:rsidR="00637DD1">
        <w:rPr>
          <w:rFonts w:ascii="Book Antiqua" w:hAnsi="Book Antiqua"/>
          <w:lang w:val="es-PR"/>
        </w:rPr>
        <w:t xml:space="preserve"> las intervenciones indebidas por parte de La Fortaleza en</w:t>
      </w:r>
      <w:r w:rsidR="003F2FB1">
        <w:rPr>
          <w:rFonts w:ascii="Book Antiqua" w:hAnsi="Book Antiqua"/>
          <w:lang w:val="es-PR"/>
        </w:rPr>
        <w:t xml:space="preserve"> trámites internos d</w:t>
      </w:r>
      <w:r w:rsidR="00637DD1">
        <w:rPr>
          <w:rFonts w:ascii="Book Antiqua" w:hAnsi="Book Antiqua"/>
          <w:lang w:val="es-PR"/>
        </w:rPr>
        <w:t>el Departamento de Desarrollo Económico y Comercio (DDEC), según las denuncias realizadas por el exsecretario de esa agencia;</w:t>
      </w:r>
      <w:r w:rsidR="003F2FB1">
        <w:rPr>
          <w:rFonts w:ascii="Book Antiqua" w:hAnsi="Book Antiqua"/>
          <w:lang w:val="es-PR"/>
        </w:rPr>
        <w:t xml:space="preserve"> así como</w:t>
      </w:r>
      <w:r w:rsidR="00637DD1">
        <w:rPr>
          <w:rFonts w:ascii="Book Antiqua" w:hAnsi="Book Antiqua"/>
          <w:lang w:val="es-PR"/>
        </w:rPr>
        <w:t xml:space="preserve"> la intervención </w:t>
      </w:r>
      <w:r w:rsidR="000154E1">
        <w:rPr>
          <w:rFonts w:ascii="Book Antiqua" w:hAnsi="Book Antiqua"/>
          <w:lang w:val="es-PR"/>
        </w:rPr>
        <w:t xml:space="preserve">ilegal para favorecer a compañías </w:t>
      </w:r>
      <w:r w:rsidR="00637DD1">
        <w:rPr>
          <w:rFonts w:ascii="Book Antiqua" w:hAnsi="Book Antiqua"/>
          <w:lang w:val="es-PR"/>
        </w:rPr>
        <w:t xml:space="preserve">en procesos competitivos de contratación, específicamente </w:t>
      </w:r>
      <w:r w:rsidR="00BA75E8">
        <w:rPr>
          <w:rFonts w:ascii="Book Antiqua" w:hAnsi="Book Antiqua"/>
          <w:lang w:val="es-PR"/>
        </w:rPr>
        <w:t xml:space="preserve">en </w:t>
      </w:r>
      <w:r w:rsidR="00637DD1">
        <w:rPr>
          <w:rFonts w:ascii="Book Antiqua" w:hAnsi="Book Antiqua"/>
          <w:lang w:val="es-PR"/>
        </w:rPr>
        <w:t>solicitudes de propuestas (RFP, por sus siglas en inglés) en la Oficina de Gerencia de Permisos (</w:t>
      </w:r>
      <w:proofErr w:type="spellStart"/>
      <w:r w:rsidR="00637DD1">
        <w:rPr>
          <w:rFonts w:ascii="Book Antiqua" w:hAnsi="Book Antiqua"/>
          <w:lang w:val="es-PR"/>
        </w:rPr>
        <w:t>OGPe</w:t>
      </w:r>
      <w:proofErr w:type="spellEnd"/>
      <w:r w:rsidR="00637DD1">
        <w:rPr>
          <w:rFonts w:ascii="Book Antiqua" w:hAnsi="Book Antiqua"/>
          <w:lang w:val="es-PR"/>
        </w:rPr>
        <w:t>), adscrita al DDEC;</w:t>
      </w:r>
      <w:r w:rsidR="003F2FB1">
        <w:rPr>
          <w:rFonts w:ascii="Book Antiqua" w:hAnsi="Book Antiqua"/>
          <w:lang w:val="es-PR"/>
        </w:rPr>
        <w:t xml:space="preserve"> </w:t>
      </w:r>
      <w:r w:rsidR="000154E1">
        <w:rPr>
          <w:rFonts w:ascii="Book Antiqua" w:hAnsi="Book Antiqua"/>
          <w:lang w:val="es-PR"/>
        </w:rPr>
        <w:t xml:space="preserve">y </w:t>
      </w:r>
      <w:r w:rsidR="003F2FB1">
        <w:rPr>
          <w:rFonts w:ascii="Book Antiqua" w:hAnsi="Book Antiqua"/>
          <w:lang w:val="es-PR"/>
        </w:rPr>
        <w:t>todo asunto relacionado a</w:t>
      </w:r>
      <w:r w:rsidR="00637DD1">
        <w:rPr>
          <w:rFonts w:ascii="Book Antiqua" w:hAnsi="Book Antiqua"/>
          <w:lang w:val="es-PR"/>
        </w:rPr>
        <w:t>l nombramiento de funcionarios y cualquier otra decisión sobre el manejo de personal en el DDEC</w:t>
      </w:r>
      <w:r w:rsidR="000154E1">
        <w:rPr>
          <w:rFonts w:ascii="Book Antiqua" w:hAnsi="Book Antiqua"/>
          <w:lang w:val="es-PR"/>
        </w:rPr>
        <w:t xml:space="preserve">, incluyendo </w:t>
      </w:r>
      <w:r w:rsidR="00637DD1">
        <w:rPr>
          <w:rFonts w:ascii="Book Antiqua" w:hAnsi="Book Antiqua"/>
          <w:lang w:val="es-PR"/>
        </w:rPr>
        <w:t xml:space="preserve">sus entidades adscritas; y para otros fines relacionados. </w:t>
      </w:r>
    </w:p>
    <w:p w14:paraId="29EEABA2" w14:textId="77777777" w:rsidR="00B92475" w:rsidRPr="00701991" w:rsidRDefault="00B92475" w:rsidP="001E0D88">
      <w:pPr>
        <w:ind w:left="360" w:hanging="360"/>
        <w:jc w:val="both"/>
        <w:rPr>
          <w:rFonts w:ascii="Book Antiqua" w:hAnsi="Book Antiqua"/>
          <w:lang w:val="es-ES_tradnl"/>
        </w:rPr>
      </w:pPr>
    </w:p>
    <w:p w14:paraId="24D42232" w14:textId="0A36AA94" w:rsidR="00BB3E3C" w:rsidRPr="00701991" w:rsidRDefault="007223FC" w:rsidP="00C64D1E">
      <w:pPr>
        <w:jc w:val="center"/>
        <w:rPr>
          <w:rFonts w:ascii="Book Antiqua" w:hAnsi="Book Antiqua"/>
          <w:lang w:val="es-ES_tradnl"/>
        </w:rPr>
      </w:pPr>
      <w:r w:rsidRPr="00701991">
        <w:rPr>
          <w:rFonts w:ascii="Book Antiqua" w:hAnsi="Book Antiqua"/>
          <w:lang w:val="es-ES_tradnl"/>
        </w:rPr>
        <w:t>EXPOSICIÓN DE MOTIVOS</w:t>
      </w:r>
    </w:p>
    <w:p w14:paraId="4CC58073" w14:textId="0511C56F" w:rsidR="00C64D1E" w:rsidRPr="00701991" w:rsidRDefault="00C64D1E" w:rsidP="00C64D1E">
      <w:pPr>
        <w:jc w:val="center"/>
        <w:rPr>
          <w:rFonts w:ascii="Book Antiqua" w:hAnsi="Book Antiqua"/>
          <w:lang w:val="es-ES_tradnl"/>
        </w:rPr>
      </w:pPr>
    </w:p>
    <w:p w14:paraId="56D774B6" w14:textId="4823EE5C" w:rsidR="00587B04" w:rsidRDefault="00C64D1E" w:rsidP="00637DD1">
      <w:pPr>
        <w:ind w:firstLine="360"/>
        <w:jc w:val="both"/>
        <w:rPr>
          <w:rFonts w:ascii="Book Antiqua" w:hAnsi="Book Antiqua"/>
          <w:lang w:val="es-ES_tradnl"/>
        </w:rPr>
      </w:pPr>
      <w:r w:rsidRPr="00701991">
        <w:rPr>
          <w:rFonts w:ascii="Book Antiqua" w:hAnsi="Book Antiqua"/>
          <w:lang w:val="es-ES_tradnl"/>
        </w:rPr>
        <w:tab/>
      </w:r>
      <w:r w:rsidR="00BD7181" w:rsidRPr="00701991">
        <w:rPr>
          <w:rFonts w:ascii="Book Antiqua" w:hAnsi="Book Antiqua"/>
          <w:lang w:val="es-ES_tradnl"/>
        </w:rPr>
        <w:t xml:space="preserve">El </w:t>
      </w:r>
      <w:r w:rsidR="00BA75E8">
        <w:rPr>
          <w:rFonts w:ascii="Book Antiqua" w:hAnsi="Book Antiqua"/>
          <w:lang w:val="es-ES_tradnl"/>
        </w:rPr>
        <w:t>pasado 8 de abril de 2026, la gobernadora Jenniffer González Colón y el entonces secretario del Departamento de Desarrollo Económico (DDEC), Sebastián Negrón Reichard, presentaron ante el país el nuevo “</w:t>
      </w:r>
      <w:r w:rsidR="00BA75E8" w:rsidRPr="00BA75E8">
        <w:rPr>
          <w:rFonts w:ascii="Book Antiqua" w:hAnsi="Book Antiqua"/>
          <w:lang w:val="es-ES_tradnl"/>
        </w:rPr>
        <w:t>Código de Planificación y Permisos</w:t>
      </w:r>
      <w:r w:rsidR="00BA75E8">
        <w:rPr>
          <w:rFonts w:ascii="Book Antiqua" w:hAnsi="Book Antiqua"/>
          <w:lang w:val="es-ES_tradnl"/>
        </w:rPr>
        <w:t>”</w:t>
      </w:r>
      <w:r w:rsidR="0061260D">
        <w:rPr>
          <w:rFonts w:ascii="Book Antiqua" w:hAnsi="Book Antiqua"/>
          <w:lang w:val="es-ES_tradnl"/>
        </w:rPr>
        <w:t>, una ambiciosa propuesta para rediseñar el proceso en el que las agencias gubernamentales expiden los permisos en Puerto Rico</w:t>
      </w:r>
      <w:r w:rsidR="00BA75E8">
        <w:rPr>
          <w:rFonts w:ascii="Book Antiqua" w:hAnsi="Book Antiqua"/>
          <w:lang w:val="es-ES_tradnl"/>
        </w:rPr>
        <w:t>.</w:t>
      </w:r>
      <w:r w:rsidR="00BA75E8">
        <w:rPr>
          <w:rStyle w:val="Refdenotaalpie"/>
          <w:rFonts w:ascii="Book Antiqua" w:hAnsi="Book Antiqua"/>
          <w:lang w:val="es-ES_tradnl"/>
        </w:rPr>
        <w:footnoteReference w:id="1"/>
      </w:r>
    </w:p>
    <w:p w14:paraId="4D6EBFA7" w14:textId="77777777" w:rsidR="00BA75E8" w:rsidRDefault="00BA75E8" w:rsidP="00637DD1">
      <w:pPr>
        <w:ind w:firstLine="360"/>
        <w:jc w:val="both"/>
        <w:rPr>
          <w:rFonts w:ascii="Book Antiqua" w:hAnsi="Book Antiqua"/>
          <w:lang w:val="es-ES_tradnl"/>
        </w:rPr>
      </w:pPr>
    </w:p>
    <w:p w14:paraId="285E7549" w14:textId="1C1D3DA7" w:rsidR="00BA75E8" w:rsidRDefault="00BA75E8" w:rsidP="00637DD1">
      <w:pPr>
        <w:ind w:firstLine="360"/>
        <w:jc w:val="both"/>
        <w:rPr>
          <w:rFonts w:ascii="Book Antiqua" w:hAnsi="Book Antiqua"/>
          <w:lang w:val="es-ES_tradnl"/>
        </w:rPr>
      </w:pPr>
      <w:r>
        <w:rPr>
          <w:rFonts w:ascii="Book Antiqua" w:hAnsi="Book Antiqua"/>
          <w:lang w:val="es-ES_tradnl"/>
        </w:rPr>
        <w:t>Por otra parte, el 14 de mayo de 2026, el entonces secretario auxiliar de la Oficina de Gerencia de Permisos (</w:t>
      </w:r>
      <w:proofErr w:type="spellStart"/>
      <w:r>
        <w:rPr>
          <w:rFonts w:ascii="Book Antiqua" w:hAnsi="Book Antiqua"/>
          <w:lang w:val="es-ES_tradnl"/>
        </w:rPr>
        <w:t>OGPe</w:t>
      </w:r>
      <w:proofErr w:type="spellEnd"/>
      <w:r>
        <w:rPr>
          <w:rFonts w:ascii="Book Antiqua" w:hAnsi="Book Antiqua"/>
          <w:lang w:val="es-ES_tradnl"/>
        </w:rPr>
        <w:t xml:space="preserve">), </w:t>
      </w:r>
      <w:r w:rsidRPr="00BA75E8">
        <w:rPr>
          <w:rFonts w:ascii="Book Antiqua" w:hAnsi="Book Antiqua"/>
          <w:lang w:val="es-ES_tradnl"/>
        </w:rPr>
        <w:t>Norberto Almodóvar Vélez,</w:t>
      </w:r>
      <w:r>
        <w:rPr>
          <w:rFonts w:ascii="Book Antiqua" w:hAnsi="Book Antiqua"/>
          <w:lang w:val="es-ES_tradnl"/>
        </w:rPr>
        <w:t xml:space="preserve"> cursó una misiva a Negrón Reichard en la que defendió al personal de OGPE y </w:t>
      </w:r>
      <w:r w:rsidRPr="00BA75E8">
        <w:rPr>
          <w:rFonts w:ascii="Book Antiqua" w:hAnsi="Book Antiqua"/>
          <w:lang w:val="es-ES_tradnl"/>
        </w:rPr>
        <w:t xml:space="preserve">rechazó lo que describió como una </w:t>
      </w:r>
      <w:r w:rsidRPr="00BA75E8">
        <w:rPr>
          <w:rFonts w:ascii="Book Antiqua" w:hAnsi="Book Antiqua"/>
          <w:lang w:val="es-ES_tradnl"/>
        </w:rPr>
        <w:lastRenderedPageBreak/>
        <w:t>narrativa pública</w:t>
      </w:r>
      <w:r w:rsidR="0079530E">
        <w:rPr>
          <w:rFonts w:ascii="Book Antiqua" w:hAnsi="Book Antiqua"/>
          <w:lang w:val="es-ES_tradnl"/>
        </w:rPr>
        <w:t xml:space="preserve"> </w:t>
      </w:r>
      <w:r w:rsidRPr="00BA75E8">
        <w:rPr>
          <w:rFonts w:ascii="Book Antiqua" w:hAnsi="Book Antiqua"/>
          <w:lang w:val="es-ES_tradnl"/>
        </w:rPr>
        <w:t>que</w:t>
      </w:r>
      <w:r>
        <w:rPr>
          <w:rFonts w:ascii="Book Antiqua" w:hAnsi="Book Antiqua"/>
          <w:lang w:val="es-ES_tradnl"/>
        </w:rPr>
        <w:t xml:space="preserve"> </w:t>
      </w:r>
      <w:r w:rsidRPr="00BA75E8">
        <w:rPr>
          <w:rFonts w:ascii="Book Antiqua" w:hAnsi="Book Antiqua"/>
          <w:lang w:val="es-ES_tradnl"/>
        </w:rPr>
        <w:t xml:space="preserve">menosprecia el trabajo </w:t>
      </w:r>
      <w:r w:rsidR="0079530E">
        <w:rPr>
          <w:rFonts w:ascii="Book Antiqua" w:hAnsi="Book Antiqua"/>
          <w:lang w:val="es-ES_tradnl"/>
        </w:rPr>
        <w:t>de los empleados</w:t>
      </w:r>
      <w:r w:rsidR="00FF5E6E">
        <w:rPr>
          <w:rFonts w:ascii="Book Antiqua" w:hAnsi="Book Antiqua"/>
          <w:lang w:val="es-ES_tradnl"/>
        </w:rPr>
        <w:t xml:space="preserve"> de esa oficina</w:t>
      </w:r>
      <w:r w:rsidRPr="00BA75E8">
        <w:rPr>
          <w:rFonts w:ascii="Book Antiqua" w:hAnsi="Book Antiqua"/>
          <w:lang w:val="es-ES_tradnl"/>
        </w:rPr>
        <w:t xml:space="preserve"> y los presenta injustamente como responsables de los problemas históricos del sistema de permisos.</w:t>
      </w:r>
      <w:r>
        <w:rPr>
          <w:rStyle w:val="Refdenotaalpie"/>
          <w:rFonts w:ascii="Book Antiqua" w:hAnsi="Book Antiqua"/>
          <w:lang w:val="es-ES_tradnl"/>
        </w:rPr>
        <w:footnoteReference w:id="2"/>
      </w:r>
    </w:p>
    <w:p w14:paraId="3D9FDD6A" w14:textId="77777777" w:rsidR="0079530E" w:rsidRDefault="0079530E" w:rsidP="00637DD1">
      <w:pPr>
        <w:ind w:firstLine="360"/>
        <w:jc w:val="both"/>
        <w:rPr>
          <w:rFonts w:ascii="Book Antiqua" w:hAnsi="Book Antiqua"/>
          <w:lang w:val="es-ES_tradnl"/>
        </w:rPr>
      </w:pPr>
    </w:p>
    <w:p w14:paraId="0228EFA4" w14:textId="28D2FE6B" w:rsidR="0079530E" w:rsidRDefault="0079530E" w:rsidP="0079530E">
      <w:pPr>
        <w:ind w:firstLine="360"/>
        <w:jc w:val="both"/>
        <w:rPr>
          <w:rFonts w:ascii="Book Antiqua" w:hAnsi="Book Antiqua"/>
          <w:lang w:val="es-ES_tradnl"/>
        </w:rPr>
      </w:pPr>
      <w:r>
        <w:rPr>
          <w:rFonts w:ascii="Book Antiqua" w:hAnsi="Book Antiqua"/>
          <w:lang w:val="es-ES_tradnl"/>
        </w:rPr>
        <w:t xml:space="preserve">Ese mismo día, Almodóvar Vélez le envió otra carta a Negrón Reichard en la que defendió la autonomía operacional de la </w:t>
      </w:r>
      <w:proofErr w:type="spellStart"/>
      <w:r>
        <w:rPr>
          <w:rFonts w:ascii="Book Antiqua" w:hAnsi="Book Antiqua"/>
          <w:lang w:val="es-ES_tradnl"/>
        </w:rPr>
        <w:t>OGPe</w:t>
      </w:r>
      <w:proofErr w:type="spellEnd"/>
      <w:r>
        <w:rPr>
          <w:rFonts w:ascii="Book Antiqua" w:hAnsi="Book Antiqua"/>
          <w:lang w:val="es-ES_tradnl"/>
        </w:rPr>
        <w:t xml:space="preserve">, en virtud de su ley orgánica y amparado en la </w:t>
      </w:r>
      <w:r w:rsidRPr="0079530E">
        <w:rPr>
          <w:rFonts w:ascii="Book Antiqua" w:hAnsi="Book Antiqua"/>
          <w:lang w:val="es-ES_tradnl"/>
        </w:rPr>
        <w:t>Opinión del Departamento de Justicia, Consulta Núm. A-45-25, emitida el 7 de mayo de</w:t>
      </w:r>
      <w:r>
        <w:rPr>
          <w:rFonts w:ascii="Book Antiqua" w:hAnsi="Book Antiqua"/>
          <w:lang w:val="es-ES_tradnl"/>
        </w:rPr>
        <w:t xml:space="preserve"> </w:t>
      </w:r>
      <w:r w:rsidRPr="0079530E">
        <w:rPr>
          <w:rFonts w:ascii="Book Antiqua" w:hAnsi="Book Antiqua"/>
          <w:lang w:val="es-ES_tradnl"/>
        </w:rPr>
        <w:t>2026 y suscrita por la secretaria de Justicia</w:t>
      </w:r>
      <w:r>
        <w:rPr>
          <w:rFonts w:ascii="Book Antiqua" w:hAnsi="Book Antiqua"/>
          <w:lang w:val="es-ES_tradnl"/>
        </w:rPr>
        <w:t xml:space="preserve">, </w:t>
      </w:r>
      <w:r w:rsidRPr="0079530E">
        <w:rPr>
          <w:rFonts w:ascii="Book Antiqua" w:hAnsi="Book Antiqua"/>
          <w:lang w:val="es-ES_tradnl"/>
        </w:rPr>
        <w:t>Lourdes L. Gómez Torres.</w:t>
      </w:r>
      <w:r>
        <w:rPr>
          <w:rStyle w:val="Refdenotaalpie"/>
          <w:rFonts w:ascii="Book Antiqua" w:hAnsi="Book Antiqua"/>
          <w:lang w:val="es-ES_tradnl"/>
        </w:rPr>
        <w:footnoteReference w:id="3"/>
      </w:r>
    </w:p>
    <w:p w14:paraId="4A3C1D49" w14:textId="77777777" w:rsidR="00B07E9C" w:rsidRDefault="00B07E9C" w:rsidP="0079530E">
      <w:pPr>
        <w:ind w:firstLine="360"/>
        <w:jc w:val="both"/>
        <w:rPr>
          <w:rFonts w:ascii="Book Antiqua" w:hAnsi="Book Antiqua"/>
          <w:lang w:val="es-ES_tradnl"/>
        </w:rPr>
      </w:pPr>
    </w:p>
    <w:p w14:paraId="14846782" w14:textId="16E97238" w:rsidR="00B07E9C" w:rsidRDefault="00B07E9C" w:rsidP="0079530E">
      <w:pPr>
        <w:ind w:firstLine="360"/>
        <w:jc w:val="both"/>
        <w:rPr>
          <w:rFonts w:ascii="Book Antiqua" w:hAnsi="Book Antiqua"/>
          <w:lang w:val="es-ES_tradnl"/>
        </w:rPr>
      </w:pPr>
      <w:r>
        <w:rPr>
          <w:rFonts w:ascii="Book Antiqua" w:hAnsi="Book Antiqua"/>
          <w:lang w:val="es-ES_tradnl"/>
        </w:rPr>
        <w:t>A raíz de estas comunicaciones, se notificó la renuncia de Almodóvar Vélez por “razones personales”, según el secretario de la Gobernación, Francisco Domenech</w:t>
      </w:r>
      <w:r w:rsidR="00FF326D">
        <w:rPr>
          <w:rFonts w:ascii="Book Antiqua" w:hAnsi="Book Antiqua"/>
          <w:lang w:val="es-ES_tradnl"/>
        </w:rPr>
        <w:t>.</w:t>
      </w:r>
      <w:r>
        <w:rPr>
          <w:rFonts w:ascii="Book Antiqua" w:hAnsi="Book Antiqua"/>
          <w:lang w:val="es-ES_tradnl"/>
        </w:rPr>
        <w:t xml:space="preserve"> </w:t>
      </w:r>
      <w:r w:rsidR="00FF326D">
        <w:rPr>
          <w:rFonts w:ascii="Book Antiqua" w:hAnsi="Book Antiqua"/>
          <w:lang w:val="es-ES_tradnl"/>
        </w:rPr>
        <w:t xml:space="preserve">Esta </w:t>
      </w:r>
      <w:r>
        <w:rPr>
          <w:rFonts w:ascii="Book Antiqua" w:hAnsi="Book Antiqua"/>
          <w:lang w:val="es-ES_tradnl"/>
        </w:rPr>
        <w:t xml:space="preserve">versión fue desmentida </w:t>
      </w:r>
      <w:r w:rsidR="00FF326D">
        <w:rPr>
          <w:rFonts w:ascii="Book Antiqua" w:hAnsi="Book Antiqua"/>
          <w:lang w:val="es-ES_tradnl"/>
        </w:rPr>
        <w:t xml:space="preserve">luego </w:t>
      </w:r>
      <w:r>
        <w:rPr>
          <w:rFonts w:ascii="Book Antiqua" w:hAnsi="Book Antiqua"/>
          <w:lang w:val="es-ES_tradnl"/>
        </w:rPr>
        <w:t>por el propio Almodóvar Vélez, quien manifestó que le pidieron la renuncia “a petición de Sebastián Negrón”.</w:t>
      </w:r>
      <w:r>
        <w:rPr>
          <w:rStyle w:val="Refdenotaalpie"/>
          <w:rFonts w:ascii="Book Antiqua" w:hAnsi="Book Antiqua"/>
          <w:lang w:val="es-ES_tradnl"/>
        </w:rPr>
        <w:footnoteReference w:id="4"/>
      </w:r>
    </w:p>
    <w:p w14:paraId="14962B2C" w14:textId="77777777" w:rsidR="00B07E9C" w:rsidRDefault="00B07E9C" w:rsidP="0079530E">
      <w:pPr>
        <w:ind w:firstLine="360"/>
        <w:jc w:val="both"/>
        <w:rPr>
          <w:rFonts w:ascii="Book Antiqua" w:hAnsi="Book Antiqua"/>
          <w:lang w:val="es-ES_tradnl"/>
        </w:rPr>
      </w:pPr>
    </w:p>
    <w:p w14:paraId="6E44FBDE" w14:textId="65E5ED47" w:rsidR="00B07E9C" w:rsidRDefault="00B07E9C" w:rsidP="0079530E">
      <w:pPr>
        <w:ind w:firstLine="360"/>
        <w:jc w:val="both"/>
        <w:rPr>
          <w:rFonts w:ascii="Book Antiqua" w:hAnsi="Book Antiqua"/>
          <w:lang w:val="es-ES_tradnl"/>
        </w:rPr>
      </w:pPr>
      <w:r>
        <w:rPr>
          <w:rFonts w:ascii="Book Antiqua" w:hAnsi="Book Antiqua"/>
          <w:lang w:val="es-ES_tradnl"/>
        </w:rPr>
        <w:t>Asimismo, Negrón Reichard anunció</w:t>
      </w:r>
      <w:r w:rsidR="00BD0FA9">
        <w:rPr>
          <w:rFonts w:ascii="Book Antiqua" w:hAnsi="Book Antiqua"/>
          <w:lang w:val="es-ES_tradnl"/>
        </w:rPr>
        <w:t>,</w:t>
      </w:r>
      <w:r>
        <w:rPr>
          <w:rFonts w:ascii="Book Antiqua" w:hAnsi="Book Antiqua"/>
          <w:lang w:val="es-ES_tradnl"/>
        </w:rPr>
        <w:t xml:space="preserve"> en conferencia de prensa el pasado 18 de mayo</w:t>
      </w:r>
      <w:r w:rsidR="00BD0FA9">
        <w:rPr>
          <w:rFonts w:ascii="Book Antiqua" w:hAnsi="Book Antiqua"/>
          <w:lang w:val="es-ES_tradnl"/>
        </w:rPr>
        <w:t xml:space="preserve">, que refirió a Almodóvar Vélez </w:t>
      </w:r>
      <w:r w:rsidR="00BD0FA9" w:rsidRPr="00BD0FA9">
        <w:rPr>
          <w:rFonts w:ascii="Book Antiqua" w:hAnsi="Book Antiqua"/>
          <w:lang w:val="es-ES_tradnl"/>
        </w:rPr>
        <w:t xml:space="preserve">al Departamento de Justicia, a la Oficina de la Contralora, a la Oficina de Recursos Humanos del </w:t>
      </w:r>
      <w:r w:rsidR="00BD0FA9">
        <w:rPr>
          <w:rFonts w:ascii="Book Antiqua" w:hAnsi="Book Antiqua"/>
          <w:lang w:val="es-ES_tradnl"/>
        </w:rPr>
        <w:t>DDEC</w:t>
      </w:r>
      <w:r w:rsidR="00BD0FA9" w:rsidRPr="00BD0FA9">
        <w:rPr>
          <w:rFonts w:ascii="Book Antiqua" w:hAnsi="Book Antiqua"/>
          <w:lang w:val="es-ES_tradnl"/>
        </w:rPr>
        <w:t xml:space="preserve"> y</w:t>
      </w:r>
      <w:r w:rsidR="00BD0FA9">
        <w:rPr>
          <w:rFonts w:ascii="Book Antiqua" w:hAnsi="Book Antiqua"/>
          <w:lang w:val="es-ES_tradnl"/>
        </w:rPr>
        <w:t xml:space="preserve"> </w:t>
      </w:r>
      <w:r w:rsidR="00BD0FA9" w:rsidRPr="00BD0FA9">
        <w:rPr>
          <w:rFonts w:ascii="Book Antiqua" w:hAnsi="Book Antiqua"/>
          <w:lang w:val="es-ES_tradnl"/>
        </w:rPr>
        <w:t>a la Oficina de Ética Gubernamental</w:t>
      </w:r>
      <w:r w:rsidR="00BD0FA9">
        <w:rPr>
          <w:rFonts w:ascii="Book Antiqua" w:hAnsi="Book Antiqua"/>
          <w:lang w:val="es-ES_tradnl"/>
        </w:rPr>
        <w:t xml:space="preserve"> por presuntamente contar con evidencia </w:t>
      </w:r>
      <w:r w:rsidR="00BD0FA9" w:rsidRPr="00BD0FA9">
        <w:rPr>
          <w:rFonts w:ascii="Book Antiqua" w:hAnsi="Book Antiqua"/>
          <w:lang w:val="es-ES_tradnl"/>
        </w:rPr>
        <w:t xml:space="preserve">que apunta </w:t>
      </w:r>
      <w:r w:rsidR="00BD0FA9">
        <w:rPr>
          <w:rFonts w:ascii="Book Antiqua" w:hAnsi="Book Antiqua"/>
          <w:lang w:val="es-ES_tradnl"/>
        </w:rPr>
        <w:t xml:space="preserve">a </w:t>
      </w:r>
      <w:r w:rsidR="00BD0FA9" w:rsidRPr="00BD0FA9">
        <w:rPr>
          <w:rFonts w:ascii="Book Antiqua" w:hAnsi="Book Antiqua"/>
          <w:lang w:val="es-ES_tradnl"/>
        </w:rPr>
        <w:t>violaciones</w:t>
      </w:r>
      <w:r w:rsidR="00BD0FA9">
        <w:rPr>
          <w:rFonts w:ascii="Book Antiqua" w:hAnsi="Book Antiqua"/>
          <w:lang w:val="es-ES_tradnl"/>
        </w:rPr>
        <w:t xml:space="preserve"> del exsecretario auxiliar de </w:t>
      </w:r>
      <w:proofErr w:type="spellStart"/>
      <w:r w:rsidR="00BD0FA9">
        <w:rPr>
          <w:rFonts w:ascii="Book Antiqua" w:hAnsi="Book Antiqua"/>
          <w:lang w:val="es-ES_tradnl"/>
        </w:rPr>
        <w:t>OGPe</w:t>
      </w:r>
      <w:proofErr w:type="spellEnd"/>
      <w:r w:rsidR="00BD0FA9" w:rsidRPr="00BD0FA9">
        <w:rPr>
          <w:rFonts w:ascii="Book Antiqua" w:hAnsi="Book Antiqua"/>
          <w:lang w:val="es-ES_tradnl"/>
        </w:rPr>
        <w:t xml:space="preserve"> al Código Penal, al Código Anticorrupción, a la regulación federal aplicable a procesos de RFP, </w:t>
      </w:r>
      <w:r w:rsidR="00BD0FA9">
        <w:rPr>
          <w:rFonts w:ascii="Book Antiqua" w:hAnsi="Book Antiqua"/>
          <w:lang w:val="es-ES_tradnl"/>
        </w:rPr>
        <w:t xml:space="preserve">al </w:t>
      </w:r>
      <w:r w:rsidR="00BD0FA9" w:rsidRPr="00BD0FA9">
        <w:rPr>
          <w:rFonts w:ascii="Book Antiqua" w:hAnsi="Book Antiqua"/>
          <w:lang w:val="es-ES_tradnl"/>
        </w:rPr>
        <w:t>Reglamento de Personal del DDEC y a la Ley Orgánica de Ética Gubernamental</w:t>
      </w:r>
      <w:r w:rsidR="00BD0FA9">
        <w:rPr>
          <w:rFonts w:ascii="Book Antiqua" w:hAnsi="Book Antiqua"/>
          <w:lang w:val="es-ES_tradnl"/>
        </w:rPr>
        <w:t>.</w:t>
      </w:r>
      <w:r w:rsidR="00BD0FA9">
        <w:rPr>
          <w:rStyle w:val="Refdenotaalpie"/>
          <w:rFonts w:ascii="Book Antiqua" w:hAnsi="Book Antiqua"/>
          <w:lang w:val="es-ES_tradnl"/>
        </w:rPr>
        <w:footnoteReference w:id="5"/>
      </w:r>
    </w:p>
    <w:p w14:paraId="58007614" w14:textId="77777777" w:rsidR="00BD0FA9" w:rsidRDefault="00BD0FA9" w:rsidP="0079530E">
      <w:pPr>
        <w:ind w:firstLine="360"/>
        <w:jc w:val="both"/>
        <w:rPr>
          <w:rFonts w:ascii="Book Antiqua" w:hAnsi="Book Antiqua"/>
          <w:lang w:val="es-ES_tradnl"/>
        </w:rPr>
      </w:pPr>
    </w:p>
    <w:p w14:paraId="450A46E4" w14:textId="14CF7D67" w:rsidR="00BD0FA9" w:rsidRDefault="00BD0FA9" w:rsidP="0079530E">
      <w:pPr>
        <w:ind w:firstLine="360"/>
        <w:jc w:val="both"/>
        <w:rPr>
          <w:rFonts w:ascii="Book Antiqua" w:hAnsi="Book Antiqua"/>
          <w:lang w:val="es-ES_tradnl"/>
        </w:rPr>
      </w:pPr>
      <w:r>
        <w:rPr>
          <w:rFonts w:ascii="Book Antiqua" w:hAnsi="Book Antiqua"/>
          <w:lang w:val="es-ES_tradnl"/>
        </w:rPr>
        <w:t xml:space="preserve">Según Negrón Reichard, </w:t>
      </w:r>
      <w:r w:rsidRPr="00BD0FA9">
        <w:rPr>
          <w:rFonts w:ascii="Book Antiqua" w:hAnsi="Book Antiqua"/>
          <w:lang w:val="es-ES_tradnl"/>
        </w:rPr>
        <w:t>una investigación realizada por el bufete HRML, LLC</w:t>
      </w:r>
      <w:r w:rsidR="00FF326D">
        <w:rPr>
          <w:rFonts w:ascii="Book Antiqua" w:hAnsi="Book Antiqua"/>
          <w:lang w:val="es-ES_tradnl"/>
        </w:rPr>
        <w:t>.</w:t>
      </w:r>
      <w:r w:rsidRPr="00BD0FA9">
        <w:rPr>
          <w:rFonts w:ascii="Book Antiqua" w:hAnsi="Book Antiqua"/>
          <w:lang w:val="es-ES_tradnl"/>
        </w:rPr>
        <w:t>, reveló una “extensa, compleja y desafortunada saga” de acciones por parte de Almodóvar y su jefa de personal, Charlene Neuman, entre ellas haber intentado intervenir en un proceso competitivo</w:t>
      </w:r>
      <w:r>
        <w:rPr>
          <w:rFonts w:ascii="Book Antiqua" w:hAnsi="Book Antiqua"/>
          <w:lang w:val="es-ES_tradnl"/>
        </w:rPr>
        <w:t xml:space="preserve"> (RFP, por sus siglas en inglés)</w:t>
      </w:r>
      <w:r w:rsidRPr="00BD0FA9">
        <w:rPr>
          <w:rFonts w:ascii="Book Antiqua" w:hAnsi="Book Antiqua"/>
          <w:lang w:val="es-ES_tradnl"/>
        </w:rPr>
        <w:t xml:space="preserve"> para la otorgación de un contrato con fondos federales</w:t>
      </w:r>
      <w:r>
        <w:rPr>
          <w:rFonts w:ascii="Book Antiqua" w:hAnsi="Book Antiqua"/>
          <w:lang w:val="es-ES_tradnl"/>
        </w:rPr>
        <w:t xml:space="preserve">. </w:t>
      </w:r>
    </w:p>
    <w:p w14:paraId="4704E472" w14:textId="77777777" w:rsidR="00DA20A0" w:rsidRDefault="00DA20A0" w:rsidP="0079530E">
      <w:pPr>
        <w:ind w:firstLine="360"/>
        <w:jc w:val="both"/>
        <w:rPr>
          <w:rFonts w:ascii="Book Antiqua" w:hAnsi="Book Antiqua"/>
          <w:lang w:val="es-ES_tradnl"/>
        </w:rPr>
      </w:pPr>
    </w:p>
    <w:p w14:paraId="0E956915" w14:textId="267BB35A" w:rsidR="00DA20A0" w:rsidRDefault="00DA20A0" w:rsidP="0079530E">
      <w:pPr>
        <w:ind w:firstLine="360"/>
        <w:jc w:val="both"/>
        <w:rPr>
          <w:rFonts w:ascii="Book Antiqua" w:hAnsi="Book Antiqua"/>
          <w:lang w:val="es-ES_tradnl"/>
        </w:rPr>
      </w:pPr>
      <w:r>
        <w:rPr>
          <w:rFonts w:ascii="Book Antiqua" w:hAnsi="Book Antiqua"/>
          <w:lang w:val="es-ES_tradnl"/>
        </w:rPr>
        <w:t xml:space="preserve">No obstante, ese mismo día en la noche, Almodóvar Vélez dijo en una entrevista televisiva que </w:t>
      </w:r>
      <w:r w:rsidRPr="00DA20A0">
        <w:rPr>
          <w:rFonts w:ascii="Book Antiqua" w:hAnsi="Book Antiqua"/>
          <w:lang w:val="es-ES_tradnl"/>
        </w:rPr>
        <w:t xml:space="preserve">detuvo </w:t>
      </w:r>
      <w:r>
        <w:rPr>
          <w:rFonts w:ascii="Book Antiqua" w:hAnsi="Book Antiqua"/>
          <w:lang w:val="es-ES_tradnl"/>
        </w:rPr>
        <w:t>el proceso de RFP</w:t>
      </w:r>
      <w:r w:rsidRPr="00DA20A0">
        <w:rPr>
          <w:rFonts w:ascii="Book Antiqua" w:hAnsi="Book Antiqua"/>
          <w:lang w:val="es-ES_tradnl"/>
        </w:rPr>
        <w:t xml:space="preserve"> luego de que supo de una investigación del Centro de Periodismo Investigativo que puso en duda a una de las empresas</w:t>
      </w:r>
      <w:r>
        <w:rPr>
          <w:rFonts w:ascii="Book Antiqua" w:hAnsi="Book Antiqua"/>
          <w:lang w:val="es-ES_tradnl"/>
        </w:rPr>
        <w:t>, y r</w:t>
      </w:r>
      <w:r w:rsidRPr="00DA20A0">
        <w:rPr>
          <w:rFonts w:ascii="Book Antiqua" w:hAnsi="Book Antiqua"/>
          <w:lang w:val="es-ES_tradnl"/>
        </w:rPr>
        <w:t>echazó que su intención fuese beneficiar al que no se llevó la subasta.</w:t>
      </w:r>
      <w:r>
        <w:rPr>
          <w:rFonts w:ascii="Book Antiqua" w:hAnsi="Book Antiqua"/>
          <w:lang w:val="es-ES_tradnl"/>
        </w:rPr>
        <w:t xml:space="preserve"> Además, indicó que Negrón Reichard quería beneficiar a una de las empresas licitadoras</w:t>
      </w:r>
      <w:r w:rsidR="00BE20A4">
        <w:rPr>
          <w:rFonts w:ascii="Book Antiqua" w:hAnsi="Book Antiqua"/>
          <w:lang w:val="es-ES_tradnl"/>
        </w:rPr>
        <w:t xml:space="preserve"> y lo acusó de “persecución”.</w:t>
      </w:r>
      <w:r w:rsidR="00BE20A4">
        <w:rPr>
          <w:rStyle w:val="Refdenotaalpie"/>
          <w:rFonts w:ascii="Book Antiqua" w:hAnsi="Book Antiqua"/>
          <w:lang w:val="es-ES_tradnl"/>
        </w:rPr>
        <w:footnoteReference w:id="6"/>
      </w:r>
    </w:p>
    <w:p w14:paraId="190C00B8" w14:textId="77777777" w:rsidR="00BE20A4" w:rsidRDefault="00BE20A4" w:rsidP="0079530E">
      <w:pPr>
        <w:ind w:firstLine="360"/>
        <w:jc w:val="both"/>
        <w:rPr>
          <w:rFonts w:ascii="Book Antiqua" w:hAnsi="Book Antiqua"/>
          <w:lang w:val="es-ES_tradnl"/>
        </w:rPr>
      </w:pPr>
    </w:p>
    <w:p w14:paraId="48C69695" w14:textId="7F923DA8" w:rsidR="00BE20A4" w:rsidRDefault="00AD5453" w:rsidP="0079530E">
      <w:pPr>
        <w:ind w:firstLine="360"/>
        <w:jc w:val="both"/>
        <w:rPr>
          <w:rFonts w:ascii="Book Antiqua" w:hAnsi="Book Antiqua"/>
          <w:lang w:val="es-ES_tradnl"/>
        </w:rPr>
      </w:pPr>
      <w:r>
        <w:rPr>
          <w:rFonts w:ascii="Book Antiqua" w:hAnsi="Book Antiqua"/>
          <w:lang w:val="es-ES_tradnl"/>
        </w:rPr>
        <w:lastRenderedPageBreak/>
        <w:t>Luego de estas imputaciones, señalamientos y referidos, Negrón Reichard renunció como secretario del DDEC, efectivo el 26 de mayo, y expresó</w:t>
      </w:r>
      <w:r w:rsidR="000A336E">
        <w:rPr>
          <w:rFonts w:ascii="Book Antiqua" w:hAnsi="Book Antiqua"/>
          <w:lang w:val="es-ES_tradnl"/>
        </w:rPr>
        <w:t xml:space="preserve"> lo siguiente</w:t>
      </w:r>
      <w:r>
        <w:rPr>
          <w:rFonts w:ascii="Book Antiqua" w:hAnsi="Book Antiqua"/>
          <w:lang w:val="es-ES_tradnl"/>
        </w:rPr>
        <w:t xml:space="preserve">: “A partir de </w:t>
      </w:r>
      <w:r w:rsidRPr="00AD5453">
        <w:rPr>
          <w:rFonts w:ascii="Book Antiqua" w:hAnsi="Book Antiqua"/>
          <w:lang w:val="es-ES_tradnl"/>
        </w:rPr>
        <w:t>que refiriera a las autoridades correspondientes los hallazgos de una evaluación sobre un proceso competitivo, las acciones tomadas posteriormente por La Fortaleza hacen imposible continuar ejerciendo el cargo con la integridad y la autonomía que el rol requiere y que todo secretario le debe a la ciudadanía</w:t>
      </w:r>
      <w:r>
        <w:rPr>
          <w:rFonts w:ascii="Book Antiqua" w:hAnsi="Book Antiqua"/>
          <w:lang w:val="es-ES_tradnl"/>
        </w:rPr>
        <w:t>”</w:t>
      </w:r>
      <w:r w:rsidRPr="00AD5453">
        <w:rPr>
          <w:rFonts w:ascii="Book Antiqua" w:hAnsi="Book Antiqua"/>
          <w:lang w:val="es-ES_tradnl"/>
        </w:rPr>
        <w:t>.</w:t>
      </w:r>
      <w:r>
        <w:rPr>
          <w:rStyle w:val="Refdenotaalpie"/>
          <w:rFonts w:ascii="Book Antiqua" w:hAnsi="Book Antiqua"/>
          <w:lang w:val="es-ES_tradnl"/>
        </w:rPr>
        <w:footnoteReference w:id="7"/>
      </w:r>
    </w:p>
    <w:p w14:paraId="02953958" w14:textId="77777777" w:rsidR="00AD5453" w:rsidRDefault="00AD5453" w:rsidP="0079530E">
      <w:pPr>
        <w:ind w:firstLine="360"/>
        <w:jc w:val="both"/>
        <w:rPr>
          <w:rFonts w:ascii="Book Antiqua" w:hAnsi="Book Antiqua"/>
          <w:lang w:val="es-ES_tradnl"/>
        </w:rPr>
      </w:pPr>
    </w:p>
    <w:p w14:paraId="05DA8F0E" w14:textId="2EFE0AA3" w:rsidR="00AD5453" w:rsidRDefault="00AD5453" w:rsidP="000A336E">
      <w:pPr>
        <w:ind w:firstLine="360"/>
        <w:jc w:val="both"/>
        <w:rPr>
          <w:rFonts w:ascii="Book Antiqua" w:hAnsi="Book Antiqua"/>
          <w:lang w:val="es-ES_tradnl"/>
        </w:rPr>
      </w:pPr>
      <w:r>
        <w:rPr>
          <w:rFonts w:ascii="Book Antiqua" w:hAnsi="Book Antiqua"/>
          <w:lang w:val="es-ES_tradnl"/>
        </w:rPr>
        <w:t>Negrón Reichard alega que hubo</w:t>
      </w:r>
      <w:r w:rsidRPr="00AD5453">
        <w:rPr>
          <w:rFonts w:ascii="Book Antiqua" w:hAnsi="Book Antiqua"/>
          <w:lang w:val="es-ES_tradnl"/>
        </w:rPr>
        <w:t xml:space="preserve"> intervenciones realizadas por otros funcionarios en asuntos cuya </w:t>
      </w:r>
      <w:r w:rsidR="00FF326D">
        <w:rPr>
          <w:rFonts w:ascii="Book Antiqua" w:hAnsi="Book Antiqua"/>
          <w:lang w:val="es-ES_tradnl"/>
        </w:rPr>
        <w:t>autoridad recae únicamente sobre el</w:t>
      </w:r>
      <w:r w:rsidRPr="00AD5453">
        <w:rPr>
          <w:rFonts w:ascii="Book Antiqua" w:hAnsi="Book Antiqua"/>
          <w:lang w:val="es-ES_tradnl"/>
        </w:rPr>
        <w:t xml:space="preserve"> secretario</w:t>
      </w:r>
      <w:r>
        <w:rPr>
          <w:rFonts w:ascii="Book Antiqua" w:hAnsi="Book Antiqua"/>
          <w:lang w:val="es-ES_tradnl"/>
        </w:rPr>
        <w:t xml:space="preserve"> del DDEC</w:t>
      </w:r>
      <w:r w:rsidRPr="00AD5453">
        <w:rPr>
          <w:rFonts w:ascii="Book Antiqua" w:hAnsi="Book Antiqua"/>
          <w:lang w:val="es-ES_tradnl"/>
        </w:rPr>
        <w:t xml:space="preserve"> </w:t>
      </w:r>
      <w:r w:rsidR="00FF326D">
        <w:rPr>
          <w:rFonts w:ascii="Book Antiqua" w:hAnsi="Book Antiqua"/>
          <w:lang w:val="es-ES_tradnl"/>
        </w:rPr>
        <w:t xml:space="preserve">según la ley, </w:t>
      </w:r>
      <w:r w:rsidRPr="00AD5453">
        <w:rPr>
          <w:rFonts w:ascii="Book Antiqua" w:hAnsi="Book Antiqua"/>
          <w:lang w:val="es-ES_tradnl"/>
        </w:rPr>
        <w:t>lo que ha tenido implicaciones directas sobre la gobernanza interna y la estabilidad institucional de</w:t>
      </w:r>
      <w:r w:rsidR="000A336E">
        <w:rPr>
          <w:rFonts w:ascii="Book Antiqua" w:hAnsi="Book Antiqua"/>
          <w:lang w:val="es-ES_tradnl"/>
        </w:rPr>
        <w:t xml:space="preserve"> la agencia</w:t>
      </w:r>
      <w:r w:rsidRPr="00AD5453">
        <w:rPr>
          <w:rFonts w:ascii="Book Antiqua" w:hAnsi="Book Antiqua"/>
          <w:lang w:val="es-ES_tradnl"/>
        </w:rPr>
        <w:t>.</w:t>
      </w:r>
      <w:r w:rsidR="000A336E">
        <w:rPr>
          <w:rFonts w:ascii="Book Antiqua" w:hAnsi="Book Antiqua"/>
          <w:lang w:val="es-ES_tradnl"/>
        </w:rPr>
        <w:t xml:space="preserve"> </w:t>
      </w:r>
      <w:r w:rsidRPr="00AD5453">
        <w:rPr>
          <w:rFonts w:ascii="Book Antiqua" w:hAnsi="Book Antiqua"/>
          <w:lang w:val="es-ES_tradnl"/>
        </w:rPr>
        <w:t>Entre las acciones tomadas figura la revocación de las dos suspensiones sumarias impuestas tras los hallazgos de la evaluación relacionada con alegadas intervenciones indebidas en procesos de contratación, divulgada la semana pasada.</w:t>
      </w:r>
    </w:p>
    <w:p w14:paraId="6E1BF1CA" w14:textId="77777777" w:rsidR="000A336E" w:rsidRDefault="000A336E" w:rsidP="000A336E">
      <w:pPr>
        <w:ind w:firstLine="360"/>
        <w:jc w:val="both"/>
        <w:rPr>
          <w:rFonts w:ascii="Book Antiqua" w:hAnsi="Book Antiqua"/>
          <w:lang w:val="es-ES_tradnl"/>
        </w:rPr>
      </w:pPr>
    </w:p>
    <w:p w14:paraId="1C6D300D" w14:textId="6B8B02DE" w:rsidR="000A336E" w:rsidRDefault="000A336E" w:rsidP="000A336E">
      <w:pPr>
        <w:ind w:firstLine="360"/>
        <w:jc w:val="both"/>
        <w:rPr>
          <w:rFonts w:ascii="Book Antiqua" w:hAnsi="Book Antiqua"/>
          <w:lang w:val="es-ES_tradnl"/>
        </w:rPr>
      </w:pPr>
      <w:r w:rsidRPr="000A336E">
        <w:rPr>
          <w:rFonts w:ascii="Book Antiqua" w:hAnsi="Book Antiqua"/>
          <w:lang w:val="es-ES_tradnl"/>
        </w:rPr>
        <w:t xml:space="preserve">En medio de este escenario, más de una decena de funcionarios con puestos de liderato dentro del DDEC optaron por presentar su renuncia. Entre ellos figuran la jefa de personal; la persona encargada de las iniciativas estratégicas y la transformación del sistema de permisos; el asesor legal general; la principal oficial de finanzas del DDEC y </w:t>
      </w:r>
      <w:r>
        <w:rPr>
          <w:rFonts w:ascii="Book Antiqua" w:hAnsi="Book Antiqua"/>
          <w:lang w:val="es-ES_tradnl"/>
        </w:rPr>
        <w:t>PRIDCO</w:t>
      </w:r>
      <w:r w:rsidRPr="000A336E">
        <w:rPr>
          <w:rFonts w:ascii="Book Antiqua" w:hAnsi="Book Antiqua"/>
          <w:lang w:val="es-ES_tradnl"/>
        </w:rPr>
        <w:t xml:space="preserve"> (Compañía de Fomento Industrial); el director de la Oficina de Incentivos; el líder de los esfuerzos de </w:t>
      </w:r>
      <w:proofErr w:type="spellStart"/>
      <w:r w:rsidRPr="000A336E">
        <w:rPr>
          <w:rFonts w:ascii="Book Antiqua" w:hAnsi="Book Antiqua"/>
          <w:i/>
          <w:iCs/>
          <w:lang w:val="es-ES_tradnl"/>
        </w:rPr>
        <w:t>reshoring</w:t>
      </w:r>
      <w:proofErr w:type="spellEnd"/>
      <w:r w:rsidRPr="000A336E">
        <w:rPr>
          <w:rFonts w:ascii="Book Antiqua" w:hAnsi="Book Antiqua"/>
          <w:lang w:val="es-ES_tradnl"/>
        </w:rPr>
        <w:t xml:space="preserve"> y semiconductores; la persona responsable del </w:t>
      </w:r>
      <w:proofErr w:type="spellStart"/>
      <w:r w:rsidRPr="000A336E">
        <w:rPr>
          <w:rFonts w:ascii="Book Antiqua" w:hAnsi="Book Antiqua"/>
          <w:i/>
          <w:iCs/>
          <w:lang w:val="es-ES_tradnl"/>
        </w:rPr>
        <w:t>concierge</w:t>
      </w:r>
      <w:proofErr w:type="spellEnd"/>
      <w:r w:rsidRPr="000A336E">
        <w:rPr>
          <w:rFonts w:ascii="Book Antiqua" w:hAnsi="Book Antiqua"/>
          <w:lang w:val="es-ES_tradnl"/>
        </w:rPr>
        <w:t xml:space="preserve"> ejecutivo; el director de la división de Rones de Puerto Rico; la persona a cargo de la estrategia de carga aérea; y el director de comunicaciones, entre otros.</w:t>
      </w:r>
    </w:p>
    <w:p w14:paraId="642F0B7E" w14:textId="77777777" w:rsidR="000A336E" w:rsidRDefault="000A336E" w:rsidP="000A336E">
      <w:pPr>
        <w:ind w:firstLine="360"/>
        <w:jc w:val="both"/>
        <w:rPr>
          <w:rFonts w:ascii="Book Antiqua" w:hAnsi="Book Antiqua"/>
          <w:lang w:val="es-ES_tradnl"/>
        </w:rPr>
      </w:pPr>
    </w:p>
    <w:p w14:paraId="4A164A2C" w14:textId="632221D6" w:rsidR="000A336E" w:rsidRPr="00AD5453" w:rsidRDefault="00E77A47" w:rsidP="000A336E">
      <w:pPr>
        <w:ind w:firstLine="360"/>
        <w:jc w:val="both"/>
        <w:rPr>
          <w:rFonts w:ascii="Book Antiqua" w:hAnsi="Book Antiqua"/>
          <w:lang w:val="es-ES_tradnl"/>
        </w:rPr>
      </w:pPr>
      <w:r>
        <w:rPr>
          <w:rFonts w:ascii="Book Antiqua" w:hAnsi="Book Antiqua"/>
          <w:lang w:val="es-ES_tradnl"/>
        </w:rPr>
        <w:t>La revelación de Negrón Reichard de intervenciones y presiones indebidas por parte de La Fortaleza en asuntos de contratación y manejo de personal dentro del DDEC, en violación a la ley orgánica de esa agencia, es sumamente preocupante y meritorio de que esta Cámara de Representantes investigue para asegurarse de que no se continúe</w:t>
      </w:r>
      <w:r w:rsidR="00FF5E6E">
        <w:rPr>
          <w:rFonts w:ascii="Book Antiqua" w:hAnsi="Book Antiqua"/>
          <w:lang w:val="es-ES_tradnl"/>
        </w:rPr>
        <w:t xml:space="preserve"> violando</w:t>
      </w:r>
      <w:r>
        <w:rPr>
          <w:rFonts w:ascii="Book Antiqua" w:hAnsi="Book Antiqua"/>
          <w:lang w:val="es-ES_tradnl"/>
        </w:rPr>
        <w:t xml:space="preserve"> la ley y que se atiendan lo antes posible estas denuncias de corrupción. </w:t>
      </w:r>
    </w:p>
    <w:p w14:paraId="6CBE5D9B" w14:textId="77777777" w:rsidR="00E562B3" w:rsidRDefault="00E562B3" w:rsidP="00E562B3">
      <w:pPr>
        <w:ind w:firstLine="360"/>
        <w:jc w:val="both"/>
        <w:rPr>
          <w:rFonts w:ascii="Book Antiqua" w:hAnsi="Book Antiqua"/>
          <w:lang w:val="es-ES_tradnl"/>
        </w:rPr>
      </w:pPr>
    </w:p>
    <w:p w14:paraId="4B0259F8" w14:textId="78C93944" w:rsidR="00E77A47" w:rsidRDefault="00E77A47" w:rsidP="00E562B3">
      <w:pPr>
        <w:ind w:firstLine="360"/>
        <w:jc w:val="both"/>
        <w:rPr>
          <w:rFonts w:ascii="Book Antiqua" w:hAnsi="Book Antiqua"/>
          <w:lang w:val="es-ES_tradnl"/>
        </w:rPr>
      </w:pPr>
      <w:r>
        <w:rPr>
          <w:rFonts w:ascii="Book Antiqua" w:hAnsi="Book Antiqua"/>
          <w:lang w:val="es-ES_tradnl"/>
        </w:rPr>
        <w:t xml:space="preserve">Igualmente, es imprescindible aclarar </w:t>
      </w:r>
      <w:r w:rsidR="00FF326D">
        <w:rPr>
          <w:rFonts w:ascii="Book Antiqua" w:hAnsi="Book Antiqua"/>
          <w:lang w:val="es-ES_tradnl"/>
        </w:rPr>
        <w:t>la veracidad de las alegaciones</w:t>
      </w:r>
      <w:r>
        <w:rPr>
          <w:rFonts w:ascii="Book Antiqua" w:hAnsi="Book Antiqua"/>
          <w:lang w:val="es-ES_tradnl"/>
        </w:rPr>
        <w:t xml:space="preserve"> en torno a la adjudicación del RFP que le costó el puesto a Almodóvar Vélez, ya que se están acusando mutuamente este último y Negrón Reichard sobre intereses encontrados para favorecer a compañías licitadoras distintas</w:t>
      </w:r>
      <w:r w:rsidR="00FF5E6E">
        <w:rPr>
          <w:rFonts w:ascii="Book Antiqua" w:hAnsi="Book Antiqua"/>
          <w:lang w:val="es-ES_tradnl"/>
        </w:rPr>
        <w:t xml:space="preserve"> al momento de otorgar un contrato con fondos federales</w:t>
      </w:r>
      <w:r>
        <w:rPr>
          <w:rFonts w:ascii="Book Antiqua" w:hAnsi="Book Antiqua"/>
          <w:lang w:val="es-ES_tradnl"/>
        </w:rPr>
        <w:t xml:space="preserve">. </w:t>
      </w:r>
    </w:p>
    <w:p w14:paraId="7C5AB558" w14:textId="77777777" w:rsidR="0042511E" w:rsidRDefault="0042511E" w:rsidP="00E562B3">
      <w:pPr>
        <w:ind w:firstLine="360"/>
        <w:jc w:val="both"/>
        <w:rPr>
          <w:rFonts w:ascii="Book Antiqua" w:hAnsi="Book Antiqua"/>
          <w:lang w:val="es-ES_tradnl"/>
        </w:rPr>
      </w:pPr>
    </w:p>
    <w:p w14:paraId="7AE969AA" w14:textId="3C18FA0B" w:rsidR="0042511E" w:rsidRDefault="0042511E" w:rsidP="00E562B3">
      <w:pPr>
        <w:ind w:firstLine="360"/>
        <w:jc w:val="both"/>
        <w:rPr>
          <w:rFonts w:ascii="Book Antiqua" w:hAnsi="Book Antiqua"/>
          <w:lang w:val="es-ES_tradnl"/>
        </w:rPr>
      </w:pPr>
      <w:r>
        <w:rPr>
          <w:rFonts w:ascii="Book Antiqua" w:hAnsi="Book Antiqua"/>
          <w:lang w:val="es-ES_tradnl"/>
        </w:rPr>
        <w:t>El DDEC es una agencia fundamental para posicionar a Puerto Rico como un destino competitivo y listo para estimular nuestra economía, crear empleos y fomentar la inversión; sin embargo, no puede continuar siendo rehén de la lucha de poder y guerra de contratos que el partido de gobierno ha promulgado. Actualmente</w:t>
      </w:r>
      <w:r w:rsidR="00D8376B">
        <w:rPr>
          <w:rFonts w:ascii="Book Antiqua" w:hAnsi="Book Antiqua"/>
          <w:lang w:val="es-ES_tradnl"/>
        </w:rPr>
        <w:t>,</w:t>
      </w:r>
      <w:r>
        <w:rPr>
          <w:rFonts w:ascii="Book Antiqua" w:hAnsi="Book Antiqua"/>
          <w:lang w:val="es-ES_tradnl"/>
        </w:rPr>
        <w:t xml:space="preserve"> se encuentra </w:t>
      </w:r>
      <w:r>
        <w:rPr>
          <w:rFonts w:ascii="Book Antiqua" w:hAnsi="Book Antiqua"/>
          <w:lang w:val="es-ES_tradnl"/>
        </w:rPr>
        <w:lastRenderedPageBreak/>
        <w:t xml:space="preserve">descabezado en todas sus divisiones y áreas más importantes, lo que tiene un </w:t>
      </w:r>
      <w:r w:rsidR="004B6613">
        <w:rPr>
          <w:rFonts w:ascii="Book Antiqua" w:hAnsi="Book Antiqua"/>
          <w:lang w:val="es-ES_tradnl"/>
        </w:rPr>
        <w:t>efecto</w:t>
      </w:r>
      <w:r>
        <w:rPr>
          <w:rFonts w:ascii="Book Antiqua" w:hAnsi="Book Antiqua"/>
          <w:lang w:val="es-ES_tradnl"/>
        </w:rPr>
        <w:t xml:space="preserve"> nocivo y devastador a la</w:t>
      </w:r>
      <w:r w:rsidR="00D8376B">
        <w:rPr>
          <w:rFonts w:ascii="Book Antiqua" w:hAnsi="Book Antiqua"/>
          <w:lang w:val="es-ES_tradnl"/>
        </w:rPr>
        <w:t xml:space="preserve"> hora de </w:t>
      </w:r>
      <w:r>
        <w:rPr>
          <w:rFonts w:ascii="Book Antiqua" w:hAnsi="Book Antiqua"/>
          <w:lang w:val="es-ES_tradnl"/>
        </w:rPr>
        <w:t>brindarle un servicio de calidad a nuestra ciudadanía.</w:t>
      </w:r>
    </w:p>
    <w:p w14:paraId="0B8BC6DE" w14:textId="77777777" w:rsidR="00E77A47" w:rsidRDefault="00E77A47" w:rsidP="00E562B3">
      <w:pPr>
        <w:ind w:firstLine="360"/>
        <w:jc w:val="both"/>
        <w:rPr>
          <w:rFonts w:ascii="Book Antiqua" w:hAnsi="Book Antiqua"/>
          <w:lang w:val="es-ES_tradnl"/>
        </w:rPr>
      </w:pPr>
    </w:p>
    <w:p w14:paraId="380CCBF2" w14:textId="6952424B" w:rsidR="00E562B3" w:rsidRPr="00FF6CA8" w:rsidRDefault="00E562B3" w:rsidP="00E562B3">
      <w:pPr>
        <w:ind w:firstLine="360"/>
        <w:jc w:val="both"/>
        <w:rPr>
          <w:rFonts w:ascii="Book Antiqua" w:hAnsi="Book Antiqua"/>
          <w:b/>
          <w:lang w:val="es-PR"/>
        </w:rPr>
      </w:pPr>
      <w:r>
        <w:rPr>
          <w:rFonts w:ascii="Book Antiqua" w:hAnsi="Book Antiqua"/>
          <w:lang w:val="es-ES_tradnl"/>
        </w:rPr>
        <w:t xml:space="preserve">Por </w:t>
      </w:r>
      <w:r w:rsidR="00CF1174">
        <w:rPr>
          <w:rFonts w:ascii="Book Antiqua" w:hAnsi="Book Antiqua"/>
          <w:lang w:val="es-ES_tradnl"/>
        </w:rPr>
        <w:t>otro lado</w:t>
      </w:r>
      <w:r>
        <w:rPr>
          <w:rFonts w:ascii="Book Antiqua" w:hAnsi="Book Antiqua"/>
          <w:lang w:val="es-ES_tradnl"/>
        </w:rPr>
        <w:t xml:space="preserve">, es </w:t>
      </w:r>
      <w:r w:rsidRPr="00FF6CA8">
        <w:rPr>
          <w:rFonts w:ascii="Book Antiqua" w:hAnsi="Book Antiqua"/>
          <w:lang w:val="es-PR"/>
        </w:rPr>
        <w:t xml:space="preserve">doctrina constitucional que la Asamblea Legislativa tiene “la facultad y el deber … de fiscalizar la ejecución de la política pública y la conducta de los jefes de departamentos mediante el ejercicio de sus vastos poderes de investigación, citación, vistas públicas, asignación de fondos y aprobación del Presupuesto General”. </w:t>
      </w:r>
      <w:r w:rsidRPr="00FF6CA8">
        <w:rPr>
          <w:rFonts w:ascii="Book Antiqua" w:hAnsi="Book Antiqua"/>
          <w:u w:val="single"/>
          <w:lang w:val="es-PR"/>
        </w:rPr>
        <w:t>Hernández Agosto v. Romero Barceló,</w:t>
      </w:r>
      <w:r w:rsidRPr="00FF6CA8">
        <w:rPr>
          <w:rFonts w:ascii="Book Antiqua" w:hAnsi="Book Antiqua"/>
          <w:lang w:val="es-PR"/>
        </w:rPr>
        <w:t xml:space="preserve"> 112 D.P.R. 407, 428 (1982).</w:t>
      </w:r>
      <w:r w:rsidRPr="00FF6CA8">
        <w:rPr>
          <w:rFonts w:ascii="Book Antiqua" w:hAnsi="Book Antiqua"/>
          <w:b/>
          <w:lang w:val="es-PR"/>
        </w:rPr>
        <w:t xml:space="preserve"> </w:t>
      </w:r>
    </w:p>
    <w:p w14:paraId="5DF8D110" w14:textId="77777777" w:rsidR="00E562B3" w:rsidRDefault="00E562B3" w:rsidP="00E562B3">
      <w:pPr>
        <w:ind w:firstLine="360"/>
        <w:jc w:val="both"/>
        <w:rPr>
          <w:rFonts w:ascii="Book Antiqua" w:hAnsi="Book Antiqua"/>
          <w:lang w:val="es-ES_tradnl"/>
        </w:rPr>
      </w:pPr>
    </w:p>
    <w:p w14:paraId="2D793DF6" w14:textId="153913D8" w:rsidR="00E562B3" w:rsidRDefault="00E562B3" w:rsidP="00E562B3">
      <w:pPr>
        <w:ind w:firstLine="360"/>
        <w:jc w:val="both"/>
        <w:rPr>
          <w:rFonts w:ascii="Book Antiqua" w:hAnsi="Book Antiqua"/>
          <w:lang w:val="es-PR"/>
        </w:rPr>
      </w:pPr>
      <w:r w:rsidRPr="00FF6CA8">
        <w:rPr>
          <w:rFonts w:ascii="Book Antiqua" w:hAnsi="Book Antiqua"/>
          <w:lang w:val="es-PR"/>
        </w:rPr>
        <w:t xml:space="preserve">La envergadura del poder </w:t>
      </w:r>
      <w:r>
        <w:rPr>
          <w:rFonts w:ascii="Book Antiqua" w:hAnsi="Book Antiqua"/>
          <w:lang w:val="es-PR"/>
        </w:rPr>
        <w:t>investigativo</w:t>
      </w:r>
      <w:r w:rsidRPr="00FF6CA8">
        <w:rPr>
          <w:rFonts w:ascii="Book Antiqua" w:hAnsi="Book Antiqua"/>
          <w:lang w:val="es-PR"/>
        </w:rPr>
        <w:t xml:space="preserve"> de la Rama Legislativa es tal, que tanto el Tribunal Supremo de los Estados Unidos como el de Puerto Rico lo han reconocido como un poder inherente. Específicamente, nuestro Tribunal Supremo ha enfatizado que este poder es “secuela y parte indispensable del propio poder de legislar”. </w:t>
      </w:r>
      <w:r w:rsidRPr="00FF6CA8">
        <w:rPr>
          <w:rFonts w:ascii="Book Antiqua" w:hAnsi="Book Antiqua"/>
          <w:u w:val="single"/>
          <w:lang w:val="es-PR"/>
        </w:rPr>
        <w:t>Peña Clos v. Cartagena Ortiz</w:t>
      </w:r>
      <w:r w:rsidRPr="00FF6CA8">
        <w:rPr>
          <w:rFonts w:ascii="Book Antiqua" w:hAnsi="Book Antiqua"/>
          <w:lang w:val="es-PR"/>
        </w:rPr>
        <w:t>, 114 D.P.R. 576, 587 (1983).</w:t>
      </w:r>
      <w:r>
        <w:rPr>
          <w:rFonts w:ascii="Book Antiqua" w:hAnsi="Book Antiqua"/>
          <w:lang w:val="es-PR"/>
        </w:rPr>
        <w:t xml:space="preserve"> Así ha quedado demostrado cuando esta Asamblea Legislativa ha investigado otros esquemas delictivos y de encumbramiento, como fue el caso de la investigación senatorial de los asesinatos en el Cerro Maravilla y, más recientemente, la investigación cameral </w:t>
      </w:r>
      <w:r w:rsidR="004879C9">
        <w:rPr>
          <w:rFonts w:ascii="Book Antiqua" w:hAnsi="Book Antiqua"/>
          <w:lang w:val="es-PR"/>
        </w:rPr>
        <w:t>sobre</w:t>
      </w:r>
      <w:r>
        <w:rPr>
          <w:rFonts w:ascii="Book Antiqua" w:hAnsi="Book Antiqua"/>
          <w:lang w:val="es-PR"/>
        </w:rPr>
        <w:t xml:space="preserve"> la compra fraudulenta de pruebas de COVID-19. </w:t>
      </w:r>
    </w:p>
    <w:p w14:paraId="33DA4484" w14:textId="77777777" w:rsidR="00CF1174" w:rsidRDefault="00CF1174" w:rsidP="00E562B3">
      <w:pPr>
        <w:ind w:firstLine="360"/>
        <w:jc w:val="both"/>
        <w:rPr>
          <w:rFonts w:ascii="Book Antiqua" w:hAnsi="Book Antiqua"/>
          <w:lang w:val="es-PR"/>
        </w:rPr>
      </w:pPr>
    </w:p>
    <w:p w14:paraId="57004983" w14:textId="200575B8" w:rsidR="00CF1174" w:rsidRDefault="00CF1174" w:rsidP="00E562B3">
      <w:pPr>
        <w:ind w:firstLine="360"/>
        <w:jc w:val="both"/>
        <w:rPr>
          <w:rFonts w:ascii="Book Antiqua" w:hAnsi="Book Antiqua"/>
          <w:lang w:val="es-PR"/>
        </w:rPr>
      </w:pPr>
      <w:r>
        <w:rPr>
          <w:rFonts w:ascii="Book Antiqua" w:hAnsi="Book Antiqua"/>
          <w:lang w:val="es-PR"/>
        </w:rPr>
        <w:t xml:space="preserve">Por todo lo antes expuesto, y a los fines de garantizar la capacidad operacional y salvaguardar la integridad de los procesos dentro del DDEC, es meritorio que esta Cámara de Representantes investigue </w:t>
      </w:r>
      <w:r w:rsidRPr="00CF1174">
        <w:rPr>
          <w:rFonts w:ascii="Book Antiqua" w:hAnsi="Book Antiqua"/>
          <w:lang w:val="es-PR"/>
        </w:rPr>
        <w:t>las intervenciones indebidas por parte de La Fortaleza e</w:t>
      </w:r>
      <w:r>
        <w:rPr>
          <w:rFonts w:ascii="Book Antiqua" w:hAnsi="Book Antiqua"/>
          <w:lang w:val="es-PR"/>
        </w:rPr>
        <w:t xml:space="preserve">n </w:t>
      </w:r>
      <w:r w:rsidR="003F2FB1">
        <w:rPr>
          <w:rFonts w:ascii="Book Antiqua" w:hAnsi="Book Antiqua"/>
          <w:lang w:val="es-PR"/>
        </w:rPr>
        <w:t>trámites</w:t>
      </w:r>
      <w:r>
        <w:rPr>
          <w:rFonts w:ascii="Book Antiqua" w:hAnsi="Book Antiqua"/>
          <w:lang w:val="es-PR"/>
        </w:rPr>
        <w:t xml:space="preserve"> internos del DDEC</w:t>
      </w:r>
      <w:r w:rsidR="003F2FB1">
        <w:rPr>
          <w:rFonts w:ascii="Book Antiqua" w:hAnsi="Book Antiqua"/>
          <w:lang w:val="es-PR"/>
        </w:rPr>
        <w:t xml:space="preserve">, </w:t>
      </w:r>
      <w:r w:rsidR="000154E1" w:rsidRPr="000154E1">
        <w:rPr>
          <w:rFonts w:ascii="Book Antiqua" w:hAnsi="Book Antiqua"/>
          <w:lang w:val="es-PR"/>
        </w:rPr>
        <w:t>así como la intervención</w:t>
      </w:r>
      <w:r w:rsidR="000154E1">
        <w:rPr>
          <w:rFonts w:ascii="Book Antiqua" w:hAnsi="Book Antiqua"/>
          <w:lang w:val="es-PR"/>
        </w:rPr>
        <w:t xml:space="preserve"> ilegal</w:t>
      </w:r>
      <w:r w:rsidR="000154E1" w:rsidRPr="000154E1">
        <w:rPr>
          <w:rFonts w:ascii="Book Antiqua" w:hAnsi="Book Antiqua"/>
          <w:lang w:val="es-PR"/>
        </w:rPr>
        <w:t xml:space="preserve"> para favorecer a compañías en procesos</w:t>
      </w:r>
      <w:r w:rsidR="000154E1">
        <w:rPr>
          <w:rFonts w:ascii="Book Antiqua" w:hAnsi="Book Antiqua"/>
          <w:lang w:val="es-PR"/>
        </w:rPr>
        <w:t xml:space="preserve"> de RFP, y el nombramiento de funcionarios y manejo de personal en la agencia.</w:t>
      </w:r>
    </w:p>
    <w:p w14:paraId="17052F64" w14:textId="77777777" w:rsidR="00243CC2" w:rsidRPr="000154E1" w:rsidRDefault="00243CC2" w:rsidP="00243CC2">
      <w:pPr>
        <w:jc w:val="both"/>
        <w:rPr>
          <w:rFonts w:ascii="Book Antiqua" w:hAnsi="Book Antiqua"/>
          <w:i/>
          <w:lang w:val="es-PR"/>
        </w:rPr>
      </w:pPr>
    </w:p>
    <w:p w14:paraId="6402879F" w14:textId="26C2B778" w:rsidR="007223FC" w:rsidRDefault="007223FC" w:rsidP="00243CC2">
      <w:pPr>
        <w:jc w:val="both"/>
        <w:rPr>
          <w:rFonts w:ascii="Book Antiqua" w:hAnsi="Book Antiqua"/>
          <w:i/>
          <w:lang w:val="es-ES_tradnl"/>
        </w:rPr>
      </w:pPr>
      <w:r w:rsidRPr="00F73338">
        <w:rPr>
          <w:rFonts w:ascii="Book Antiqua" w:hAnsi="Book Antiqua"/>
          <w:i/>
          <w:lang w:val="es-ES_tradnl"/>
        </w:rPr>
        <w:t>RESUÉLVESE POR LA CÁMARA DE REPRESENTANTES DE PUERTO</w:t>
      </w:r>
      <w:r>
        <w:rPr>
          <w:rFonts w:ascii="Book Antiqua" w:hAnsi="Book Antiqua"/>
          <w:i/>
          <w:lang w:val="es-ES_tradnl"/>
        </w:rPr>
        <w:t xml:space="preserve"> RICO:</w:t>
      </w:r>
    </w:p>
    <w:p w14:paraId="6DED2C4E" w14:textId="77777777" w:rsidR="00243CC2" w:rsidRDefault="00243CC2" w:rsidP="00243CC2">
      <w:pPr>
        <w:jc w:val="both"/>
        <w:rPr>
          <w:rFonts w:ascii="Book Antiqua" w:hAnsi="Book Antiqua"/>
          <w:lang w:val="es-ES_tradnl"/>
        </w:rPr>
      </w:pPr>
    </w:p>
    <w:p w14:paraId="5019BC59" w14:textId="77777777" w:rsidR="00243CC2" w:rsidRDefault="00243CC2" w:rsidP="00243CC2">
      <w:pPr>
        <w:jc w:val="both"/>
        <w:rPr>
          <w:rFonts w:ascii="Book Antiqua" w:hAnsi="Book Antiqua"/>
          <w:lang w:val="es-ES_tradnl"/>
        </w:rPr>
        <w:sectPr w:rsidR="00243CC2">
          <w:headerReference w:type="default" r:id="rId9"/>
          <w:type w:val="continuous"/>
          <w:pgSz w:w="12240" w:h="15840" w:code="1"/>
          <w:pgMar w:top="1440" w:right="1440" w:bottom="1440" w:left="1440" w:header="720" w:footer="720" w:gutter="0"/>
          <w:cols w:space="720"/>
          <w:titlePg/>
        </w:sectPr>
      </w:pPr>
    </w:p>
    <w:p w14:paraId="2E0C9623" w14:textId="077BD143" w:rsidR="00667F05" w:rsidRPr="00667F05" w:rsidRDefault="00667F05" w:rsidP="00667F05">
      <w:pPr>
        <w:spacing w:line="480" w:lineRule="auto"/>
        <w:ind w:firstLine="720"/>
        <w:jc w:val="both"/>
        <w:rPr>
          <w:rFonts w:ascii="Book Antiqua" w:hAnsi="Book Antiqua"/>
          <w:lang w:val="es-ES_tradnl"/>
        </w:rPr>
      </w:pPr>
      <w:r w:rsidRPr="00667F05">
        <w:rPr>
          <w:rFonts w:ascii="Book Antiqua" w:hAnsi="Book Antiqua"/>
          <w:lang w:val="es-ES_tradnl"/>
        </w:rPr>
        <w:t>Sección 1</w:t>
      </w:r>
      <w:r w:rsidR="00206DDA">
        <w:rPr>
          <w:rFonts w:ascii="Book Antiqua" w:hAnsi="Book Antiqua"/>
          <w:lang w:val="es-ES_tradnl"/>
        </w:rPr>
        <w:t>.</w:t>
      </w:r>
      <w:r w:rsidRPr="00667F05">
        <w:rPr>
          <w:rFonts w:ascii="Book Antiqua" w:hAnsi="Book Antiqua"/>
          <w:lang w:val="es-ES_tradnl"/>
        </w:rPr>
        <w:t>–</w:t>
      </w:r>
      <w:r w:rsidR="00243CC2" w:rsidRPr="00243CC2">
        <w:rPr>
          <w:rFonts w:ascii="Book Antiqua" w:hAnsi="Book Antiqua"/>
          <w:lang w:val="es-PR"/>
        </w:rPr>
        <w:t xml:space="preserve"> </w:t>
      </w:r>
      <w:r w:rsidR="00243CC2" w:rsidRPr="00436B03">
        <w:rPr>
          <w:rFonts w:ascii="Book Antiqua" w:hAnsi="Book Antiqua"/>
          <w:lang w:val="es-PR"/>
        </w:rPr>
        <w:t xml:space="preserve">Se </w:t>
      </w:r>
      <w:r w:rsidR="00243CC2" w:rsidRPr="00A6481C">
        <w:rPr>
          <w:rFonts w:ascii="Book Antiqua" w:hAnsi="Book Antiqua"/>
          <w:lang w:val="es-PR"/>
        </w:rPr>
        <w:t xml:space="preserve">ordena </w:t>
      </w:r>
      <w:r w:rsidR="00BA4F2B">
        <w:rPr>
          <w:rFonts w:ascii="Book Antiqua" w:hAnsi="Book Antiqua"/>
          <w:lang w:val="es-PR"/>
        </w:rPr>
        <w:t xml:space="preserve">a </w:t>
      </w:r>
      <w:r w:rsidR="00BA4F2B" w:rsidRPr="00BA4F2B">
        <w:rPr>
          <w:rFonts w:ascii="Book Antiqua" w:hAnsi="Book Antiqua"/>
          <w:lang w:val="es-ES_tradnl"/>
        </w:rPr>
        <w:t xml:space="preserve">la </w:t>
      </w:r>
      <w:r w:rsidR="000154E1" w:rsidRPr="000154E1">
        <w:rPr>
          <w:rFonts w:ascii="Book Antiqua" w:hAnsi="Book Antiqua"/>
          <w:lang w:val="es-ES_tradnl"/>
        </w:rPr>
        <w:t>Comisión de Gobierno de la Cámara de Representantes que realice una investigación sobre las intervenciones indebidas por parte de La Fortaleza en trámites internos del Departamento de Desarrollo Económico y Comercio (DDEC), según las denuncias realizadas por el exsecretario de esa agencia; así como la intervención ilegal para favorecer a compañías en procesos competitivos de contratación, específicamente en solicitudes de propuestas (RFP, por sus siglas en inglés) en la Oficina de Gerencia de Permisos (</w:t>
      </w:r>
      <w:proofErr w:type="spellStart"/>
      <w:r w:rsidR="000154E1" w:rsidRPr="000154E1">
        <w:rPr>
          <w:rFonts w:ascii="Book Antiqua" w:hAnsi="Book Antiqua"/>
          <w:lang w:val="es-ES_tradnl"/>
        </w:rPr>
        <w:t>OGPe</w:t>
      </w:r>
      <w:proofErr w:type="spellEnd"/>
      <w:r w:rsidR="000154E1" w:rsidRPr="000154E1">
        <w:rPr>
          <w:rFonts w:ascii="Book Antiqua" w:hAnsi="Book Antiqua"/>
          <w:lang w:val="es-ES_tradnl"/>
        </w:rPr>
        <w:t xml:space="preserve">), adscrita al DDEC; y todo asunto relacionado al </w:t>
      </w:r>
      <w:r w:rsidR="000154E1" w:rsidRPr="000154E1">
        <w:rPr>
          <w:rFonts w:ascii="Book Antiqua" w:hAnsi="Book Antiqua"/>
          <w:lang w:val="es-ES_tradnl"/>
        </w:rPr>
        <w:lastRenderedPageBreak/>
        <w:t>nombramiento de funcionarios y cualquier otra decisión sobre el manejo de personal en el DDEC, incluyendo sus entidades adscritas; y para otros fines relacionados</w:t>
      </w:r>
      <w:r w:rsidR="00092805" w:rsidRPr="00092805">
        <w:rPr>
          <w:rFonts w:ascii="Book Antiqua" w:hAnsi="Book Antiqua"/>
          <w:lang w:val="es-PR"/>
        </w:rPr>
        <w:t>.</w:t>
      </w:r>
      <w:r w:rsidR="00092805">
        <w:rPr>
          <w:rFonts w:ascii="Book Antiqua" w:hAnsi="Book Antiqua"/>
          <w:lang w:val="es-PR"/>
        </w:rPr>
        <w:t xml:space="preserve"> </w:t>
      </w:r>
    </w:p>
    <w:p w14:paraId="496A4077" w14:textId="7C73176F" w:rsidR="00243CC2" w:rsidRDefault="00243CC2" w:rsidP="00243CC2">
      <w:pPr>
        <w:pStyle w:val="Normal1"/>
        <w:widowControl w:val="0"/>
        <w:spacing w:line="480" w:lineRule="auto"/>
        <w:ind w:firstLine="720"/>
        <w:jc w:val="both"/>
        <w:rPr>
          <w:rFonts w:ascii="Book Antiqua" w:eastAsia="Times New Roman" w:hAnsi="Book Antiqua" w:cs="Times New Roman"/>
          <w:sz w:val="24"/>
        </w:rPr>
      </w:pPr>
      <w:r w:rsidRPr="00613D8E">
        <w:rPr>
          <w:rFonts w:ascii="Book Antiqua" w:eastAsia="Times New Roman" w:hAnsi="Book Antiqua" w:cs="Times New Roman"/>
          <w:sz w:val="24"/>
        </w:rPr>
        <w:t>Sección 2.-La Comisión</w:t>
      </w:r>
      <w:r w:rsidRPr="00AF0A89">
        <w:rPr>
          <w:rFonts w:ascii="Book Antiqua" w:eastAsia="Times New Roman" w:hAnsi="Book Antiqua" w:cs="Times New Roman"/>
          <w:sz w:val="24"/>
        </w:rPr>
        <w:t xml:space="preserve"> podrá requerir la producción de</w:t>
      </w:r>
      <w:r>
        <w:rPr>
          <w:rFonts w:ascii="Book Antiqua" w:eastAsia="Times New Roman" w:hAnsi="Book Antiqua" w:cs="Times New Roman"/>
          <w:sz w:val="24"/>
        </w:rPr>
        <w:t xml:space="preserve"> declaraciones, información y</w:t>
      </w:r>
      <w:r w:rsidRPr="00AF0A89">
        <w:rPr>
          <w:rFonts w:ascii="Book Antiqua" w:eastAsia="Times New Roman" w:hAnsi="Book Antiqua" w:cs="Times New Roman"/>
          <w:sz w:val="24"/>
        </w:rPr>
        <w:t xml:space="preserve"> documentos, al igual que realizar todas las vistas</w:t>
      </w:r>
      <w:r>
        <w:rPr>
          <w:rFonts w:ascii="Book Antiqua" w:eastAsia="Times New Roman" w:hAnsi="Book Antiqua" w:cs="Times New Roman"/>
          <w:sz w:val="24"/>
        </w:rPr>
        <w:t>, reuniones</w:t>
      </w:r>
      <w:r w:rsidRPr="00AF0A89">
        <w:rPr>
          <w:rFonts w:ascii="Book Antiqua" w:eastAsia="Times New Roman" w:hAnsi="Book Antiqua" w:cs="Times New Roman"/>
          <w:sz w:val="24"/>
        </w:rPr>
        <w:t xml:space="preserve"> e inspecciones que sean necesarias para cumplir con los fines de esta Resolución.</w:t>
      </w:r>
    </w:p>
    <w:p w14:paraId="0C37FB5C" w14:textId="0B35A3A8" w:rsidR="00243CC2" w:rsidRPr="00C470D0" w:rsidRDefault="00243CC2" w:rsidP="00243CC2">
      <w:pPr>
        <w:pStyle w:val="Normal1"/>
        <w:widowControl w:val="0"/>
        <w:spacing w:line="480" w:lineRule="auto"/>
        <w:ind w:firstLine="720"/>
        <w:jc w:val="both"/>
        <w:rPr>
          <w:rFonts w:ascii="Book Antiqua" w:eastAsia="Times New Roman" w:hAnsi="Book Antiqua" w:cs="Times New Roman"/>
          <w:sz w:val="24"/>
        </w:rPr>
      </w:pPr>
      <w:r w:rsidRPr="000445FD">
        <w:rPr>
          <w:rFonts w:ascii="Book Antiqua" w:eastAsia="Times New Roman" w:hAnsi="Book Antiqua" w:cs="Times New Roman"/>
          <w:sz w:val="24"/>
        </w:rPr>
        <w:t xml:space="preserve">Sección </w:t>
      </w:r>
      <w:r>
        <w:rPr>
          <w:rFonts w:ascii="Book Antiqua" w:eastAsia="Times New Roman" w:hAnsi="Book Antiqua" w:cs="Times New Roman"/>
          <w:sz w:val="24"/>
        </w:rPr>
        <w:t>3</w:t>
      </w:r>
      <w:r w:rsidRPr="000445FD">
        <w:rPr>
          <w:rFonts w:ascii="Book Antiqua" w:eastAsia="Times New Roman" w:hAnsi="Book Antiqua" w:cs="Times New Roman"/>
          <w:sz w:val="24"/>
        </w:rPr>
        <w:t>.-</w:t>
      </w:r>
      <w:r w:rsidRPr="00AF0A89">
        <w:rPr>
          <w:rFonts w:ascii="Book Antiqua" w:eastAsia="Times New Roman" w:hAnsi="Book Antiqua" w:cs="Times New Roman"/>
          <w:sz w:val="24"/>
        </w:rPr>
        <w:t xml:space="preserve">La Comisión </w:t>
      </w:r>
      <w:r>
        <w:rPr>
          <w:rFonts w:ascii="Book Antiqua" w:eastAsia="Times New Roman" w:hAnsi="Book Antiqua" w:cs="Times New Roman"/>
          <w:sz w:val="24"/>
        </w:rPr>
        <w:t xml:space="preserve">podrá realizar referidos a las agencias pertinentes y </w:t>
      </w:r>
      <w:r w:rsidRPr="00AF0A89">
        <w:rPr>
          <w:rFonts w:ascii="Book Antiqua" w:eastAsia="Times New Roman" w:hAnsi="Book Antiqua" w:cs="Times New Roman"/>
          <w:sz w:val="24"/>
        </w:rPr>
        <w:t xml:space="preserve">rendirá </w:t>
      </w:r>
      <w:r>
        <w:rPr>
          <w:rFonts w:ascii="Book Antiqua" w:eastAsia="Times New Roman" w:hAnsi="Book Antiqua" w:cs="Times New Roman"/>
          <w:sz w:val="24"/>
        </w:rPr>
        <w:t>un</w:t>
      </w:r>
      <w:r w:rsidRPr="00AF0A89">
        <w:rPr>
          <w:rFonts w:ascii="Book Antiqua" w:eastAsia="Times New Roman" w:hAnsi="Book Antiqua" w:cs="Times New Roman"/>
          <w:sz w:val="24"/>
        </w:rPr>
        <w:t xml:space="preserve"> Informe Final conteniendo los hallazgos, conclusiones y recomendaciones</w:t>
      </w:r>
      <w:r w:rsidR="004B4838" w:rsidRPr="004B4838">
        <w:rPr>
          <w:rFonts w:ascii="Book Antiqua" w:eastAsia="Times New Roman" w:hAnsi="Book Antiqua" w:cs="Times New Roman"/>
          <w:sz w:val="24"/>
        </w:rPr>
        <w:t xml:space="preserve">, dentro de un periodo de </w:t>
      </w:r>
      <w:r w:rsidR="004B4838">
        <w:rPr>
          <w:rFonts w:ascii="Book Antiqua" w:eastAsia="Times New Roman" w:hAnsi="Book Antiqua" w:cs="Times New Roman"/>
          <w:sz w:val="24"/>
        </w:rPr>
        <w:t>ciento ochenta</w:t>
      </w:r>
      <w:r w:rsidR="004B4838" w:rsidRPr="004B4838">
        <w:rPr>
          <w:rFonts w:ascii="Book Antiqua" w:eastAsia="Times New Roman" w:hAnsi="Book Antiqua" w:cs="Times New Roman"/>
          <w:sz w:val="24"/>
        </w:rPr>
        <w:t xml:space="preserve"> (</w:t>
      </w:r>
      <w:r w:rsidR="004B4838">
        <w:rPr>
          <w:rFonts w:ascii="Book Antiqua" w:eastAsia="Times New Roman" w:hAnsi="Book Antiqua" w:cs="Times New Roman"/>
          <w:sz w:val="24"/>
        </w:rPr>
        <w:t>18</w:t>
      </w:r>
      <w:r w:rsidR="004B4838" w:rsidRPr="004B4838">
        <w:rPr>
          <w:rFonts w:ascii="Book Antiqua" w:eastAsia="Times New Roman" w:hAnsi="Book Antiqua" w:cs="Times New Roman"/>
          <w:sz w:val="24"/>
        </w:rPr>
        <w:t>0) días contados a partir de la aprobación de esta Resolución</w:t>
      </w:r>
      <w:r w:rsidRPr="00AF0A89">
        <w:rPr>
          <w:rFonts w:ascii="Book Antiqua" w:eastAsia="Times New Roman" w:hAnsi="Book Antiqua" w:cs="Times New Roman"/>
          <w:sz w:val="24"/>
        </w:rPr>
        <w:t>.</w:t>
      </w:r>
      <w:r w:rsidR="004B4838">
        <w:rPr>
          <w:rFonts w:ascii="Book Antiqua" w:eastAsia="Times New Roman" w:hAnsi="Book Antiqua" w:cs="Times New Roman"/>
          <w:sz w:val="24"/>
        </w:rPr>
        <w:t xml:space="preserve"> </w:t>
      </w:r>
    </w:p>
    <w:p w14:paraId="6A8E3044" w14:textId="6BFCDA37" w:rsidR="00890C1A" w:rsidRPr="00243CC2" w:rsidRDefault="00243CC2" w:rsidP="00243CC2">
      <w:pPr>
        <w:pStyle w:val="Normal1"/>
        <w:widowControl w:val="0"/>
        <w:spacing w:line="480" w:lineRule="auto"/>
        <w:ind w:firstLine="720"/>
        <w:jc w:val="both"/>
        <w:rPr>
          <w:rFonts w:ascii="Book Antiqua" w:hAnsi="Book Antiqua"/>
          <w:sz w:val="24"/>
        </w:rPr>
      </w:pPr>
      <w:r>
        <w:rPr>
          <w:rFonts w:ascii="Book Antiqua" w:eastAsia="Times New Roman" w:hAnsi="Book Antiqua" w:cs="Times New Roman"/>
          <w:sz w:val="24"/>
        </w:rPr>
        <w:t>Sección 4</w:t>
      </w:r>
      <w:r w:rsidRPr="00093855">
        <w:rPr>
          <w:rFonts w:ascii="Book Antiqua" w:eastAsia="Times New Roman" w:hAnsi="Book Antiqua" w:cs="Times New Roman"/>
          <w:sz w:val="24"/>
        </w:rPr>
        <w:t>.-</w:t>
      </w:r>
      <w:r w:rsidRPr="00AF0A89">
        <w:rPr>
          <w:rFonts w:ascii="Book Antiqua" w:eastAsia="Times New Roman" w:hAnsi="Book Antiqua" w:cs="Times New Roman"/>
          <w:sz w:val="24"/>
        </w:rPr>
        <w:t>Esta Resolución comenzará a regir inmediatamente después de su aprobación.</w:t>
      </w:r>
    </w:p>
    <w:sectPr w:rsidR="00890C1A" w:rsidRPr="00243CC2" w:rsidSect="007223F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20D3F4" w14:textId="77777777" w:rsidR="00614C74" w:rsidRDefault="00614C74">
      <w:r>
        <w:separator/>
      </w:r>
    </w:p>
  </w:endnote>
  <w:endnote w:type="continuationSeparator" w:id="0">
    <w:p w14:paraId="72E25BD7" w14:textId="77777777" w:rsidR="00614C74" w:rsidRDefault="00614C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34A6D8" w14:textId="77777777" w:rsidR="00614C74" w:rsidRDefault="00614C74">
      <w:r>
        <w:separator/>
      </w:r>
    </w:p>
  </w:footnote>
  <w:footnote w:type="continuationSeparator" w:id="0">
    <w:p w14:paraId="19C5D5DB" w14:textId="77777777" w:rsidR="00614C74" w:rsidRDefault="00614C74">
      <w:r>
        <w:continuationSeparator/>
      </w:r>
    </w:p>
  </w:footnote>
  <w:footnote w:id="1">
    <w:p w14:paraId="6172DB57" w14:textId="6C49A0FB" w:rsidR="00BA75E8" w:rsidRPr="00BA75E8" w:rsidRDefault="00BA75E8">
      <w:pPr>
        <w:pStyle w:val="Textonotapie"/>
        <w:rPr>
          <w:rFonts w:ascii="Book Antiqua" w:hAnsi="Book Antiqua"/>
        </w:rPr>
      </w:pPr>
      <w:r w:rsidRPr="00BA75E8">
        <w:rPr>
          <w:rStyle w:val="Refdenotaalpie"/>
          <w:rFonts w:ascii="Book Antiqua" w:hAnsi="Book Antiqua"/>
        </w:rPr>
        <w:footnoteRef/>
      </w:r>
      <w:r w:rsidRPr="00BA75E8">
        <w:rPr>
          <w:rFonts w:ascii="Book Antiqua" w:hAnsi="Book Antiqua"/>
        </w:rPr>
        <w:t xml:space="preserve"> </w:t>
      </w:r>
      <w:hyperlink r:id="rId1" w:history="1">
        <w:r w:rsidRPr="00BA75E8">
          <w:rPr>
            <w:rStyle w:val="Hipervnculo"/>
            <w:rFonts w:ascii="Book Antiqua" w:hAnsi="Book Antiqua"/>
          </w:rPr>
          <w:t>https://www.primerahora.com/noticias/gobierno-politica/notas/gobernadora-presenta-un-nuevo-codigo-de-planificacion-y-permisos-para-puerto-rico/</w:t>
        </w:r>
      </w:hyperlink>
      <w:r w:rsidRPr="00BA75E8">
        <w:rPr>
          <w:rFonts w:ascii="Book Antiqua" w:hAnsi="Book Antiqua"/>
        </w:rPr>
        <w:t xml:space="preserve"> </w:t>
      </w:r>
    </w:p>
  </w:footnote>
  <w:footnote w:id="2">
    <w:p w14:paraId="55B54000" w14:textId="78673C91" w:rsidR="00BA75E8" w:rsidRPr="00BA75E8" w:rsidRDefault="00BA75E8">
      <w:pPr>
        <w:pStyle w:val="Textonotapie"/>
        <w:rPr>
          <w:rFonts w:ascii="Book Antiqua" w:hAnsi="Book Antiqua"/>
        </w:rPr>
      </w:pPr>
      <w:r w:rsidRPr="00BA75E8">
        <w:rPr>
          <w:rStyle w:val="Refdenotaalpie"/>
          <w:rFonts w:ascii="Book Antiqua" w:hAnsi="Book Antiqua"/>
        </w:rPr>
        <w:footnoteRef/>
      </w:r>
      <w:r w:rsidRPr="00BA75E8">
        <w:rPr>
          <w:rFonts w:ascii="Book Antiqua" w:hAnsi="Book Antiqua"/>
        </w:rPr>
        <w:t xml:space="preserve"> </w:t>
      </w:r>
      <w:hyperlink r:id="rId2" w:history="1">
        <w:r w:rsidRPr="00BA75E8">
          <w:rPr>
            <w:rStyle w:val="Hipervnculo"/>
            <w:rFonts w:ascii="Book Antiqua" w:hAnsi="Book Antiqua"/>
          </w:rPr>
          <w:t>https://www.metro.pr/noticias/2026/05/15/ogpe-sale-en-defensa-de-sus-empleados-ante-criticas-al-sistema/</w:t>
        </w:r>
      </w:hyperlink>
      <w:r w:rsidRPr="00BA75E8">
        <w:rPr>
          <w:rFonts w:ascii="Book Antiqua" w:hAnsi="Book Antiqua"/>
        </w:rPr>
        <w:t xml:space="preserve"> </w:t>
      </w:r>
    </w:p>
  </w:footnote>
  <w:footnote w:id="3">
    <w:p w14:paraId="161D7536" w14:textId="43E3AB40" w:rsidR="0079530E" w:rsidRPr="0079530E" w:rsidRDefault="0079530E">
      <w:pPr>
        <w:pStyle w:val="Textonotapie"/>
        <w:rPr>
          <w:rFonts w:ascii="Book Antiqua" w:hAnsi="Book Antiqua"/>
        </w:rPr>
      </w:pPr>
      <w:r w:rsidRPr="0079530E">
        <w:rPr>
          <w:rStyle w:val="Refdenotaalpie"/>
          <w:rFonts w:ascii="Book Antiqua" w:hAnsi="Book Antiqua"/>
        </w:rPr>
        <w:footnoteRef/>
      </w:r>
      <w:r w:rsidRPr="0079530E">
        <w:rPr>
          <w:rFonts w:ascii="Book Antiqua" w:hAnsi="Book Antiqua"/>
        </w:rPr>
        <w:t xml:space="preserve"> </w:t>
      </w:r>
      <w:hyperlink r:id="rId3" w:history="1">
        <w:r w:rsidRPr="0079530E">
          <w:rPr>
            <w:rStyle w:val="Hipervnculo"/>
            <w:rFonts w:ascii="Book Antiqua" w:hAnsi="Book Antiqua"/>
          </w:rPr>
          <w:t>https://www.facebook.com/tatianaperezramostv/posts/no-solo-fue-la-carta-para-defender-sus-empleados-sino-que-el-14-de-mayo-el-salie/1553937699648299/</w:t>
        </w:r>
      </w:hyperlink>
      <w:r w:rsidRPr="0079530E">
        <w:rPr>
          <w:rFonts w:ascii="Book Antiqua" w:hAnsi="Book Antiqua"/>
        </w:rPr>
        <w:t xml:space="preserve"> </w:t>
      </w:r>
    </w:p>
  </w:footnote>
  <w:footnote w:id="4">
    <w:p w14:paraId="313DC512" w14:textId="61BBF046" w:rsidR="00B07E9C" w:rsidRPr="00B07E9C" w:rsidRDefault="00B07E9C">
      <w:pPr>
        <w:pStyle w:val="Textonotapie"/>
        <w:rPr>
          <w:rFonts w:ascii="Book Antiqua" w:hAnsi="Book Antiqua"/>
        </w:rPr>
      </w:pPr>
      <w:r w:rsidRPr="00B07E9C">
        <w:rPr>
          <w:rStyle w:val="Refdenotaalpie"/>
          <w:rFonts w:ascii="Book Antiqua" w:hAnsi="Book Antiqua"/>
        </w:rPr>
        <w:footnoteRef/>
      </w:r>
      <w:r w:rsidRPr="00B07E9C">
        <w:rPr>
          <w:rFonts w:ascii="Book Antiqua" w:hAnsi="Book Antiqua"/>
        </w:rPr>
        <w:t xml:space="preserve"> </w:t>
      </w:r>
      <w:hyperlink r:id="rId4" w:history="1">
        <w:r w:rsidRPr="007F3572">
          <w:rPr>
            <w:rStyle w:val="Hipervnculo"/>
            <w:rFonts w:ascii="Book Antiqua" w:hAnsi="Book Antiqua"/>
          </w:rPr>
          <w:t>https://www.primerahora.com/noticias/gobierno-politica/notas/exsecretario-auxiliar-de-ogpe-desmiente-a-francisco-domenech-sobre-las-razones-para-su-salida/</w:t>
        </w:r>
      </w:hyperlink>
      <w:r>
        <w:rPr>
          <w:rFonts w:ascii="Book Antiqua" w:hAnsi="Book Antiqua"/>
        </w:rPr>
        <w:t xml:space="preserve"> </w:t>
      </w:r>
    </w:p>
  </w:footnote>
  <w:footnote w:id="5">
    <w:p w14:paraId="7B70141B" w14:textId="60443EEC" w:rsidR="00BD0FA9" w:rsidRPr="00BD0FA9" w:rsidRDefault="00BD0FA9">
      <w:pPr>
        <w:pStyle w:val="Textonotapie"/>
        <w:rPr>
          <w:rFonts w:ascii="Book Antiqua" w:hAnsi="Book Antiqua"/>
        </w:rPr>
      </w:pPr>
      <w:r w:rsidRPr="00BD0FA9">
        <w:rPr>
          <w:rStyle w:val="Refdenotaalpie"/>
          <w:rFonts w:ascii="Book Antiqua" w:hAnsi="Book Antiqua"/>
        </w:rPr>
        <w:footnoteRef/>
      </w:r>
      <w:r w:rsidRPr="00BD0FA9">
        <w:rPr>
          <w:rFonts w:ascii="Book Antiqua" w:hAnsi="Book Antiqua"/>
        </w:rPr>
        <w:t xml:space="preserve"> </w:t>
      </w:r>
      <w:hyperlink r:id="rId5" w:history="1">
        <w:r w:rsidRPr="00BD0FA9">
          <w:rPr>
            <w:rStyle w:val="Hipervnculo"/>
            <w:rFonts w:ascii="Book Antiqua" w:hAnsi="Book Antiqua"/>
          </w:rPr>
          <w:t>https://www.elnuevodia.com/negocios/economia/notas/ddec-referira-a-justicia-y-etica-a-exsecretario-auxiliar-de-ogpe-por-presuntas-irregularidades/</w:t>
        </w:r>
      </w:hyperlink>
      <w:r w:rsidRPr="00BD0FA9">
        <w:rPr>
          <w:rFonts w:ascii="Book Antiqua" w:hAnsi="Book Antiqua"/>
        </w:rPr>
        <w:t xml:space="preserve"> </w:t>
      </w:r>
    </w:p>
  </w:footnote>
  <w:footnote w:id="6">
    <w:p w14:paraId="76722BDD" w14:textId="702F8D26" w:rsidR="00BE20A4" w:rsidRPr="00BE20A4" w:rsidRDefault="00BE20A4">
      <w:pPr>
        <w:pStyle w:val="Textonotapie"/>
        <w:rPr>
          <w:rFonts w:ascii="Book Antiqua" w:hAnsi="Book Antiqua"/>
        </w:rPr>
      </w:pPr>
      <w:r w:rsidRPr="00BE20A4">
        <w:rPr>
          <w:rStyle w:val="Refdenotaalpie"/>
          <w:rFonts w:ascii="Book Antiqua" w:hAnsi="Book Antiqua"/>
        </w:rPr>
        <w:footnoteRef/>
      </w:r>
      <w:r w:rsidRPr="00BE20A4">
        <w:rPr>
          <w:rFonts w:ascii="Book Antiqua" w:hAnsi="Book Antiqua"/>
        </w:rPr>
        <w:t xml:space="preserve"> </w:t>
      </w:r>
      <w:hyperlink r:id="rId6" w:history="1">
        <w:r w:rsidRPr="007F3572">
          <w:rPr>
            <w:rStyle w:val="Hipervnculo"/>
            <w:rFonts w:ascii="Book Antiqua" w:hAnsi="Book Antiqua"/>
          </w:rPr>
          <w:t>https://www.youtube.com/watch?v=BHyBDcZQdas</w:t>
        </w:r>
      </w:hyperlink>
      <w:r>
        <w:rPr>
          <w:rFonts w:ascii="Book Antiqua" w:hAnsi="Book Antiqua"/>
        </w:rPr>
        <w:t xml:space="preserve"> </w:t>
      </w:r>
    </w:p>
  </w:footnote>
  <w:footnote w:id="7">
    <w:p w14:paraId="29DB1429" w14:textId="1627396D" w:rsidR="00AD5453" w:rsidRPr="00AD5453" w:rsidRDefault="00AD5453">
      <w:pPr>
        <w:pStyle w:val="Textonotapie"/>
        <w:rPr>
          <w:rFonts w:ascii="Book Antiqua" w:hAnsi="Book Antiqua"/>
        </w:rPr>
      </w:pPr>
      <w:r w:rsidRPr="00AD5453">
        <w:rPr>
          <w:rStyle w:val="Refdenotaalpie"/>
          <w:rFonts w:ascii="Book Antiqua" w:hAnsi="Book Antiqua"/>
        </w:rPr>
        <w:footnoteRef/>
      </w:r>
      <w:r w:rsidRPr="00AD5453">
        <w:rPr>
          <w:rFonts w:ascii="Book Antiqua" w:hAnsi="Book Antiqua"/>
        </w:rPr>
        <w:t xml:space="preserve"> </w:t>
      </w:r>
      <w:hyperlink r:id="rId7" w:history="1">
        <w:r w:rsidRPr="00AD5453">
          <w:rPr>
            <w:rStyle w:val="Hipervnculo"/>
            <w:rFonts w:ascii="Book Antiqua" w:hAnsi="Book Antiqua"/>
          </w:rPr>
          <w:t>https://www.elnuevodia.com/negocios/economia/notas/renuncia-el-secretario-del-ddec/</w:t>
        </w:r>
      </w:hyperlink>
      <w:r w:rsidRPr="00AD5453">
        <w:rPr>
          <w:rFonts w:ascii="Book Antiqua" w:hAnsi="Book Antiqua"/>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0F0CE" w14:textId="77777777" w:rsidR="00487E1F" w:rsidRDefault="00487E1F">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042994"/>
    <w:multiLevelType w:val="hybridMultilevel"/>
    <w:tmpl w:val="92AA0DFA"/>
    <w:lvl w:ilvl="0" w:tplc="9364E0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3893230"/>
    <w:multiLevelType w:val="hybridMultilevel"/>
    <w:tmpl w:val="8C3A274A"/>
    <w:lvl w:ilvl="0" w:tplc="D2FE1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29028248">
    <w:abstractNumId w:val="0"/>
  </w:num>
  <w:num w:numId="2" w16cid:durableId="2672778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23FC"/>
    <w:rsid w:val="000154E1"/>
    <w:rsid w:val="00020BBB"/>
    <w:rsid w:val="00020C62"/>
    <w:rsid w:val="00030742"/>
    <w:rsid w:val="0003393F"/>
    <w:rsid w:val="00035E54"/>
    <w:rsid w:val="00043B21"/>
    <w:rsid w:val="00056024"/>
    <w:rsid w:val="00074568"/>
    <w:rsid w:val="00085D49"/>
    <w:rsid w:val="000906A5"/>
    <w:rsid w:val="00092805"/>
    <w:rsid w:val="00095AE1"/>
    <w:rsid w:val="000A336E"/>
    <w:rsid w:val="000A5AF7"/>
    <w:rsid w:val="000A6B6C"/>
    <w:rsid w:val="000B0DBB"/>
    <w:rsid w:val="000B587D"/>
    <w:rsid w:val="000B5F20"/>
    <w:rsid w:val="000C3C2B"/>
    <w:rsid w:val="000C6C28"/>
    <w:rsid w:val="000D6CA4"/>
    <w:rsid w:val="000F5878"/>
    <w:rsid w:val="00111E71"/>
    <w:rsid w:val="00121EE6"/>
    <w:rsid w:val="00127C6A"/>
    <w:rsid w:val="00131B70"/>
    <w:rsid w:val="001363FE"/>
    <w:rsid w:val="00140EF6"/>
    <w:rsid w:val="0014430B"/>
    <w:rsid w:val="00152A06"/>
    <w:rsid w:val="00153407"/>
    <w:rsid w:val="0016070A"/>
    <w:rsid w:val="00160CBC"/>
    <w:rsid w:val="00162DB8"/>
    <w:rsid w:val="0017132B"/>
    <w:rsid w:val="001760FD"/>
    <w:rsid w:val="001850B4"/>
    <w:rsid w:val="00185988"/>
    <w:rsid w:val="00196D30"/>
    <w:rsid w:val="001A3C9D"/>
    <w:rsid w:val="001A4F41"/>
    <w:rsid w:val="001C42D4"/>
    <w:rsid w:val="001D54A2"/>
    <w:rsid w:val="001D6647"/>
    <w:rsid w:val="001E0D88"/>
    <w:rsid w:val="001E49AB"/>
    <w:rsid w:val="001E52BA"/>
    <w:rsid w:val="001F4CA3"/>
    <w:rsid w:val="001F612A"/>
    <w:rsid w:val="00200720"/>
    <w:rsid w:val="00203EFC"/>
    <w:rsid w:val="00206DDA"/>
    <w:rsid w:val="00211396"/>
    <w:rsid w:val="002171CA"/>
    <w:rsid w:val="00226AE6"/>
    <w:rsid w:val="002314F5"/>
    <w:rsid w:val="00242D78"/>
    <w:rsid w:val="00243CC2"/>
    <w:rsid w:val="00245B34"/>
    <w:rsid w:val="00246130"/>
    <w:rsid w:val="002502B0"/>
    <w:rsid w:val="00253529"/>
    <w:rsid w:val="00261EBD"/>
    <w:rsid w:val="00263355"/>
    <w:rsid w:val="00273792"/>
    <w:rsid w:val="0028127E"/>
    <w:rsid w:val="00295E43"/>
    <w:rsid w:val="002A35C8"/>
    <w:rsid w:val="002A7B3A"/>
    <w:rsid w:val="002B071E"/>
    <w:rsid w:val="002B3DC5"/>
    <w:rsid w:val="002B7EDC"/>
    <w:rsid w:val="002C3354"/>
    <w:rsid w:val="002D4AC8"/>
    <w:rsid w:val="002D4BD9"/>
    <w:rsid w:val="002E43CA"/>
    <w:rsid w:val="002E59C0"/>
    <w:rsid w:val="002F711A"/>
    <w:rsid w:val="00305B2A"/>
    <w:rsid w:val="00311A60"/>
    <w:rsid w:val="00317163"/>
    <w:rsid w:val="00320D78"/>
    <w:rsid w:val="003372BC"/>
    <w:rsid w:val="003372CE"/>
    <w:rsid w:val="00343C46"/>
    <w:rsid w:val="00351CD3"/>
    <w:rsid w:val="00380FE5"/>
    <w:rsid w:val="003924DD"/>
    <w:rsid w:val="00394FCB"/>
    <w:rsid w:val="003963F4"/>
    <w:rsid w:val="00397466"/>
    <w:rsid w:val="00397F4A"/>
    <w:rsid w:val="003A0EBF"/>
    <w:rsid w:val="003A4821"/>
    <w:rsid w:val="003A6D9A"/>
    <w:rsid w:val="003B0B8A"/>
    <w:rsid w:val="003B5254"/>
    <w:rsid w:val="003B580C"/>
    <w:rsid w:val="003B5BF6"/>
    <w:rsid w:val="003B75A6"/>
    <w:rsid w:val="003F2FB1"/>
    <w:rsid w:val="003F5AF9"/>
    <w:rsid w:val="004061CA"/>
    <w:rsid w:val="0041111D"/>
    <w:rsid w:val="00415689"/>
    <w:rsid w:val="004211E7"/>
    <w:rsid w:val="00421A22"/>
    <w:rsid w:val="004220A9"/>
    <w:rsid w:val="004244F7"/>
    <w:rsid w:val="0042511E"/>
    <w:rsid w:val="00425E31"/>
    <w:rsid w:val="004264F3"/>
    <w:rsid w:val="0042775F"/>
    <w:rsid w:val="00432CB5"/>
    <w:rsid w:val="00436C3E"/>
    <w:rsid w:val="004440CB"/>
    <w:rsid w:val="00444369"/>
    <w:rsid w:val="00445FC5"/>
    <w:rsid w:val="0044682A"/>
    <w:rsid w:val="00461578"/>
    <w:rsid w:val="00462A30"/>
    <w:rsid w:val="0046496D"/>
    <w:rsid w:val="004660D9"/>
    <w:rsid w:val="00467695"/>
    <w:rsid w:val="004713D2"/>
    <w:rsid w:val="00471DFA"/>
    <w:rsid w:val="00473A4B"/>
    <w:rsid w:val="0047775F"/>
    <w:rsid w:val="00486727"/>
    <w:rsid w:val="004879C9"/>
    <w:rsid w:val="00487E1F"/>
    <w:rsid w:val="00495FE7"/>
    <w:rsid w:val="004A24D4"/>
    <w:rsid w:val="004A74A8"/>
    <w:rsid w:val="004B4838"/>
    <w:rsid w:val="004B594A"/>
    <w:rsid w:val="004B615E"/>
    <w:rsid w:val="004B660B"/>
    <w:rsid w:val="004B6613"/>
    <w:rsid w:val="004D6BF6"/>
    <w:rsid w:val="004E1B57"/>
    <w:rsid w:val="004F5126"/>
    <w:rsid w:val="00501551"/>
    <w:rsid w:val="00501A6A"/>
    <w:rsid w:val="00521639"/>
    <w:rsid w:val="00525A33"/>
    <w:rsid w:val="0052618B"/>
    <w:rsid w:val="00532BB7"/>
    <w:rsid w:val="005332E4"/>
    <w:rsid w:val="00534092"/>
    <w:rsid w:val="0053550C"/>
    <w:rsid w:val="0053775D"/>
    <w:rsid w:val="00547F18"/>
    <w:rsid w:val="005544A2"/>
    <w:rsid w:val="00555018"/>
    <w:rsid w:val="005556B4"/>
    <w:rsid w:val="00557D07"/>
    <w:rsid w:val="005723DC"/>
    <w:rsid w:val="00587B04"/>
    <w:rsid w:val="005924B5"/>
    <w:rsid w:val="005964E1"/>
    <w:rsid w:val="005A7CAC"/>
    <w:rsid w:val="005B69F5"/>
    <w:rsid w:val="005B6AC8"/>
    <w:rsid w:val="005C236B"/>
    <w:rsid w:val="005D5464"/>
    <w:rsid w:val="005D679A"/>
    <w:rsid w:val="005F25DA"/>
    <w:rsid w:val="00604D8C"/>
    <w:rsid w:val="0061260D"/>
    <w:rsid w:val="0061442E"/>
    <w:rsid w:val="00614C74"/>
    <w:rsid w:val="0061708B"/>
    <w:rsid w:val="006210DC"/>
    <w:rsid w:val="00622CED"/>
    <w:rsid w:val="00627474"/>
    <w:rsid w:val="00637DD1"/>
    <w:rsid w:val="0064349D"/>
    <w:rsid w:val="006461F0"/>
    <w:rsid w:val="00653E1E"/>
    <w:rsid w:val="00653EED"/>
    <w:rsid w:val="00656763"/>
    <w:rsid w:val="00657554"/>
    <w:rsid w:val="00663DBE"/>
    <w:rsid w:val="00667F05"/>
    <w:rsid w:val="006729B2"/>
    <w:rsid w:val="00685549"/>
    <w:rsid w:val="006874C9"/>
    <w:rsid w:val="006B7365"/>
    <w:rsid w:val="006C2D81"/>
    <w:rsid w:val="006C7DF8"/>
    <w:rsid w:val="006D4B6E"/>
    <w:rsid w:val="006E5DD4"/>
    <w:rsid w:val="006E6775"/>
    <w:rsid w:val="006F03E8"/>
    <w:rsid w:val="006F6DB6"/>
    <w:rsid w:val="00701991"/>
    <w:rsid w:val="00702186"/>
    <w:rsid w:val="00703717"/>
    <w:rsid w:val="00716CF2"/>
    <w:rsid w:val="00716D3A"/>
    <w:rsid w:val="007172D9"/>
    <w:rsid w:val="007223FC"/>
    <w:rsid w:val="00740270"/>
    <w:rsid w:val="00744141"/>
    <w:rsid w:val="00750FC8"/>
    <w:rsid w:val="007533D0"/>
    <w:rsid w:val="00755069"/>
    <w:rsid w:val="00761BAD"/>
    <w:rsid w:val="00772CD5"/>
    <w:rsid w:val="00776E8F"/>
    <w:rsid w:val="00781769"/>
    <w:rsid w:val="00784ADA"/>
    <w:rsid w:val="007915D3"/>
    <w:rsid w:val="00791800"/>
    <w:rsid w:val="0079530E"/>
    <w:rsid w:val="007A7BE5"/>
    <w:rsid w:val="007B0660"/>
    <w:rsid w:val="007C2AA3"/>
    <w:rsid w:val="007C6B4C"/>
    <w:rsid w:val="007D449C"/>
    <w:rsid w:val="007E3868"/>
    <w:rsid w:val="007F03E4"/>
    <w:rsid w:val="00807638"/>
    <w:rsid w:val="00811111"/>
    <w:rsid w:val="00820C41"/>
    <w:rsid w:val="008304B2"/>
    <w:rsid w:val="00844906"/>
    <w:rsid w:val="00850256"/>
    <w:rsid w:val="008629FB"/>
    <w:rsid w:val="0087658B"/>
    <w:rsid w:val="008769A5"/>
    <w:rsid w:val="0088150D"/>
    <w:rsid w:val="00886F8F"/>
    <w:rsid w:val="00890C1A"/>
    <w:rsid w:val="00896423"/>
    <w:rsid w:val="00897291"/>
    <w:rsid w:val="008A3E27"/>
    <w:rsid w:val="008B578C"/>
    <w:rsid w:val="008C2194"/>
    <w:rsid w:val="008C6B09"/>
    <w:rsid w:val="008E656A"/>
    <w:rsid w:val="008F0224"/>
    <w:rsid w:val="008F307D"/>
    <w:rsid w:val="008F435B"/>
    <w:rsid w:val="008F6077"/>
    <w:rsid w:val="00902B57"/>
    <w:rsid w:val="0091384D"/>
    <w:rsid w:val="00916A94"/>
    <w:rsid w:val="009259F2"/>
    <w:rsid w:val="0093330E"/>
    <w:rsid w:val="0093686F"/>
    <w:rsid w:val="00942FD4"/>
    <w:rsid w:val="00951997"/>
    <w:rsid w:val="00960F9E"/>
    <w:rsid w:val="00976DCD"/>
    <w:rsid w:val="0098132E"/>
    <w:rsid w:val="009834E1"/>
    <w:rsid w:val="00990352"/>
    <w:rsid w:val="0099602F"/>
    <w:rsid w:val="009A4161"/>
    <w:rsid w:val="009A6BB9"/>
    <w:rsid w:val="009A6F17"/>
    <w:rsid w:val="009A75D3"/>
    <w:rsid w:val="009B696A"/>
    <w:rsid w:val="009C13F0"/>
    <w:rsid w:val="009C1D7D"/>
    <w:rsid w:val="009E0CE5"/>
    <w:rsid w:val="009E10AF"/>
    <w:rsid w:val="009F211B"/>
    <w:rsid w:val="00A03405"/>
    <w:rsid w:val="00A04745"/>
    <w:rsid w:val="00A12045"/>
    <w:rsid w:val="00A12881"/>
    <w:rsid w:val="00A1528A"/>
    <w:rsid w:val="00A33918"/>
    <w:rsid w:val="00A466F3"/>
    <w:rsid w:val="00A60C09"/>
    <w:rsid w:val="00A6383D"/>
    <w:rsid w:val="00A7629F"/>
    <w:rsid w:val="00A903E7"/>
    <w:rsid w:val="00A94DDD"/>
    <w:rsid w:val="00AA06CC"/>
    <w:rsid w:val="00AB78E2"/>
    <w:rsid w:val="00AC1D44"/>
    <w:rsid w:val="00AC2EC5"/>
    <w:rsid w:val="00AC310E"/>
    <w:rsid w:val="00AD086A"/>
    <w:rsid w:val="00AD3BF2"/>
    <w:rsid w:val="00AD400E"/>
    <w:rsid w:val="00AD5453"/>
    <w:rsid w:val="00AF0CEE"/>
    <w:rsid w:val="00B07E9C"/>
    <w:rsid w:val="00B14053"/>
    <w:rsid w:val="00B1631A"/>
    <w:rsid w:val="00B1764D"/>
    <w:rsid w:val="00B177D5"/>
    <w:rsid w:val="00B20CFB"/>
    <w:rsid w:val="00B2143D"/>
    <w:rsid w:val="00B36D47"/>
    <w:rsid w:val="00B44241"/>
    <w:rsid w:val="00B45DFB"/>
    <w:rsid w:val="00B5095B"/>
    <w:rsid w:val="00B51752"/>
    <w:rsid w:val="00B53DD9"/>
    <w:rsid w:val="00B667AD"/>
    <w:rsid w:val="00B84C38"/>
    <w:rsid w:val="00B86C00"/>
    <w:rsid w:val="00B91966"/>
    <w:rsid w:val="00B92475"/>
    <w:rsid w:val="00B947F6"/>
    <w:rsid w:val="00B95EF5"/>
    <w:rsid w:val="00BA4F2B"/>
    <w:rsid w:val="00BA6AB1"/>
    <w:rsid w:val="00BA75E8"/>
    <w:rsid w:val="00BB3E3C"/>
    <w:rsid w:val="00BB7DAD"/>
    <w:rsid w:val="00BC0B34"/>
    <w:rsid w:val="00BC5ED8"/>
    <w:rsid w:val="00BD0FA9"/>
    <w:rsid w:val="00BD2C62"/>
    <w:rsid w:val="00BD7181"/>
    <w:rsid w:val="00BE0CD3"/>
    <w:rsid w:val="00BE20A4"/>
    <w:rsid w:val="00BE2564"/>
    <w:rsid w:val="00BE5E80"/>
    <w:rsid w:val="00BF16AA"/>
    <w:rsid w:val="00BF3784"/>
    <w:rsid w:val="00C05908"/>
    <w:rsid w:val="00C07CBE"/>
    <w:rsid w:val="00C07DC8"/>
    <w:rsid w:val="00C216A3"/>
    <w:rsid w:val="00C24E41"/>
    <w:rsid w:val="00C32139"/>
    <w:rsid w:val="00C354B8"/>
    <w:rsid w:val="00C43193"/>
    <w:rsid w:val="00C4614A"/>
    <w:rsid w:val="00C52517"/>
    <w:rsid w:val="00C56632"/>
    <w:rsid w:val="00C60921"/>
    <w:rsid w:val="00C62936"/>
    <w:rsid w:val="00C64D1E"/>
    <w:rsid w:val="00C653F2"/>
    <w:rsid w:val="00C679E6"/>
    <w:rsid w:val="00C819A5"/>
    <w:rsid w:val="00C9029A"/>
    <w:rsid w:val="00C908F9"/>
    <w:rsid w:val="00CA0917"/>
    <w:rsid w:val="00CA1099"/>
    <w:rsid w:val="00CA1D0F"/>
    <w:rsid w:val="00CA5082"/>
    <w:rsid w:val="00CD455F"/>
    <w:rsid w:val="00CF1174"/>
    <w:rsid w:val="00CF32D2"/>
    <w:rsid w:val="00CF3BA1"/>
    <w:rsid w:val="00D06A74"/>
    <w:rsid w:val="00D23274"/>
    <w:rsid w:val="00D2391F"/>
    <w:rsid w:val="00D24E34"/>
    <w:rsid w:val="00D25F4E"/>
    <w:rsid w:val="00D417C2"/>
    <w:rsid w:val="00D51125"/>
    <w:rsid w:val="00D536D1"/>
    <w:rsid w:val="00D60936"/>
    <w:rsid w:val="00D6244F"/>
    <w:rsid w:val="00D63B14"/>
    <w:rsid w:val="00D709EB"/>
    <w:rsid w:val="00D740BD"/>
    <w:rsid w:val="00D74714"/>
    <w:rsid w:val="00D749B6"/>
    <w:rsid w:val="00D76B6A"/>
    <w:rsid w:val="00D81EFB"/>
    <w:rsid w:val="00D82F3F"/>
    <w:rsid w:val="00D8376B"/>
    <w:rsid w:val="00D84023"/>
    <w:rsid w:val="00D921C6"/>
    <w:rsid w:val="00D958C2"/>
    <w:rsid w:val="00DA20A0"/>
    <w:rsid w:val="00DA67AA"/>
    <w:rsid w:val="00DC23AD"/>
    <w:rsid w:val="00DE08B4"/>
    <w:rsid w:val="00DF5FA3"/>
    <w:rsid w:val="00E03207"/>
    <w:rsid w:val="00E04AB5"/>
    <w:rsid w:val="00E13D8B"/>
    <w:rsid w:val="00E208BD"/>
    <w:rsid w:val="00E36C92"/>
    <w:rsid w:val="00E50EEA"/>
    <w:rsid w:val="00E52F58"/>
    <w:rsid w:val="00E562B3"/>
    <w:rsid w:val="00E57F17"/>
    <w:rsid w:val="00E67104"/>
    <w:rsid w:val="00E74C1C"/>
    <w:rsid w:val="00E77A47"/>
    <w:rsid w:val="00E8181D"/>
    <w:rsid w:val="00E87913"/>
    <w:rsid w:val="00E90C8C"/>
    <w:rsid w:val="00EA22E0"/>
    <w:rsid w:val="00EA29BC"/>
    <w:rsid w:val="00EA413B"/>
    <w:rsid w:val="00EA7E1A"/>
    <w:rsid w:val="00EB2B03"/>
    <w:rsid w:val="00EB6B8A"/>
    <w:rsid w:val="00EC26AA"/>
    <w:rsid w:val="00ED1E2F"/>
    <w:rsid w:val="00ED6FD2"/>
    <w:rsid w:val="00ED7A53"/>
    <w:rsid w:val="00EE1241"/>
    <w:rsid w:val="00EE4273"/>
    <w:rsid w:val="00EE69A1"/>
    <w:rsid w:val="00F02004"/>
    <w:rsid w:val="00F02DB0"/>
    <w:rsid w:val="00F042CB"/>
    <w:rsid w:val="00F10F4B"/>
    <w:rsid w:val="00F13047"/>
    <w:rsid w:val="00F14DC1"/>
    <w:rsid w:val="00F17F4E"/>
    <w:rsid w:val="00F31AAC"/>
    <w:rsid w:val="00F34813"/>
    <w:rsid w:val="00F40CF3"/>
    <w:rsid w:val="00F51823"/>
    <w:rsid w:val="00F538B1"/>
    <w:rsid w:val="00F56850"/>
    <w:rsid w:val="00F60A20"/>
    <w:rsid w:val="00F73338"/>
    <w:rsid w:val="00FA00FA"/>
    <w:rsid w:val="00FB5FF6"/>
    <w:rsid w:val="00FC0A95"/>
    <w:rsid w:val="00FC3D9C"/>
    <w:rsid w:val="00FC7C91"/>
    <w:rsid w:val="00FD2623"/>
    <w:rsid w:val="00FF0153"/>
    <w:rsid w:val="00FF12D9"/>
    <w:rsid w:val="00FF326D"/>
    <w:rsid w:val="00FF4DD7"/>
    <w:rsid w:val="00FF5E6E"/>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A143F"/>
  <w15:chartTrackingRefBased/>
  <w15:docId w15:val="{EB64A23C-E6CD-4FA4-95F6-C0BDE644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Prrafodelista">
    <w:name w:val="List Paragraph"/>
    <w:basedOn w:val="Normal"/>
    <w:uiPriority w:val="34"/>
    <w:qFormat/>
    <w:rsid w:val="00890C1A"/>
    <w:pPr>
      <w:ind w:left="720"/>
      <w:contextualSpacing/>
    </w:pPr>
  </w:style>
  <w:style w:type="paragraph" w:customStyle="1" w:styleId="Firmas">
    <w:name w:val="Firmas"/>
    <w:basedOn w:val="Normal"/>
    <w:pPr>
      <w:tabs>
        <w:tab w:val="center" w:pos="1440"/>
        <w:tab w:val="center" w:pos="7200"/>
      </w:tabs>
    </w:pPr>
    <w:rPr>
      <w:lang w:val="es-ES_tradnl"/>
    </w:rPr>
  </w:style>
  <w:style w:type="paragraph" w:styleId="Textodeglobo">
    <w:name w:val="Balloon Text"/>
    <w:basedOn w:val="Normal"/>
    <w:link w:val="TextodegloboCar"/>
    <w:uiPriority w:val="99"/>
    <w:semiHidden/>
    <w:unhideWhenUsed/>
    <w:rsid w:val="00E0320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03207"/>
    <w:rPr>
      <w:rFonts w:ascii="Segoe UI" w:hAnsi="Segoe UI" w:cs="Segoe UI"/>
      <w:sz w:val="18"/>
      <w:szCs w:val="18"/>
    </w:rPr>
  </w:style>
  <w:style w:type="paragraph" w:styleId="Textonotapie">
    <w:name w:val="footnote text"/>
    <w:basedOn w:val="Normal"/>
    <w:link w:val="TextonotapieCar"/>
    <w:uiPriority w:val="99"/>
    <w:semiHidden/>
    <w:unhideWhenUsed/>
    <w:rsid w:val="00703717"/>
    <w:rPr>
      <w:sz w:val="20"/>
    </w:rPr>
  </w:style>
  <w:style w:type="character" w:customStyle="1" w:styleId="TextonotapieCar">
    <w:name w:val="Texto nota pie Car"/>
    <w:basedOn w:val="Fuentedeprrafopredeter"/>
    <w:link w:val="Textonotapie"/>
    <w:uiPriority w:val="99"/>
    <w:semiHidden/>
    <w:rsid w:val="00703717"/>
  </w:style>
  <w:style w:type="character" w:styleId="Refdenotaalpie">
    <w:name w:val="footnote reference"/>
    <w:basedOn w:val="Fuentedeprrafopredeter"/>
    <w:uiPriority w:val="99"/>
    <w:semiHidden/>
    <w:unhideWhenUsed/>
    <w:rsid w:val="00703717"/>
    <w:rPr>
      <w:vertAlign w:val="superscript"/>
    </w:rPr>
  </w:style>
  <w:style w:type="character" w:styleId="Hipervnculo">
    <w:name w:val="Hyperlink"/>
    <w:basedOn w:val="Fuentedeprrafopredeter"/>
    <w:uiPriority w:val="99"/>
    <w:unhideWhenUsed/>
    <w:rsid w:val="00703717"/>
    <w:rPr>
      <w:color w:val="0563C1" w:themeColor="hyperlink"/>
      <w:u w:val="single"/>
    </w:rPr>
  </w:style>
  <w:style w:type="character" w:styleId="Mencinsinresolver">
    <w:name w:val="Unresolved Mention"/>
    <w:basedOn w:val="Fuentedeprrafopredeter"/>
    <w:uiPriority w:val="99"/>
    <w:semiHidden/>
    <w:unhideWhenUsed/>
    <w:rsid w:val="00703717"/>
    <w:rPr>
      <w:color w:val="605E5C"/>
      <w:shd w:val="clear" w:color="auto" w:fill="E1DFDD"/>
    </w:rPr>
  </w:style>
  <w:style w:type="paragraph" w:customStyle="1" w:styleId="Normal1">
    <w:name w:val="Normal1"/>
    <w:rsid w:val="00243CC2"/>
    <w:pPr>
      <w:spacing w:line="276" w:lineRule="auto"/>
    </w:pPr>
    <w:rPr>
      <w:rFonts w:ascii="Arial" w:eastAsia="Arial" w:hAnsi="Arial" w:cs="Arial"/>
      <w:color w:val="000000"/>
      <w:sz w:val="22"/>
      <w:szCs w:val="24"/>
      <w:lang w:val="es-ES_tradnl" w:eastAsia="ja-JP"/>
    </w:rPr>
  </w:style>
  <w:style w:type="paragraph" w:styleId="Textonotaalfinal">
    <w:name w:val="endnote text"/>
    <w:basedOn w:val="Normal"/>
    <w:link w:val="TextonotaalfinalCar"/>
    <w:uiPriority w:val="99"/>
    <w:semiHidden/>
    <w:unhideWhenUsed/>
    <w:rsid w:val="0079530E"/>
    <w:rPr>
      <w:sz w:val="20"/>
    </w:rPr>
  </w:style>
  <w:style w:type="character" w:customStyle="1" w:styleId="TextonotaalfinalCar">
    <w:name w:val="Texto nota al final Car"/>
    <w:basedOn w:val="Fuentedeprrafopredeter"/>
    <w:link w:val="Textonotaalfinal"/>
    <w:uiPriority w:val="99"/>
    <w:semiHidden/>
    <w:rsid w:val="0079530E"/>
  </w:style>
  <w:style w:type="character" w:styleId="Refdenotaalfinal">
    <w:name w:val="endnote reference"/>
    <w:basedOn w:val="Fuentedeprrafopredeter"/>
    <w:uiPriority w:val="99"/>
    <w:semiHidden/>
    <w:unhideWhenUsed/>
    <w:rsid w:val="007953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0835093">
      <w:bodyDiv w:val="1"/>
      <w:marLeft w:val="0"/>
      <w:marRight w:val="0"/>
      <w:marTop w:val="0"/>
      <w:marBottom w:val="0"/>
      <w:divBdr>
        <w:top w:val="none" w:sz="0" w:space="0" w:color="auto"/>
        <w:left w:val="none" w:sz="0" w:space="0" w:color="auto"/>
        <w:bottom w:val="none" w:sz="0" w:space="0" w:color="auto"/>
        <w:right w:val="none" w:sz="0" w:space="0" w:color="auto"/>
      </w:divBdr>
    </w:div>
    <w:div w:id="468786009">
      <w:bodyDiv w:val="1"/>
      <w:marLeft w:val="0"/>
      <w:marRight w:val="0"/>
      <w:marTop w:val="0"/>
      <w:marBottom w:val="0"/>
      <w:divBdr>
        <w:top w:val="none" w:sz="0" w:space="0" w:color="auto"/>
        <w:left w:val="none" w:sz="0" w:space="0" w:color="auto"/>
        <w:bottom w:val="none" w:sz="0" w:space="0" w:color="auto"/>
        <w:right w:val="none" w:sz="0" w:space="0" w:color="auto"/>
      </w:divBdr>
    </w:div>
    <w:div w:id="661813867">
      <w:bodyDiv w:val="1"/>
      <w:marLeft w:val="0"/>
      <w:marRight w:val="0"/>
      <w:marTop w:val="0"/>
      <w:marBottom w:val="0"/>
      <w:divBdr>
        <w:top w:val="none" w:sz="0" w:space="0" w:color="auto"/>
        <w:left w:val="none" w:sz="0" w:space="0" w:color="auto"/>
        <w:bottom w:val="none" w:sz="0" w:space="0" w:color="auto"/>
        <w:right w:val="none" w:sz="0" w:space="0" w:color="auto"/>
      </w:divBdr>
    </w:div>
    <w:div w:id="203765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www.facebook.com/tatianaperezramostv/posts/no-solo-fue-la-carta-para-defender-sus-empleados-sino-que-el-14-de-mayo-el-salie/1553937699648299/" TargetMode="External"/><Relationship Id="rId7" Type="http://schemas.openxmlformats.org/officeDocument/2006/relationships/hyperlink" Target="https://www.elnuevodia.com/negocios/economia/notas/renuncia-el-secretario-del-ddec/" TargetMode="External"/><Relationship Id="rId2" Type="http://schemas.openxmlformats.org/officeDocument/2006/relationships/hyperlink" Target="https://www.metro.pr/noticias/2026/05/15/ogpe-sale-en-defensa-de-sus-empleados-ante-criticas-al-sistema/" TargetMode="External"/><Relationship Id="rId1" Type="http://schemas.openxmlformats.org/officeDocument/2006/relationships/hyperlink" Target="https://www.primerahora.com/noticias/gobierno-politica/notas/gobernadora-presenta-un-nuevo-codigo-de-planificacion-y-permisos-para-puerto-rico/" TargetMode="External"/><Relationship Id="rId6" Type="http://schemas.openxmlformats.org/officeDocument/2006/relationships/hyperlink" Target="https://www.youtube.com/watch?v=BHyBDcZQdas" TargetMode="External"/><Relationship Id="rId5" Type="http://schemas.openxmlformats.org/officeDocument/2006/relationships/hyperlink" Target="https://www.elnuevodia.com/negocios/economia/notas/ddec-referira-a-justicia-y-etica-a-exsecretario-auxiliar-de-ogpe-por-presuntas-irregularidades/" TargetMode="External"/><Relationship Id="rId4" Type="http://schemas.openxmlformats.org/officeDocument/2006/relationships/hyperlink" Target="https://www.primerahora.com/noticias/gobierno-politica/notas/exsecretario-auxiliar-de-ogpe-desmiente-a-francisco-domenech-sobre-las-razones-para-su-salid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A11136CC-DE7A-44D6-AD58-63EFA6BB765A}">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1445</Words>
  <Characters>8238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9664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Rocío Alayón Morell</cp:lastModifiedBy>
  <cp:revision>3</cp:revision>
  <cp:lastPrinted>2026-05-26T17:59:00Z</cp:lastPrinted>
  <dcterms:created xsi:type="dcterms:W3CDTF">2026-05-26T19:05:00Z</dcterms:created>
  <dcterms:modified xsi:type="dcterms:W3CDTF">2026-05-27T17:25:00Z</dcterms:modified>
</cp:coreProperties>
</file>