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CE1E5" w14:textId="77777777" w:rsidR="001F19D4" w:rsidRDefault="004036B1">
      <w:pPr>
        <w:suppressLineNumbers/>
        <w:jc w:val="center"/>
        <w:rPr>
          <w:rFonts w:ascii="Book Antiqua" w:hAnsi="Book Antiqua"/>
          <w:sz w:val="28"/>
          <w:szCs w:val="28"/>
          <w:lang w:val="es-ES_tradnl"/>
        </w:rPr>
      </w:pPr>
      <w:r>
        <w:rPr>
          <w:rFonts w:ascii="Book Antiqua" w:hAnsi="Book Antiqua"/>
          <w:sz w:val="28"/>
          <w:szCs w:val="28"/>
          <w:lang w:val="es-ES_tradnl"/>
        </w:rPr>
        <w:t>GOBIERNO DE PUERTO RICO</w:t>
      </w:r>
    </w:p>
    <w:p w14:paraId="4D82B5E7" w14:textId="77777777" w:rsidR="001F19D4" w:rsidRDefault="001F19D4">
      <w:pPr>
        <w:suppressLineNumbers/>
        <w:rPr>
          <w:rFonts w:ascii="Book Antiqua" w:hAnsi="Book Antiqua"/>
          <w:lang w:val="es-ES_tradnl"/>
        </w:rPr>
      </w:pPr>
    </w:p>
    <w:p w14:paraId="2A894319" w14:textId="356E1F73" w:rsidR="001F19D4" w:rsidRDefault="004036B1">
      <w:pPr>
        <w:suppressLineNumbers/>
        <w:jc w:val="both"/>
        <w:rPr>
          <w:rFonts w:ascii="Book Antiqua" w:hAnsi="Book Antiqua"/>
          <w:lang w:val="es-ES_tradnl"/>
        </w:rPr>
      </w:pPr>
      <w:r>
        <w:rPr>
          <w:rFonts w:ascii="Book Antiqua" w:hAnsi="Book Antiqua"/>
          <w:lang w:val="es-ES_tradnl"/>
        </w:rPr>
        <w:t>20ma. Asamblea</w:t>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t xml:space="preserve">         </w:t>
      </w:r>
      <w:r w:rsidR="00F9247C">
        <w:rPr>
          <w:rFonts w:ascii="Book Antiqua" w:hAnsi="Book Antiqua"/>
          <w:lang w:val="es-ES_tradnl"/>
        </w:rPr>
        <w:t xml:space="preserve">  </w:t>
      </w:r>
      <w:r>
        <w:rPr>
          <w:rFonts w:ascii="Book Antiqua" w:hAnsi="Book Antiqua"/>
          <w:lang w:val="es-ES_tradnl"/>
        </w:rPr>
        <w:t>3ra. Sesión</w:t>
      </w:r>
    </w:p>
    <w:p w14:paraId="6EDFEA4D" w14:textId="56B7036F" w:rsidR="001F19D4" w:rsidRDefault="004036B1">
      <w:pPr>
        <w:suppressLineNumbers/>
        <w:jc w:val="both"/>
        <w:rPr>
          <w:rFonts w:ascii="Book Antiqua" w:hAnsi="Book Antiqua"/>
          <w:lang w:val="es-ES_tradnl"/>
        </w:rPr>
      </w:pPr>
      <w:r>
        <w:rPr>
          <w:rFonts w:ascii="Book Antiqua" w:hAnsi="Book Antiqua"/>
          <w:lang w:val="es-ES_tradnl"/>
        </w:rPr>
        <w:t xml:space="preserve">            Legislativa</w:t>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t xml:space="preserve">                         </w:t>
      </w:r>
      <w:r>
        <w:rPr>
          <w:rFonts w:ascii="Book Antiqua" w:hAnsi="Book Antiqua"/>
          <w:lang w:val="es-ES_tradnl"/>
        </w:rPr>
        <w:tab/>
      </w:r>
      <w:r>
        <w:rPr>
          <w:rFonts w:ascii="Book Antiqua" w:hAnsi="Book Antiqua"/>
          <w:lang w:val="es-ES_tradnl"/>
        </w:rPr>
        <w:tab/>
      </w:r>
      <w:r>
        <w:rPr>
          <w:rFonts w:ascii="Book Antiqua" w:hAnsi="Book Antiqua"/>
          <w:lang w:val="es-ES_tradnl"/>
        </w:rPr>
        <w:tab/>
        <w:t xml:space="preserve">    </w:t>
      </w:r>
      <w:r w:rsidR="00F9247C">
        <w:rPr>
          <w:rFonts w:ascii="Book Antiqua" w:hAnsi="Book Antiqua"/>
          <w:lang w:val="es-ES_tradnl"/>
        </w:rPr>
        <w:t xml:space="preserve">  </w:t>
      </w:r>
      <w:r>
        <w:rPr>
          <w:rFonts w:ascii="Book Antiqua" w:hAnsi="Book Antiqua"/>
          <w:lang w:val="es-ES_tradnl"/>
        </w:rPr>
        <w:t>Ordinaria</w:t>
      </w:r>
    </w:p>
    <w:p w14:paraId="1F2C6C1C" w14:textId="77777777" w:rsidR="001F19D4" w:rsidRDefault="001F19D4">
      <w:pPr>
        <w:suppressLineNumbers/>
        <w:rPr>
          <w:rFonts w:ascii="Book Antiqua" w:hAnsi="Book Antiqua"/>
          <w:lang w:val="es-ES_tradnl"/>
        </w:rPr>
      </w:pPr>
    </w:p>
    <w:p w14:paraId="063C2373" w14:textId="77777777" w:rsidR="001F19D4" w:rsidRDefault="004036B1">
      <w:pPr>
        <w:suppressLineNumbers/>
        <w:jc w:val="center"/>
        <w:rPr>
          <w:rFonts w:ascii="Book Antiqua" w:hAnsi="Book Antiqua"/>
          <w:b/>
          <w:bCs/>
          <w:sz w:val="36"/>
          <w:szCs w:val="36"/>
          <w:lang w:val="es-ES_tradnl"/>
        </w:rPr>
      </w:pPr>
      <w:r>
        <w:rPr>
          <w:rFonts w:ascii="Book Antiqua" w:hAnsi="Book Antiqua"/>
          <w:b/>
          <w:bCs/>
          <w:sz w:val="36"/>
          <w:szCs w:val="36"/>
          <w:lang w:val="es-ES_tradnl"/>
        </w:rPr>
        <w:t>CÁMARA DE REPRESENTANTES</w:t>
      </w:r>
    </w:p>
    <w:p w14:paraId="4C28ABDF" w14:textId="77777777" w:rsidR="001F19D4" w:rsidRDefault="001F19D4">
      <w:pPr>
        <w:suppressLineNumbers/>
        <w:rPr>
          <w:rFonts w:ascii="Book Antiqua" w:hAnsi="Book Antiqua"/>
          <w:lang w:val="es-ES_tradnl"/>
        </w:rPr>
      </w:pPr>
    </w:p>
    <w:p w14:paraId="4F567396" w14:textId="3BE198D9" w:rsidR="001F19D4" w:rsidRDefault="004036B1">
      <w:pPr>
        <w:suppressLineNumbers/>
        <w:jc w:val="center"/>
        <w:rPr>
          <w:rFonts w:ascii="Book Antiqua" w:hAnsi="Book Antiqua"/>
          <w:b/>
          <w:bCs/>
          <w:sz w:val="52"/>
          <w:szCs w:val="52"/>
          <w:lang w:val="es-ES_tradnl"/>
        </w:rPr>
      </w:pPr>
      <w:r>
        <w:rPr>
          <w:rFonts w:ascii="Book Antiqua" w:hAnsi="Book Antiqua"/>
          <w:b/>
          <w:bCs/>
          <w:sz w:val="52"/>
          <w:szCs w:val="52"/>
          <w:lang w:val="es-ES_tradnl"/>
        </w:rPr>
        <w:t xml:space="preserve">R. de la C. </w:t>
      </w:r>
      <w:r w:rsidR="00D841C6">
        <w:rPr>
          <w:rFonts w:ascii="Book Antiqua" w:hAnsi="Book Antiqua"/>
          <w:b/>
          <w:bCs/>
          <w:sz w:val="52"/>
          <w:szCs w:val="52"/>
          <w:lang w:val="es-ES_tradnl"/>
        </w:rPr>
        <w:t>710</w:t>
      </w:r>
    </w:p>
    <w:p w14:paraId="429D18B5" w14:textId="77777777" w:rsidR="001F19D4" w:rsidRDefault="001F19D4">
      <w:pPr>
        <w:suppressLineNumbers/>
        <w:rPr>
          <w:rFonts w:ascii="Book Antiqua" w:hAnsi="Book Antiqua"/>
          <w:lang w:val="es-ES_tradnl"/>
        </w:rPr>
      </w:pPr>
    </w:p>
    <w:p w14:paraId="1FC9C214" w14:textId="60692195" w:rsidR="001F19D4" w:rsidRDefault="00D841C6">
      <w:pPr>
        <w:suppressLineNumbers/>
        <w:jc w:val="center"/>
        <w:rPr>
          <w:rFonts w:ascii="Book Antiqua" w:hAnsi="Book Antiqua"/>
          <w:lang w:val="es-ES_tradnl"/>
        </w:rPr>
      </w:pPr>
      <w:r>
        <w:rPr>
          <w:rFonts w:ascii="Book Antiqua" w:hAnsi="Book Antiqua"/>
          <w:lang w:val="es-ES_tradnl"/>
        </w:rPr>
        <w:t>1</w:t>
      </w:r>
      <w:r w:rsidR="004036B1">
        <w:rPr>
          <w:rFonts w:ascii="Book Antiqua" w:hAnsi="Book Antiqua"/>
          <w:lang w:val="es-ES_tradnl"/>
        </w:rPr>
        <w:t xml:space="preserve"> DE </w:t>
      </w:r>
      <w:r w:rsidR="00F9247C">
        <w:rPr>
          <w:rFonts w:ascii="Book Antiqua" w:hAnsi="Book Antiqua"/>
          <w:lang w:val="es-ES_tradnl"/>
        </w:rPr>
        <w:t>JUNIO</w:t>
      </w:r>
      <w:r w:rsidR="004036B1">
        <w:rPr>
          <w:rFonts w:ascii="Book Antiqua" w:hAnsi="Book Antiqua"/>
          <w:lang w:val="es-ES_tradnl"/>
        </w:rPr>
        <w:t xml:space="preserve"> DE 2026</w:t>
      </w:r>
    </w:p>
    <w:p w14:paraId="1A274971" w14:textId="77777777" w:rsidR="001F19D4" w:rsidRDefault="001F19D4">
      <w:pPr>
        <w:suppressLineNumbers/>
        <w:rPr>
          <w:rFonts w:ascii="Book Antiqua" w:hAnsi="Book Antiqua"/>
          <w:lang w:val="es-ES_tradnl"/>
        </w:rPr>
      </w:pPr>
    </w:p>
    <w:p w14:paraId="70393529" w14:textId="77777777" w:rsidR="001F19D4" w:rsidRDefault="004036B1">
      <w:pPr>
        <w:suppressLineNumbers/>
        <w:jc w:val="center"/>
        <w:rPr>
          <w:rFonts w:ascii="Book Antiqua" w:hAnsi="Book Antiqua"/>
          <w:lang w:val="es-ES_tradnl"/>
        </w:rPr>
      </w:pPr>
      <w:r>
        <w:rPr>
          <w:rFonts w:ascii="Book Antiqua" w:hAnsi="Book Antiqua"/>
          <w:lang w:val="es-ES_tradnl"/>
        </w:rPr>
        <w:t xml:space="preserve">Presentada por el representante </w:t>
      </w:r>
      <w:r>
        <w:rPr>
          <w:rFonts w:ascii="Book Antiqua" w:hAnsi="Book Antiqua"/>
          <w:i/>
          <w:lang w:val="es-ES_tradnl"/>
        </w:rPr>
        <w:t>Santiago Guzmán</w:t>
      </w:r>
    </w:p>
    <w:p w14:paraId="5DB9602D" w14:textId="77777777" w:rsidR="001F19D4" w:rsidRDefault="001F19D4">
      <w:pPr>
        <w:suppressLineNumbers/>
        <w:rPr>
          <w:rFonts w:ascii="Book Antiqua" w:hAnsi="Book Antiqua"/>
          <w:lang w:val="es-ES_tradnl"/>
        </w:rPr>
      </w:pPr>
    </w:p>
    <w:p w14:paraId="2BAB88F9" w14:textId="298329E8" w:rsidR="001F19D4" w:rsidRDefault="004036B1">
      <w:pPr>
        <w:suppressLineNumbers/>
        <w:jc w:val="center"/>
        <w:rPr>
          <w:rFonts w:ascii="Book Antiqua" w:hAnsi="Book Antiqua"/>
          <w:lang w:val="es-ES_tradnl"/>
        </w:rPr>
      </w:pPr>
      <w:r>
        <w:rPr>
          <w:rFonts w:ascii="Book Antiqua" w:hAnsi="Book Antiqua"/>
          <w:lang w:val="es-ES_tradnl"/>
        </w:rPr>
        <w:t xml:space="preserve">Referida a la Comisión de </w:t>
      </w:r>
      <w:r w:rsidR="005E4C96">
        <w:rPr>
          <w:rFonts w:ascii="Book Antiqua" w:hAnsi="Book Antiqua"/>
          <w:lang w:val="es-ES_tradnl"/>
        </w:rPr>
        <w:t>Asuntos Internos</w:t>
      </w:r>
    </w:p>
    <w:p w14:paraId="6EB27E23" w14:textId="77777777" w:rsidR="001F19D4" w:rsidRDefault="001F19D4">
      <w:pPr>
        <w:suppressLineNumbers/>
        <w:rPr>
          <w:rFonts w:ascii="Book Antiqua" w:hAnsi="Book Antiqua"/>
          <w:lang w:val="es-ES_tradnl"/>
        </w:rPr>
      </w:pPr>
    </w:p>
    <w:p w14:paraId="509E0212" w14:textId="77777777" w:rsidR="001F19D4" w:rsidRDefault="004036B1">
      <w:pPr>
        <w:suppressLineNumbers/>
        <w:jc w:val="center"/>
        <w:rPr>
          <w:rFonts w:ascii="Book Antiqua" w:hAnsi="Book Antiqua"/>
          <w:b/>
          <w:bCs/>
          <w:sz w:val="28"/>
          <w:szCs w:val="28"/>
          <w:lang w:val="es-ES_tradnl"/>
        </w:rPr>
      </w:pPr>
      <w:r>
        <w:rPr>
          <w:rFonts w:ascii="Book Antiqua" w:hAnsi="Book Antiqua"/>
          <w:b/>
          <w:bCs/>
          <w:sz w:val="28"/>
          <w:szCs w:val="28"/>
          <w:lang w:val="es-ES_tradnl"/>
        </w:rPr>
        <w:t>RESOLUCIÓN</w:t>
      </w:r>
    </w:p>
    <w:p w14:paraId="58C24208" w14:textId="77777777" w:rsidR="001F19D4" w:rsidRDefault="001F19D4">
      <w:pPr>
        <w:suppressLineNumbers/>
        <w:rPr>
          <w:rFonts w:ascii="Book Antiqua" w:hAnsi="Book Antiqua"/>
          <w:lang w:val="es-ES_tradnl"/>
        </w:rPr>
      </w:pPr>
    </w:p>
    <w:p w14:paraId="2F6C106A" w14:textId="77777777" w:rsidR="001F19D4" w:rsidRPr="00D841C6" w:rsidRDefault="004036B1" w:rsidP="004036B1">
      <w:pPr>
        <w:suppressLineNumbers/>
        <w:ind w:left="720" w:hanging="720"/>
        <w:jc w:val="both"/>
        <w:rPr>
          <w:rFonts w:ascii="Book Antiqua" w:hAnsi="Book Antiqua"/>
          <w:lang w:val="es-ES"/>
        </w:rPr>
      </w:pPr>
      <w:r>
        <w:rPr>
          <w:rFonts w:ascii="Book Antiqua" w:hAnsi="Book Antiqua"/>
          <w:lang w:val="es-ES_tradnl"/>
        </w:rPr>
        <w:t xml:space="preserve">Para ordenar a la Comisión de Asuntos Municipales de la Cámara de Representantes de Puerto Rico realizar una investigación exhaustiva sobre las fallas recurrentes en la infraestructura sanitaria que han afectado la Calle Mariano Abril Costalo de la Sexta Sección de Levittown, en el Municipio de </w:t>
      </w:r>
      <w:proofErr w:type="spellStart"/>
      <w:r>
        <w:rPr>
          <w:rFonts w:ascii="Book Antiqua" w:hAnsi="Book Antiqua"/>
          <w:lang w:val="es-ES_tradnl"/>
        </w:rPr>
        <w:t>Toa</w:t>
      </w:r>
      <w:proofErr w:type="spellEnd"/>
      <w:r>
        <w:rPr>
          <w:rFonts w:ascii="Book Antiqua" w:hAnsi="Book Antiqua"/>
          <w:lang w:val="es-ES_tradnl"/>
        </w:rPr>
        <w:t xml:space="preserve"> Baja, incluyendo el colapso de una tubería sanitaria, el hundimiento de la vía pública, la formación de un socavón, los riesgos que estas condiciones representan para la seguridad de los residentes, conductores y peatones, la respuesta de la Autoridad de Acueductos y Alcantarillados, la efectividad de las servidumbres legales de la AAA para acceder a la infraestructura sanitaria en propiedades privadas, la coordinación </w:t>
      </w:r>
      <w:proofErr w:type="spellStart"/>
      <w:r>
        <w:rPr>
          <w:rFonts w:ascii="Book Antiqua" w:hAnsi="Book Antiqua"/>
          <w:lang w:val="es-ES_tradnl"/>
        </w:rPr>
        <w:t>interagencial</w:t>
      </w:r>
      <w:proofErr w:type="spellEnd"/>
      <w:r>
        <w:rPr>
          <w:rFonts w:ascii="Book Antiqua" w:hAnsi="Book Antiqua"/>
          <w:lang w:val="es-ES_tradnl"/>
        </w:rPr>
        <w:t xml:space="preserve"> correspondiente, y las medidas preventivas, legislativas o administrativas necesarias para atender la situación y evitar eventos similares en el futuro; y para otros fines relacionados.</w:t>
      </w:r>
    </w:p>
    <w:p w14:paraId="5FBE6E60" w14:textId="77777777" w:rsidR="001F19D4" w:rsidRDefault="001F19D4">
      <w:pPr>
        <w:suppressLineNumbers/>
        <w:rPr>
          <w:rFonts w:ascii="Book Antiqua" w:hAnsi="Book Antiqua"/>
          <w:lang w:val="es-ES_tradnl"/>
        </w:rPr>
      </w:pPr>
    </w:p>
    <w:p w14:paraId="279D37BC" w14:textId="77777777" w:rsidR="001F19D4" w:rsidRDefault="004036B1">
      <w:pPr>
        <w:suppressLineNumbers/>
        <w:ind w:left="360" w:hanging="360"/>
        <w:jc w:val="center"/>
        <w:rPr>
          <w:rFonts w:ascii="Book Antiqua" w:hAnsi="Book Antiqua"/>
          <w:lang w:val="es-ES_tradnl"/>
        </w:rPr>
      </w:pPr>
      <w:r>
        <w:rPr>
          <w:rFonts w:ascii="Book Antiqua" w:hAnsi="Book Antiqua"/>
          <w:lang w:val="es-ES_tradnl"/>
        </w:rPr>
        <w:t>EXPOSICIÓN DE MOTIVOS</w:t>
      </w:r>
    </w:p>
    <w:p w14:paraId="556FFF7D" w14:textId="77777777" w:rsidR="001F19D4" w:rsidRDefault="001F19D4">
      <w:pPr>
        <w:suppressLineNumbers/>
        <w:rPr>
          <w:rFonts w:ascii="Book Antiqua" w:hAnsi="Book Antiqua"/>
          <w:lang w:val="es-ES_tradnl"/>
        </w:rPr>
      </w:pPr>
    </w:p>
    <w:p w14:paraId="44A9303B" w14:textId="77777777" w:rsidR="001F19D4" w:rsidRDefault="004036B1">
      <w:pPr>
        <w:suppressLineNumbers/>
        <w:ind w:firstLine="720"/>
        <w:jc w:val="both"/>
        <w:rPr>
          <w:rFonts w:ascii="Book Antiqua" w:hAnsi="Book Antiqua"/>
          <w:lang w:val="es-ES_tradnl"/>
        </w:rPr>
      </w:pPr>
      <w:r>
        <w:rPr>
          <w:rFonts w:ascii="Book Antiqua" w:hAnsi="Book Antiqua"/>
          <w:lang w:val="es-ES_tradnl"/>
        </w:rPr>
        <w:t>El acceso a una infraestructura sanitaria segura y funcional constituye un servicio esencial del que dependen miles de familias en Puerto Rico. Cuando esta infraestructura falla de manera abrupta, las consecuencias pueden representar riesgos graves para la seguridad pública, la movilidad vial y la calidad de vida de las comunidades afectadas. La recurrencia de esas fallas en una misma área eleva la urgencia de una evaluación legislativa rigurosa.</w:t>
      </w:r>
    </w:p>
    <w:p w14:paraId="29AC2EC3" w14:textId="77777777" w:rsidR="001F19D4" w:rsidRDefault="001F19D4">
      <w:pPr>
        <w:suppressLineNumbers/>
        <w:ind w:firstLine="720"/>
        <w:jc w:val="both"/>
        <w:rPr>
          <w:rFonts w:ascii="Book Antiqua" w:hAnsi="Book Antiqua"/>
          <w:lang w:val="es-ES_tradnl"/>
        </w:rPr>
      </w:pPr>
    </w:p>
    <w:p w14:paraId="4D8AB4D3" w14:textId="77777777" w:rsidR="001F19D4" w:rsidRDefault="004036B1">
      <w:pPr>
        <w:suppressLineNumbers/>
        <w:ind w:firstLine="720"/>
        <w:jc w:val="both"/>
        <w:rPr>
          <w:rFonts w:ascii="Book Antiqua" w:hAnsi="Book Antiqua"/>
          <w:lang w:val="es-ES_tradnl"/>
        </w:rPr>
      </w:pPr>
      <w:r>
        <w:rPr>
          <w:rFonts w:ascii="Book Antiqua" w:hAnsi="Book Antiqua"/>
          <w:lang w:val="es-ES_tradnl"/>
        </w:rPr>
        <w:t xml:space="preserve">En abril de 2026, el colapso de una tubería sanitaria de 30 pulgadas de la Autoridad de Acueductos y Alcantarillados (AAA) provocó el hundimiento de la Calle </w:t>
      </w:r>
      <w:r>
        <w:rPr>
          <w:rFonts w:ascii="Book Antiqua" w:hAnsi="Book Antiqua"/>
          <w:lang w:val="es-ES_tradnl"/>
        </w:rPr>
        <w:lastRenderedPageBreak/>
        <w:t xml:space="preserve">Mariano Abril Costalo de la Sexta Sección de Levittown, en el Municipio de </w:t>
      </w:r>
      <w:proofErr w:type="spellStart"/>
      <w:r>
        <w:rPr>
          <w:rFonts w:ascii="Book Antiqua" w:hAnsi="Book Antiqua"/>
          <w:lang w:val="es-ES_tradnl"/>
        </w:rPr>
        <w:t>Toa</w:t>
      </w:r>
      <w:proofErr w:type="spellEnd"/>
      <w:r>
        <w:rPr>
          <w:rFonts w:ascii="Book Antiqua" w:hAnsi="Book Antiqua"/>
          <w:lang w:val="es-ES_tradnl"/>
        </w:rPr>
        <w:t xml:space="preserve"> Baja, y la formación de un socavón de gran magnitud.</w:t>
      </w:r>
      <w:r>
        <w:rPr>
          <w:rStyle w:val="Refdenotaalpie"/>
          <w:lang w:val="es-ES_tradnl"/>
        </w:rPr>
        <w:footnoteReference w:id="1"/>
      </w:r>
      <w:r>
        <w:rPr>
          <w:rFonts w:ascii="Book Antiqua" w:hAnsi="Book Antiqua"/>
          <w:lang w:val="es-ES_tradnl"/>
        </w:rPr>
        <w:t xml:space="preserve"> El hundimiento generó consternación entre los residentes, quienes expresaron preocupación ante la posibilidad de que el daño se extendiera hacia sus hogares. Ante la emergencia, la AAA activó una subasta de emergencia que fue adjudicada, con la expectativa de iniciar trabajos de sustitución de aproximadamente 200 pies lineales de tubería. Sin embargo, al momento de publicarse la información reseñada, no se había precisado el tiempo total que tomaría</w:t>
      </w:r>
      <w:r w:rsidR="00AB1E15">
        <w:rPr>
          <w:rFonts w:ascii="Book Antiqua" w:hAnsi="Book Antiqua"/>
          <w:lang w:val="es-ES_tradnl"/>
        </w:rPr>
        <w:t>n</w:t>
      </w:r>
      <w:r>
        <w:rPr>
          <w:rFonts w:ascii="Book Antiqua" w:hAnsi="Book Antiqua"/>
          <w:lang w:val="es-ES_tradnl"/>
        </w:rPr>
        <w:t xml:space="preserve"> la</w:t>
      </w:r>
      <w:r w:rsidR="00AB1E15">
        <w:rPr>
          <w:rFonts w:ascii="Book Antiqua" w:hAnsi="Book Antiqua"/>
          <w:lang w:val="es-ES_tradnl"/>
        </w:rPr>
        <w:t>s</w:t>
      </w:r>
      <w:r>
        <w:rPr>
          <w:rFonts w:ascii="Book Antiqua" w:hAnsi="Book Antiqua"/>
          <w:lang w:val="es-ES_tradnl"/>
        </w:rPr>
        <w:t xml:space="preserve"> reparaciones.</w:t>
      </w:r>
      <w:r>
        <w:rPr>
          <w:rStyle w:val="Refdenotaalpie"/>
          <w:lang w:val="es-ES_tradnl"/>
        </w:rPr>
        <w:footnoteReference w:id="2"/>
      </w:r>
    </w:p>
    <w:p w14:paraId="5D47CF27" w14:textId="77777777" w:rsidR="001F19D4" w:rsidRDefault="001F19D4">
      <w:pPr>
        <w:suppressLineNumbers/>
        <w:ind w:firstLine="720"/>
        <w:jc w:val="both"/>
        <w:rPr>
          <w:rFonts w:ascii="Book Antiqua" w:hAnsi="Book Antiqua"/>
          <w:lang w:val="es-ES_tradnl"/>
        </w:rPr>
      </w:pPr>
    </w:p>
    <w:p w14:paraId="26E2F678" w14:textId="77777777" w:rsidR="001F19D4" w:rsidRDefault="004036B1">
      <w:pPr>
        <w:suppressLineNumbers/>
        <w:ind w:firstLine="720"/>
        <w:jc w:val="both"/>
        <w:rPr>
          <w:rFonts w:ascii="Book Antiqua" w:hAnsi="Book Antiqua"/>
          <w:lang w:val="es-ES_tradnl"/>
        </w:rPr>
      </w:pPr>
      <w:r>
        <w:rPr>
          <w:rFonts w:ascii="Book Antiqua" w:hAnsi="Book Antiqua"/>
          <w:lang w:val="es-ES_tradnl"/>
        </w:rPr>
        <w:t>Resulta igualmente significativo que, según declaraciones de residentes recogidas por medios de comunicación, no es la primera vez que la comunidad enfrenta una situación de esta naturaleza en esa misma área. Residentes han señalado que en el pasado ocurrieron incidentes similares relacionados con la infraestructura sanitaria de la AAA en esa zona, y que intervenciones realizadas anteriormente no impidieron la recurrencia del problema. Esta situación apunta a la posible existencia de un patrón de vulnerabilidad estructural que amerita una evaluación exhaustiva.</w:t>
      </w:r>
    </w:p>
    <w:p w14:paraId="6C161143" w14:textId="77777777" w:rsidR="001F19D4" w:rsidRDefault="001F19D4">
      <w:pPr>
        <w:suppressLineNumbers/>
        <w:ind w:firstLine="720"/>
        <w:jc w:val="both"/>
        <w:rPr>
          <w:rFonts w:ascii="Book Antiqua" w:hAnsi="Book Antiqua"/>
          <w:lang w:val="es-ES_tradnl"/>
        </w:rPr>
      </w:pPr>
    </w:p>
    <w:p w14:paraId="25A135F8" w14:textId="77777777" w:rsidR="001F19D4" w:rsidRDefault="004036B1">
      <w:pPr>
        <w:suppressLineNumbers/>
        <w:ind w:firstLine="720"/>
        <w:jc w:val="both"/>
        <w:rPr>
          <w:rFonts w:ascii="Book Antiqua" w:hAnsi="Book Antiqua"/>
          <w:lang w:val="es-ES_tradnl"/>
        </w:rPr>
      </w:pPr>
      <w:r>
        <w:rPr>
          <w:rFonts w:ascii="Book Antiqua" w:hAnsi="Book Antiqua"/>
          <w:lang w:val="es-ES_tradnl"/>
        </w:rPr>
        <w:t>Una visita al área realizada el 30 de mayo de 2026 permitió constatar que los trabajos de reparación se encontraban en proceso. Se observó la presencia de maquinaria pesada, tuberías de gran diámetro dispuestas para su instalación, y piedra triturada (grava) sobre la cual circulaban vehículos de residentes. Bajo dicho material se apreciaba la presencia de lo que aparentaba ser infraestructura instalada provisionalmente, cuya naturaleza y condición exacta se desconoce. El área afectada permanecía abierta, visible y en proceso de intervención.</w:t>
      </w:r>
      <w:r>
        <w:rPr>
          <w:rStyle w:val="Refdenotaalpie"/>
          <w:lang w:val="es-ES_tradnl"/>
        </w:rPr>
        <w:footnoteReference w:id="3"/>
      </w:r>
    </w:p>
    <w:p w14:paraId="34A04409" w14:textId="77777777" w:rsidR="001F19D4" w:rsidRDefault="001F19D4">
      <w:pPr>
        <w:suppressLineNumbers/>
        <w:ind w:firstLine="720"/>
        <w:jc w:val="both"/>
        <w:rPr>
          <w:rFonts w:ascii="Book Antiqua" w:hAnsi="Book Antiqua"/>
          <w:lang w:val="es-ES_tradnl"/>
        </w:rPr>
      </w:pPr>
    </w:p>
    <w:p w14:paraId="689328D6" w14:textId="677BB405" w:rsidR="001F19D4" w:rsidRDefault="004036B1">
      <w:pPr>
        <w:suppressLineNumbers/>
        <w:ind w:firstLine="720"/>
        <w:jc w:val="both"/>
        <w:rPr>
          <w:rFonts w:ascii="Book Antiqua" w:hAnsi="Book Antiqua"/>
          <w:lang w:val="es-ES_tradnl"/>
        </w:rPr>
      </w:pPr>
      <w:r>
        <w:rPr>
          <w:rFonts w:ascii="Book Antiqua" w:hAnsi="Book Antiqua"/>
          <w:lang w:val="es-ES_tradnl"/>
        </w:rPr>
        <w:t>Las condiciones observadas plantean interrogantes sobre la seguridad de los residentes y conductores que transitan diariamente por esa calle durante el período de reparación, la suficiencia de las medidas de señalización y protección implementadas, y el plazo razonable para la culminación de los trabajos. El historial de incidentes previos genera además la necesidad de evaluar si las intervenciones realizadas en el pasado fueron adecuadas y suficientes para atender la condición estructural subyacente de la red sanitaria en esa área.</w:t>
      </w:r>
    </w:p>
    <w:p w14:paraId="709289D5" w14:textId="77777777" w:rsidR="001F19D4" w:rsidRDefault="00AB1E15">
      <w:pPr>
        <w:suppressLineNumbers/>
        <w:ind w:firstLine="720"/>
        <w:jc w:val="both"/>
        <w:rPr>
          <w:rFonts w:ascii="Book Antiqua" w:hAnsi="Book Antiqua"/>
          <w:lang w:val="es-ES_tradnl"/>
        </w:rPr>
      </w:pPr>
      <w:r>
        <w:rPr>
          <w:rFonts w:ascii="Book Antiqua" w:hAnsi="Book Antiqua"/>
          <w:lang w:val="es-ES_tradnl"/>
        </w:rPr>
        <w:lastRenderedPageBreak/>
        <w:t>L</w:t>
      </w:r>
      <w:r w:rsidR="004036B1">
        <w:rPr>
          <w:rFonts w:ascii="Book Antiqua" w:hAnsi="Book Antiqua"/>
          <w:lang w:val="es-ES_tradnl"/>
        </w:rPr>
        <w:t>a noche del 29 de mayo de 2026 se produjo la explosión de una tubería adicional en el área objeto de los trabajos, lo que agravó la emergencia ya existente y evidencia que la situación no había sido contenida. Este nuevo incidente subraya la urgencia de atender de manera integral y expedita la condición de la infraestructura sanitaria en esa zona, y que los residentes continuaban expuestos a riesgos activos.</w:t>
      </w:r>
    </w:p>
    <w:p w14:paraId="40BEA664" w14:textId="77777777" w:rsidR="00293BFA" w:rsidRDefault="00293BFA">
      <w:pPr>
        <w:suppressLineNumbers/>
        <w:ind w:firstLine="720"/>
        <w:jc w:val="both"/>
        <w:rPr>
          <w:rFonts w:ascii="Book Antiqua" w:hAnsi="Book Antiqua"/>
          <w:lang w:val="es-ES_tradnl"/>
        </w:rPr>
      </w:pPr>
    </w:p>
    <w:p w14:paraId="6D022776" w14:textId="77777777" w:rsidR="00293BFA" w:rsidRDefault="00AB1E15">
      <w:pPr>
        <w:suppressLineNumbers/>
        <w:ind w:firstLine="720"/>
        <w:jc w:val="both"/>
        <w:rPr>
          <w:rFonts w:ascii="Book Antiqua" w:hAnsi="Book Antiqua"/>
          <w:lang w:val="es-ES_tradnl"/>
        </w:rPr>
      </w:pPr>
      <w:r>
        <w:rPr>
          <w:rFonts w:ascii="Book Antiqua" w:hAnsi="Book Antiqua"/>
          <w:lang w:val="es-ES_tradnl"/>
        </w:rPr>
        <w:t>Asimismo, el proceso de reparación ha revelado interrogantes sobre el alcance y la efectividad de las servidumbres legales de la Autoridad de Acueductos y Alcantarillados sobre propiedades privadas en el área afectada. Resulta necesario investigar si la AAA tiene certeza sobre las servidumbres legales que le asisten con respecto a las residencias del área, y cuán efectiva ha sido en hacerlas valer para obtener acceso oportuno a la infraestructura sanitaria ubicada en predios privados. La capacidad de la AAA para ejercitar dichos derechos resulta determinante para la prestación eficiente del servicio y la atención expedita de emergencias como la aquí descrita.</w:t>
      </w:r>
    </w:p>
    <w:p w14:paraId="06B0D19B" w14:textId="77777777" w:rsidR="00293BFA" w:rsidRDefault="00293BFA">
      <w:pPr>
        <w:suppressLineNumbers/>
        <w:ind w:firstLine="720"/>
        <w:jc w:val="both"/>
        <w:rPr>
          <w:rFonts w:ascii="Book Antiqua" w:hAnsi="Book Antiqua"/>
          <w:lang w:val="es-ES_tradnl"/>
        </w:rPr>
      </w:pPr>
    </w:p>
    <w:p w14:paraId="4865E4F9" w14:textId="77777777" w:rsidR="00293BFA" w:rsidRDefault="00AB1E15">
      <w:pPr>
        <w:suppressLineNumbers/>
        <w:ind w:firstLine="720"/>
        <w:jc w:val="both"/>
        <w:rPr>
          <w:rFonts w:ascii="Book Antiqua" w:hAnsi="Book Antiqua"/>
          <w:lang w:val="es-ES_tradnl"/>
        </w:rPr>
      </w:pPr>
      <w:r>
        <w:rPr>
          <w:rFonts w:ascii="Book Antiqua" w:hAnsi="Book Antiqua"/>
          <w:lang w:val="es-ES_tradnl"/>
        </w:rPr>
        <w:t>Por todo lo anterior, esta Asamblea Legislativa entiende necesario investigar las circunstancias que dieron lugar a estos incidentes, evaluar la respuesta de las agencias concernidas, examinar el estado y efectividad de las servidumbres sanitarias en el área, identificar posibles deficiencias administrativas, operacionales o de mantenimiento, y recomendar las medidas legislativas o administrativas que resulten necesarias para proteger la seguridad de los residentes y prevenir eventos similares en el futuro.</w:t>
      </w:r>
    </w:p>
    <w:p w14:paraId="080E111B" w14:textId="77777777" w:rsidR="001F19D4" w:rsidRDefault="001F19D4">
      <w:pPr>
        <w:suppressLineNumbers/>
        <w:rPr>
          <w:rFonts w:ascii="Book Antiqua" w:hAnsi="Book Antiqua"/>
          <w:lang w:val="es-ES_tradnl"/>
        </w:rPr>
      </w:pPr>
    </w:p>
    <w:p w14:paraId="1EB2FAD3" w14:textId="77777777" w:rsidR="001F19D4" w:rsidRDefault="004036B1">
      <w:pPr>
        <w:suppressLineNumbers/>
        <w:jc w:val="both"/>
        <w:rPr>
          <w:rFonts w:ascii="Book Antiqua" w:hAnsi="Book Antiqua"/>
          <w:lang w:val="es-ES_tradnl"/>
        </w:rPr>
      </w:pPr>
      <w:r>
        <w:rPr>
          <w:rFonts w:ascii="Book Antiqua" w:hAnsi="Book Antiqua"/>
          <w:i/>
          <w:lang w:val="es-ES_tradnl"/>
        </w:rPr>
        <w:t>RESUÉLVESE POR LA CÁMARA DE REPRESENTANTES DE PUERTO RICO:</w:t>
      </w:r>
    </w:p>
    <w:p w14:paraId="534D251A" w14:textId="77777777" w:rsidR="001F19D4" w:rsidRDefault="001F19D4">
      <w:pPr>
        <w:suppressLineNumbers/>
        <w:rPr>
          <w:rFonts w:ascii="Book Antiqua" w:hAnsi="Book Antiqua"/>
          <w:lang w:val="es-ES_tradnl"/>
        </w:rPr>
      </w:pPr>
    </w:p>
    <w:p w14:paraId="519535FA" w14:textId="77777777" w:rsidR="001F19D4" w:rsidRDefault="001F19D4">
      <w:pPr>
        <w:jc w:val="both"/>
        <w:rPr>
          <w:rFonts w:ascii="Book Antiqua" w:hAnsi="Book Antiqua"/>
          <w:lang w:val="es-ES_tradnl"/>
        </w:rPr>
        <w:sectPr w:rsidR="001F19D4">
          <w:headerReference w:type="default" r:id="rId7"/>
          <w:pgSz w:w="12240" w:h="15840" w:code="1"/>
          <w:pgMar w:top="1440" w:right="1440" w:bottom="1440" w:left="1440" w:header="720" w:footer="720" w:gutter="0"/>
          <w:cols w:space="720"/>
          <w:titlePg/>
        </w:sectPr>
      </w:pPr>
    </w:p>
    <w:p w14:paraId="6444A85C" w14:textId="77777777" w:rsidR="001F19D4" w:rsidRDefault="004036B1">
      <w:pPr>
        <w:spacing w:line="480" w:lineRule="auto"/>
        <w:ind w:firstLine="567"/>
        <w:jc w:val="both"/>
        <w:rPr>
          <w:rFonts w:ascii="Book Antiqua" w:hAnsi="Book Antiqua"/>
          <w:lang w:val="es-ES_tradnl"/>
        </w:rPr>
      </w:pPr>
      <w:r>
        <w:rPr>
          <w:rFonts w:ascii="Book Antiqua" w:hAnsi="Book Antiqua"/>
          <w:lang w:val="es-ES_tradnl"/>
        </w:rPr>
        <w:t xml:space="preserve">Sección 1.- Se ordena a la Comisión de Asuntos Municipales de la Cámara de Representantes de Puerto Rico realizar una investigación exhaustiva sobre las fallas recurrentes en la infraestructura sanitaria que han afectado la Calle Mariano Abril Costalo de la Sexta Sección de Levittown, en el Municipio de </w:t>
      </w:r>
      <w:proofErr w:type="spellStart"/>
      <w:r>
        <w:rPr>
          <w:rFonts w:ascii="Book Antiqua" w:hAnsi="Book Antiqua"/>
          <w:lang w:val="es-ES_tradnl"/>
        </w:rPr>
        <w:t>Toa</w:t>
      </w:r>
      <w:proofErr w:type="spellEnd"/>
      <w:r>
        <w:rPr>
          <w:rFonts w:ascii="Book Antiqua" w:hAnsi="Book Antiqua"/>
          <w:lang w:val="es-ES_tradnl"/>
        </w:rPr>
        <w:t xml:space="preserve"> Baja, incluyendo el colapso de una tubería sanitaria, el hundimiento de la vía pública, la formación de un socavón, los riesgos que estas condiciones representan para la seguridad de los residentes, conductores y peatones, la respuesta de la Autoridad de Acueductos y Alcantarillados, la efectividad de las servidumbres legales de la AAA para acceder a la infraestructura sanitaria en propiedades privadas, la coordinación </w:t>
      </w:r>
      <w:proofErr w:type="spellStart"/>
      <w:r>
        <w:rPr>
          <w:rFonts w:ascii="Book Antiqua" w:hAnsi="Book Antiqua"/>
          <w:lang w:val="es-ES_tradnl"/>
        </w:rPr>
        <w:t>interagencial</w:t>
      </w:r>
      <w:proofErr w:type="spellEnd"/>
      <w:r>
        <w:rPr>
          <w:rFonts w:ascii="Book Antiqua" w:hAnsi="Book Antiqua"/>
          <w:lang w:val="es-ES_tradnl"/>
        </w:rPr>
        <w:t xml:space="preserve"> </w:t>
      </w:r>
      <w:r>
        <w:rPr>
          <w:rFonts w:ascii="Book Antiqua" w:hAnsi="Book Antiqua"/>
          <w:lang w:val="es-ES_tradnl"/>
        </w:rPr>
        <w:lastRenderedPageBreak/>
        <w:t>correspondiente, y las medidas preventivas, legislativas o administrativas necesarias para atender la situación y evitar eventos similares en el futuro.</w:t>
      </w:r>
    </w:p>
    <w:p w14:paraId="38FBCAE2" w14:textId="77777777" w:rsidR="001F19D4" w:rsidRDefault="004036B1">
      <w:pPr>
        <w:spacing w:line="480" w:lineRule="auto"/>
        <w:ind w:firstLine="567"/>
        <w:jc w:val="both"/>
        <w:rPr>
          <w:rFonts w:ascii="Book Antiqua" w:hAnsi="Book Antiqua"/>
          <w:lang w:val="es-ES_tradnl"/>
        </w:rPr>
      </w:pPr>
      <w:r>
        <w:rPr>
          <w:rFonts w:ascii="Book Antiqua" w:hAnsi="Book Antiqua"/>
          <w:lang w:val="es-ES_tradnl"/>
        </w:rPr>
        <w:t>Sección 2.- Como parte de esta investigación, la Comisión evaluará, sin limitarse a:</w:t>
      </w:r>
    </w:p>
    <w:p w14:paraId="2EA30470" w14:textId="77777777" w:rsidR="001F19D4" w:rsidRDefault="004036B1">
      <w:pPr>
        <w:pStyle w:val="Prrafodelista"/>
        <w:numPr>
          <w:ilvl w:val="0"/>
          <w:numId w:val="2"/>
        </w:numPr>
        <w:spacing w:line="480" w:lineRule="auto"/>
        <w:jc w:val="both"/>
        <w:rPr>
          <w:rFonts w:ascii="Book Antiqua" w:hAnsi="Book Antiqua"/>
          <w:lang w:val="es-ES_tradnl"/>
        </w:rPr>
      </w:pPr>
      <w:r>
        <w:rPr>
          <w:rFonts w:ascii="Book Antiqua" w:hAnsi="Book Antiqua"/>
          <w:lang w:val="es-ES_tradnl"/>
        </w:rPr>
        <w:t>El historial de incidentes previos relacionados con la infraestructura sanitaria de la AAA en la Calle Mariano Abril Costalo y en la Sexta Sección de Levittown, incluyendo las intervenciones y reparaciones realizadas en cada ocasión y su efectividad.</w:t>
      </w:r>
    </w:p>
    <w:p w14:paraId="3EEE0957" w14:textId="77777777" w:rsidR="001F19D4" w:rsidRDefault="004036B1">
      <w:pPr>
        <w:pStyle w:val="Prrafodelista"/>
        <w:numPr>
          <w:ilvl w:val="0"/>
          <w:numId w:val="2"/>
        </w:numPr>
        <w:spacing w:line="480" w:lineRule="auto"/>
        <w:jc w:val="both"/>
        <w:rPr>
          <w:rFonts w:ascii="Book Antiqua" w:hAnsi="Book Antiqua"/>
          <w:lang w:val="es-ES_tradnl"/>
        </w:rPr>
      </w:pPr>
      <w:r>
        <w:rPr>
          <w:rFonts w:ascii="Book Antiqua" w:hAnsi="Book Antiqua"/>
          <w:lang w:val="es-ES_tradnl"/>
        </w:rPr>
        <w:t>El estado actual de la tubería sanitaria en el área afectada, las causas del colapso ocurrido en abril de 2026, y las medidas adoptadas por la AAA para atender la emergencia.</w:t>
      </w:r>
    </w:p>
    <w:p w14:paraId="4CE9217A" w14:textId="77777777" w:rsidR="001F19D4" w:rsidRDefault="004036B1">
      <w:pPr>
        <w:pStyle w:val="Prrafodelista"/>
        <w:numPr>
          <w:ilvl w:val="0"/>
          <w:numId w:val="2"/>
        </w:numPr>
        <w:spacing w:line="480" w:lineRule="auto"/>
        <w:jc w:val="both"/>
        <w:rPr>
          <w:rFonts w:ascii="Book Antiqua" w:hAnsi="Book Antiqua"/>
          <w:lang w:val="es-ES_tradnl"/>
        </w:rPr>
      </w:pPr>
      <w:r>
        <w:rPr>
          <w:rFonts w:ascii="Book Antiqua" w:hAnsi="Book Antiqua"/>
          <w:lang w:val="es-ES_tradnl"/>
        </w:rPr>
        <w:t>Los plazos establecidos para la culminación de los trabajos de reparación y sustitución de tubería, y el impacto de la condición actual en la movilidad y calidad de vida de los residentes.</w:t>
      </w:r>
    </w:p>
    <w:p w14:paraId="26B61B1D" w14:textId="77777777" w:rsidR="001F19D4" w:rsidRDefault="004036B1">
      <w:pPr>
        <w:pStyle w:val="Prrafodelista"/>
        <w:numPr>
          <w:ilvl w:val="0"/>
          <w:numId w:val="2"/>
        </w:numPr>
        <w:spacing w:line="480" w:lineRule="auto"/>
        <w:jc w:val="both"/>
        <w:rPr>
          <w:rFonts w:ascii="Book Antiqua" w:hAnsi="Book Antiqua"/>
          <w:lang w:val="es-ES_tradnl"/>
        </w:rPr>
      </w:pPr>
      <w:r>
        <w:rPr>
          <w:rFonts w:ascii="Book Antiqua" w:hAnsi="Book Antiqua"/>
          <w:lang w:val="es-ES_tradnl"/>
        </w:rPr>
        <w:t>La naturaleza, autorización y condición de la infraestructura o mecanismo provisional, si alguno, instalado o colocado bajo la piedra triturada (grava) que cubría la calzada durante el período de reparación, y su posible impacto sobre la seguridad de los vehículos y peatones que transitan por el área.</w:t>
      </w:r>
    </w:p>
    <w:p w14:paraId="333B008D" w14:textId="77777777" w:rsidR="001F19D4" w:rsidRDefault="004036B1">
      <w:pPr>
        <w:pStyle w:val="Prrafodelista"/>
        <w:numPr>
          <w:ilvl w:val="0"/>
          <w:numId w:val="2"/>
        </w:numPr>
        <w:spacing w:line="480" w:lineRule="auto"/>
        <w:jc w:val="both"/>
        <w:rPr>
          <w:rFonts w:ascii="Book Antiqua" w:hAnsi="Book Antiqua"/>
          <w:lang w:val="es-ES_tradnl"/>
        </w:rPr>
      </w:pPr>
      <w:r>
        <w:rPr>
          <w:rFonts w:ascii="Book Antiqua" w:hAnsi="Book Antiqua"/>
          <w:lang w:val="es-ES_tradnl"/>
        </w:rPr>
        <w:t>La suficiencia de las medidas de señalización, seguridad vial y protección ciudadana implementadas durante los trabajos, y si estas cumplen con los protocolos y reglamentaciones aplicables.</w:t>
      </w:r>
    </w:p>
    <w:p w14:paraId="7990F2F7" w14:textId="77777777" w:rsidR="001F19D4" w:rsidRDefault="004036B1">
      <w:pPr>
        <w:pStyle w:val="Prrafodelista"/>
        <w:numPr>
          <w:ilvl w:val="0"/>
          <w:numId w:val="2"/>
        </w:numPr>
        <w:spacing w:line="480" w:lineRule="auto"/>
        <w:jc w:val="both"/>
        <w:rPr>
          <w:rFonts w:ascii="Book Antiqua" w:hAnsi="Book Antiqua"/>
          <w:lang w:val="es-ES_tradnl"/>
        </w:rPr>
      </w:pPr>
      <w:r>
        <w:rPr>
          <w:rFonts w:ascii="Book Antiqua" w:hAnsi="Book Antiqua"/>
          <w:lang w:val="es-ES_tradnl"/>
        </w:rPr>
        <w:t xml:space="preserve">La coordinación </w:t>
      </w:r>
      <w:r w:rsidR="00AB1E15">
        <w:rPr>
          <w:rFonts w:ascii="Book Antiqua" w:hAnsi="Book Antiqua"/>
          <w:lang w:val="es-ES_tradnl"/>
        </w:rPr>
        <w:t xml:space="preserve">de </w:t>
      </w:r>
      <w:r>
        <w:rPr>
          <w:rFonts w:ascii="Book Antiqua" w:hAnsi="Book Antiqua"/>
          <w:lang w:val="es-ES_tradnl"/>
        </w:rPr>
        <w:t>la AAA en la atención del incidente y en la gestión de la seguridad pública durante los trabajos.</w:t>
      </w:r>
    </w:p>
    <w:p w14:paraId="48C5F474" w14:textId="77777777" w:rsidR="001F19D4" w:rsidRDefault="004036B1">
      <w:pPr>
        <w:pStyle w:val="Prrafodelista"/>
        <w:numPr>
          <w:ilvl w:val="0"/>
          <w:numId w:val="2"/>
        </w:numPr>
        <w:spacing w:line="480" w:lineRule="auto"/>
        <w:jc w:val="both"/>
        <w:rPr>
          <w:rFonts w:ascii="Book Antiqua" w:hAnsi="Book Antiqua"/>
          <w:lang w:val="es-ES_tradnl"/>
        </w:rPr>
      </w:pPr>
      <w:r>
        <w:rPr>
          <w:rFonts w:ascii="Book Antiqua" w:hAnsi="Book Antiqua"/>
          <w:lang w:val="es-ES_tradnl"/>
        </w:rPr>
        <w:lastRenderedPageBreak/>
        <w:t>Las medidas preventivas, de inspección y de mantenimiento que existen o deberían existir para evitar la recurrencia de este tipo de evento en Levittown y en otras comunidades con infraestructura sanitaria antigua, deteriorada o vulnerable.</w:t>
      </w:r>
    </w:p>
    <w:p w14:paraId="6D3FD064" w14:textId="77777777" w:rsidR="001F19D4" w:rsidRDefault="004036B1">
      <w:pPr>
        <w:pStyle w:val="Prrafodelista"/>
        <w:numPr>
          <w:ilvl w:val="0"/>
          <w:numId w:val="2"/>
        </w:numPr>
        <w:spacing w:line="480" w:lineRule="auto"/>
        <w:jc w:val="both"/>
        <w:rPr>
          <w:rFonts w:ascii="Book Antiqua" w:hAnsi="Book Antiqua"/>
          <w:lang w:val="es-ES_tradnl"/>
        </w:rPr>
      </w:pPr>
      <w:r>
        <w:rPr>
          <w:rFonts w:ascii="Book Antiqua" w:hAnsi="Book Antiqua"/>
          <w:lang w:val="es-ES_tradnl"/>
        </w:rPr>
        <w:t>El alcance y efectividad de las servidumbres legales de la AAA sobre propiedades privadas en el área de la Calle Mariano Abril Costalo, la experiencia de la AAA en hacer valer dichas servidumbres para acceder a la infraestructura sanitaria y realizar reparaciones, y los mecanismos disponibles para superar impedimentos de acceso cuando estos se presentan.</w:t>
      </w:r>
    </w:p>
    <w:p w14:paraId="442A8CC1" w14:textId="77777777" w:rsidR="001F19D4" w:rsidRDefault="004036B1">
      <w:pPr>
        <w:spacing w:line="480" w:lineRule="auto"/>
        <w:ind w:firstLine="567"/>
        <w:jc w:val="both"/>
        <w:rPr>
          <w:rFonts w:ascii="Book Antiqua" w:hAnsi="Book Antiqua"/>
          <w:lang w:val="es-ES_tradnl"/>
        </w:rPr>
      </w:pPr>
      <w:r>
        <w:rPr>
          <w:rFonts w:ascii="Book Antiqua" w:hAnsi="Book Antiqua"/>
          <w:lang w:val="es-ES_tradnl"/>
        </w:rPr>
        <w:t>Sección 3.- La Comisión podrá llevar a cabo todos los estudios, investigaciones, reuniones, citaciones, requerimientos de información, solicitudes de producción de documentos y demás gestiones que considere necesarias. Sin que se entienda como una limitación, la Comisión podrá citar a vistas públicas a representantes de la Autoridad de Acueductos y Alcantarillados, del Departamento de Transportación y Obras Públicas, de la Autoridad de Carreteras y Transportación</w:t>
      </w:r>
      <w:r w:rsidR="00AB1E15">
        <w:rPr>
          <w:rFonts w:ascii="Book Antiqua" w:hAnsi="Book Antiqua"/>
          <w:lang w:val="es-ES_tradnl"/>
        </w:rPr>
        <w:t xml:space="preserve">, </w:t>
      </w:r>
      <w:r>
        <w:rPr>
          <w:rFonts w:ascii="Book Antiqua" w:hAnsi="Book Antiqua"/>
          <w:lang w:val="es-ES_tradnl"/>
        </w:rPr>
        <w:t>entre otros, con el propósito de recabar información pertinente y evaluar soluciones efectivas para esta problemática.</w:t>
      </w:r>
    </w:p>
    <w:p w14:paraId="2F66AED7" w14:textId="77777777" w:rsidR="001F19D4" w:rsidRDefault="004036B1">
      <w:pPr>
        <w:spacing w:line="480" w:lineRule="auto"/>
        <w:ind w:firstLine="567"/>
        <w:jc w:val="both"/>
        <w:rPr>
          <w:rFonts w:ascii="Book Antiqua" w:hAnsi="Book Antiqua"/>
          <w:lang w:val="es-ES_tradnl"/>
        </w:rPr>
      </w:pPr>
      <w:r>
        <w:rPr>
          <w:rFonts w:ascii="Book Antiqua" w:hAnsi="Book Antiqua"/>
          <w:lang w:val="es-ES_tradnl"/>
        </w:rPr>
        <w:t>Sección 4.- La Comisión rendirá un informe con sus hallazgos, conclusiones y recomendaciones dentro de los próximos ciento ochenta (180) días contados a partir de la aprobación de esta Resolución.</w:t>
      </w:r>
    </w:p>
    <w:p w14:paraId="114E4912" w14:textId="77777777" w:rsidR="001F19D4" w:rsidRDefault="004036B1">
      <w:pPr>
        <w:spacing w:line="480" w:lineRule="auto"/>
        <w:ind w:firstLine="567"/>
        <w:jc w:val="both"/>
        <w:rPr>
          <w:rFonts w:ascii="Book Antiqua" w:hAnsi="Book Antiqua"/>
          <w:lang w:val="es-ES_tradnl"/>
        </w:rPr>
      </w:pPr>
      <w:r>
        <w:rPr>
          <w:rFonts w:ascii="Book Antiqua" w:hAnsi="Book Antiqua"/>
          <w:lang w:val="es-ES_tradnl"/>
        </w:rPr>
        <w:t>Sección 5.- Esta Resolución comenzará a regir inmediatamente después de su aprobación.</w:t>
      </w:r>
    </w:p>
    <w:sectPr w:rsidR="001F19D4">
      <w:headerReference w:type="even" r:id="rId8"/>
      <w:headerReference w:type="default" r:id="rId9"/>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4AEEA" w14:textId="77777777" w:rsidR="00B94135" w:rsidRDefault="00B94135">
      <w:r>
        <w:separator/>
      </w:r>
    </w:p>
  </w:endnote>
  <w:endnote w:type="continuationSeparator" w:id="0">
    <w:p w14:paraId="05592F78" w14:textId="77777777" w:rsidR="00B94135" w:rsidRDefault="00B94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4C442" w14:textId="77777777" w:rsidR="00B94135" w:rsidRDefault="00B94135">
      <w:pPr>
        <w:suppressLineNumbers/>
      </w:pPr>
      <w:r>
        <w:separator/>
      </w:r>
    </w:p>
  </w:footnote>
  <w:footnote w:type="continuationSeparator" w:id="0">
    <w:p w14:paraId="146E4F2E" w14:textId="77777777" w:rsidR="00B94135" w:rsidRDefault="00B94135">
      <w:pPr>
        <w:suppressLineNumbers/>
      </w:pPr>
      <w:r>
        <w:continuationSeparator/>
      </w:r>
    </w:p>
  </w:footnote>
  <w:footnote w:id="1">
    <w:p w14:paraId="73988192" w14:textId="77777777" w:rsidR="001F19D4" w:rsidRPr="00D841C6" w:rsidRDefault="004036B1">
      <w:pPr>
        <w:pStyle w:val="Textonotapie"/>
        <w:rPr>
          <w:lang w:val="es-ES"/>
        </w:rPr>
      </w:pPr>
      <w:r>
        <w:rPr>
          <w:rStyle w:val="Refdenotaalpie"/>
        </w:rPr>
        <w:footnoteRef/>
      </w:r>
      <w:r w:rsidRPr="00D841C6">
        <w:rPr>
          <w:lang w:val="es-ES"/>
        </w:rPr>
        <w:t xml:space="preserve"> El Vocero – Colapso de tubería provoca enorme socavón en Levittown: https://www.elvocero.com/actualidad/colapso-de-tuber-a-provoca-enorme-socav-n-en-levittown/article_015d92b9-0f83-446a-b4d4-a52975fe9c30.html | Ubicación: https://maps.app.goo.gl/V1sGVD1s9rXWLL8b7</w:t>
      </w:r>
    </w:p>
  </w:footnote>
  <w:footnote w:id="2">
    <w:p w14:paraId="3CAFA7B0" w14:textId="77777777" w:rsidR="001F19D4" w:rsidRPr="00D841C6" w:rsidRDefault="004036B1">
      <w:pPr>
        <w:pStyle w:val="Textonotapie"/>
        <w:rPr>
          <w:lang w:val="es-ES"/>
        </w:rPr>
      </w:pPr>
      <w:r>
        <w:rPr>
          <w:rStyle w:val="Refdenotaalpie"/>
        </w:rPr>
        <w:footnoteRef/>
      </w:r>
      <w:r w:rsidRPr="00D841C6">
        <w:rPr>
          <w:lang w:val="es-ES"/>
        </w:rPr>
        <w:t xml:space="preserve"> </w:t>
      </w:r>
      <w:proofErr w:type="spellStart"/>
      <w:r w:rsidRPr="00D841C6">
        <w:rPr>
          <w:lang w:val="es-ES"/>
        </w:rPr>
        <w:t>Wapa</w:t>
      </w:r>
      <w:proofErr w:type="spellEnd"/>
      <w:r w:rsidRPr="00D841C6">
        <w:rPr>
          <w:lang w:val="es-ES"/>
        </w:rPr>
        <w:t xml:space="preserve"> TV – Consternados vecinos de Levittown con enorme socavón: https://wapa.tv/noticias/locales/consternados-vecinos-de-levittown-con-enorme-socav-n/article_8587a5f3-bf68-49ab-8c7b-bda4a64a0bc6.html</w:t>
      </w:r>
    </w:p>
  </w:footnote>
  <w:footnote w:id="3">
    <w:p w14:paraId="39C0E946" w14:textId="77777777" w:rsidR="001F19D4" w:rsidRPr="00E024CA" w:rsidRDefault="004036B1">
      <w:pPr>
        <w:pStyle w:val="Textonotapie"/>
        <w:rPr>
          <w:lang w:val="es-ES"/>
        </w:rPr>
      </w:pPr>
      <w:r>
        <w:rPr>
          <w:rStyle w:val="Refdenotaalpie"/>
        </w:rPr>
        <w:footnoteRef/>
      </w:r>
      <w:r w:rsidRPr="00E024CA">
        <w:rPr>
          <w:lang w:val="es-ES"/>
        </w:rPr>
        <w:t xml:space="preserve"> Fotos tomadas el 30 de mayo de 2026 en la Calle Mariano Abril Costalo, Sexta Sección de Levittown, </w:t>
      </w:r>
      <w:proofErr w:type="spellStart"/>
      <w:r w:rsidRPr="00E024CA">
        <w:rPr>
          <w:lang w:val="es-ES"/>
        </w:rPr>
        <w:t>Toa</w:t>
      </w:r>
      <w:proofErr w:type="spellEnd"/>
      <w:r w:rsidRPr="00E024CA">
        <w:rPr>
          <w:lang w:val="es-ES"/>
        </w:rPr>
        <w:t xml:space="preserve"> Baja: https://drive.google.com/file/d/1rrtUQ8JHprOqWl4vmq2i-A3vbqUhhnNR/view?usp=sharing  https://drive.google.com/file/d/1wVvlCitElELayLPxA4KPHiZ2bi5U9Re5/view?usp=sharing https://drive.google.com/file/d/1zdFbZ6DDhlbhgAjwFK09TNGC_0lM_h8F/view?usp=sharing  https://drive.google.com/file/d/1JSyxuMThDFdldNDwV-CVcy_RQjHJcCKM/view?usp=sharing  https://drive.google.com/file/d/1YBH-VoOVyHz8Qtd2eFAHVeAa66TibMo6/view?usp=sharing  https://drive.google.com/file/d/1mrNRtB0-d1upcWwGhvJTB-wy1XPov1Qn/view?usp=sharing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BBA30" w14:textId="77777777" w:rsidR="00ED0B9C" w:rsidRDefault="00ED0B9C">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AB1E15">
      <w:rPr>
        <w:rStyle w:val="Nmerodepgina"/>
        <w:noProof/>
      </w:rPr>
      <w:t>2</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1900F" w14:textId="77777777" w:rsidR="00ED0B9C" w:rsidRDefault="00ED0B9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13</w:t>
    </w:r>
    <w:r>
      <w:rPr>
        <w:rStyle w:val="Nmerodepgina"/>
      </w:rPr>
      <w:fldChar w:fldCharType="end"/>
    </w:r>
  </w:p>
  <w:p w14:paraId="7070337D" w14:textId="77777777" w:rsidR="00ED0B9C" w:rsidRDefault="00ED0B9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BDC7A" w14:textId="77777777" w:rsidR="00ED0B9C" w:rsidRDefault="00ED0B9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B1E15">
      <w:rPr>
        <w:rStyle w:val="Nmerodepgina"/>
        <w:noProof/>
      </w:rPr>
      <w:t>4</w:t>
    </w:r>
    <w:r>
      <w:rPr>
        <w:rStyle w:val="Nmerodepgina"/>
      </w:rPr>
      <w:fldChar w:fldCharType="end"/>
    </w:r>
  </w:p>
  <w:p w14:paraId="5A962875" w14:textId="77777777" w:rsidR="00ED0B9C" w:rsidRDefault="00ED0B9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947BA5"/>
    <w:multiLevelType w:val="hybridMultilevel"/>
    <w:tmpl w:val="CB52B2CC"/>
    <w:lvl w:ilvl="0" w:tplc="F99EA7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ADB083F"/>
    <w:multiLevelType w:val="multilevel"/>
    <w:tmpl w:val="10B6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3682765">
    <w:abstractNumId w:val="1"/>
  </w:num>
  <w:num w:numId="2" w16cid:durableId="109709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27F6"/>
    <w:rsid w:val="00091379"/>
    <w:rsid w:val="000A39CC"/>
    <w:rsid w:val="000B3301"/>
    <w:rsid w:val="000E0602"/>
    <w:rsid w:val="00111EE6"/>
    <w:rsid w:val="00151E5B"/>
    <w:rsid w:val="00164D9F"/>
    <w:rsid w:val="00174DFD"/>
    <w:rsid w:val="00180FFE"/>
    <w:rsid w:val="001821E6"/>
    <w:rsid w:val="001A7154"/>
    <w:rsid w:val="001C7E59"/>
    <w:rsid w:val="001F19D4"/>
    <w:rsid w:val="001F6943"/>
    <w:rsid w:val="00204908"/>
    <w:rsid w:val="00223B6B"/>
    <w:rsid w:val="00226770"/>
    <w:rsid w:val="00230820"/>
    <w:rsid w:val="00247501"/>
    <w:rsid w:val="0028607F"/>
    <w:rsid w:val="00293BFA"/>
    <w:rsid w:val="002E3783"/>
    <w:rsid w:val="0030399F"/>
    <w:rsid w:val="003071FD"/>
    <w:rsid w:val="003278AF"/>
    <w:rsid w:val="0036061A"/>
    <w:rsid w:val="00362A71"/>
    <w:rsid w:val="003945D4"/>
    <w:rsid w:val="003A2F43"/>
    <w:rsid w:val="003D1950"/>
    <w:rsid w:val="003D6AB4"/>
    <w:rsid w:val="003E0DD9"/>
    <w:rsid w:val="004036B1"/>
    <w:rsid w:val="00423A10"/>
    <w:rsid w:val="00431D94"/>
    <w:rsid w:val="004536B4"/>
    <w:rsid w:val="00486936"/>
    <w:rsid w:val="00487314"/>
    <w:rsid w:val="004C1B66"/>
    <w:rsid w:val="004C28AB"/>
    <w:rsid w:val="004E18F7"/>
    <w:rsid w:val="004E6E11"/>
    <w:rsid w:val="004F5359"/>
    <w:rsid w:val="00522FD5"/>
    <w:rsid w:val="00541800"/>
    <w:rsid w:val="0057150E"/>
    <w:rsid w:val="005A652C"/>
    <w:rsid w:val="005C179B"/>
    <w:rsid w:val="005C6F82"/>
    <w:rsid w:val="005E4C96"/>
    <w:rsid w:val="005F515D"/>
    <w:rsid w:val="00613C54"/>
    <w:rsid w:val="00614287"/>
    <w:rsid w:val="00616A3A"/>
    <w:rsid w:val="0065253E"/>
    <w:rsid w:val="00653164"/>
    <w:rsid w:val="006901BD"/>
    <w:rsid w:val="00696BCE"/>
    <w:rsid w:val="006A1550"/>
    <w:rsid w:val="006C4EB8"/>
    <w:rsid w:val="006D4E06"/>
    <w:rsid w:val="00725BF3"/>
    <w:rsid w:val="00731A6B"/>
    <w:rsid w:val="00736CF7"/>
    <w:rsid w:val="00740A5D"/>
    <w:rsid w:val="00747247"/>
    <w:rsid w:val="007525F6"/>
    <w:rsid w:val="00771EFB"/>
    <w:rsid w:val="007821E6"/>
    <w:rsid w:val="00784166"/>
    <w:rsid w:val="0079291F"/>
    <w:rsid w:val="0079528F"/>
    <w:rsid w:val="007A3DD3"/>
    <w:rsid w:val="00804038"/>
    <w:rsid w:val="00824586"/>
    <w:rsid w:val="0083174E"/>
    <w:rsid w:val="00831A6A"/>
    <w:rsid w:val="00853B32"/>
    <w:rsid w:val="008673EB"/>
    <w:rsid w:val="0088170D"/>
    <w:rsid w:val="008B028B"/>
    <w:rsid w:val="008E1DD6"/>
    <w:rsid w:val="00911984"/>
    <w:rsid w:val="009466D1"/>
    <w:rsid w:val="00965662"/>
    <w:rsid w:val="0097641D"/>
    <w:rsid w:val="009A0450"/>
    <w:rsid w:val="009B0603"/>
    <w:rsid w:val="009B44DE"/>
    <w:rsid w:val="009D357D"/>
    <w:rsid w:val="00A05959"/>
    <w:rsid w:val="00A16F32"/>
    <w:rsid w:val="00A405F6"/>
    <w:rsid w:val="00A452ED"/>
    <w:rsid w:val="00A65F3D"/>
    <w:rsid w:val="00A83E44"/>
    <w:rsid w:val="00AA14A5"/>
    <w:rsid w:val="00AB1BCF"/>
    <w:rsid w:val="00AB1E15"/>
    <w:rsid w:val="00AB2D76"/>
    <w:rsid w:val="00AB727F"/>
    <w:rsid w:val="00AF3BD8"/>
    <w:rsid w:val="00AF3C1E"/>
    <w:rsid w:val="00B2111C"/>
    <w:rsid w:val="00B51C8A"/>
    <w:rsid w:val="00B54094"/>
    <w:rsid w:val="00B815AA"/>
    <w:rsid w:val="00B94135"/>
    <w:rsid w:val="00BE10B9"/>
    <w:rsid w:val="00BE3D16"/>
    <w:rsid w:val="00C06C1E"/>
    <w:rsid w:val="00C54E20"/>
    <w:rsid w:val="00C649B1"/>
    <w:rsid w:val="00C7795F"/>
    <w:rsid w:val="00C944B3"/>
    <w:rsid w:val="00CA1FC0"/>
    <w:rsid w:val="00CF6A88"/>
    <w:rsid w:val="00D0495F"/>
    <w:rsid w:val="00D113FC"/>
    <w:rsid w:val="00D429E5"/>
    <w:rsid w:val="00D65C84"/>
    <w:rsid w:val="00D7412C"/>
    <w:rsid w:val="00D841C6"/>
    <w:rsid w:val="00DD0D1C"/>
    <w:rsid w:val="00DD76A0"/>
    <w:rsid w:val="00DE387F"/>
    <w:rsid w:val="00DF2689"/>
    <w:rsid w:val="00E024CA"/>
    <w:rsid w:val="00E2117F"/>
    <w:rsid w:val="00E25922"/>
    <w:rsid w:val="00E3137D"/>
    <w:rsid w:val="00E42E4C"/>
    <w:rsid w:val="00E52704"/>
    <w:rsid w:val="00E56308"/>
    <w:rsid w:val="00E666B6"/>
    <w:rsid w:val="00E827F6"/>
    <w:rsid w:val="00EC3734"/>
    <w:rsid w:val="00ED0B9C"/>
    <w:rsid w:val="00F256F2"/>
    <w:rsid w:val="00F32A83"/>
    <w:rsid w:val="00F33AA4"/>
    <w:rsid w:val="00F4493B"/>
    <w:rsid w:val="00F76ED8"/>
    <w:rsid w:val="00F848A5"/>
    <w:rsid w:val="00F9247C"/>
    <w:rsid w:val="00FB0523"/>
    <w:rsid w:val="00FB1195"/>
    <w:rsid w:val="00FC7440"/>
    <w:rsid w:val="00FF0B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94F7A7"/>
  <w15:docId w15:val="{4D100995-0EAD-40C2-B434-D2D6C890E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7F6"/>
    <w:pPr>
      <w:spacing w:after="0" w:line="240" w:lineRule="auto"/>
    </w:pPr>
    <w:rPr>
      <w:rFonts w:ascii="Times New Roman" w:eastAsia="Times New Roman" w:hAnsi="Times New Roman" w:cs="Times New Roman"/>
      <w:sz w:val="24"/>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827F6"/>
    <w:pPr>
      <w:tabs>
        <w:tab w:val="center" w:pos="4320"/>
        <w:tab w:val="right" w:pos="8640"/>
      </w:tabs>
    </w:pPr>
    <w:rPr>
      <w:szCs w:val="24"/>
    </w:rPr>
  </w:style>
  <w:style w:type="character" w:customStyle="1" w:styleId="EncabezadoCar">
    <w:name w:val="Encabezado Car"/>
    <w:basedOn w:val="Fuentedeprrafopredeter"/>
    <w:link w:val="Encabezado"/>
    <w:rsid w:val="00E827F6"/>
    <w:rPr>
      <w:rFonts w:ascii="Times New Roman" w:eastAsia="Times New Roman" w:hAnsi="Times New Roman" w:cs="Times New Roman"/>
      <w:sz w:val="24"/>
      <w:szCs w:val="24"/>
    </w:rPr>
  </w:style>
  <w:style w:type="character" w:styleId="Nmerodepgina">
    <w:name w:val="page number"/>
    <w:basedOn w:val="Fuentedeprrafopredeter"/>
    <w:rsid w:val="00E827F6"/>
  </w:style>
  <w:style w:type="paragraph" w:customStyle="1" w:styleId="Title2">
    <w:name w:val="Title2"/>
    <w:basedOn w:val="Normal"/>
    <w:next w:val="Normal"/>
    <w:rsid w:val="00E827F6"/>
    <w:pPr>
      <w:tabs>
        <w:tab w:val="left" w:pos="648"/>
        <w:tab w:val="right" w:pos="7776"/>
        <w:tab w:val="left" w:pos="7848"/>
      </w:tabs>
    </w:pPr>
  </w:style>
  <w:style w:type="paragraph" w:customStyle="1" w:styleId="Default">
    <w:name w:val="Default"/>
    <w:rsid w:val="00E827F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E827F6"/>
    <w:pPr>
      <w:spacing w:before="100" w:beforeAutospacing="1" w:after="100" w:afterAutospacing="1"/>
    </w:pPr>
    <w:rPr>
      <w:szCs w:val="24"/>
    </w:rPr>
  </w:style>
  <w:style w:type="character" w:styleId="Nmerodelnea">
    <w:name w:val="line number"/>
    <w:basedOn w:val="Fuentedeprrafopredeter"/>
    <w:uiPriority w:val="99"/>
    <w:semiHidden/>
    <w:unhideWhenUsed/>
    <w:rsid w:val="00E827F6"/>
  </w:style>
  <w:style w:type="character" w:customStyle="1" w:styleId="grame">
    <w:name w:val="grame"/>
    <w:basedOn w:val="Fuentedeprrafopredeter"/>
    <w:rsid w:val="00164D9F"/>
  </w:style>
  <w:style w:type="paragraph" w:styleId="Textonotapie">
    <w:name w:val="footnote text"/>
    <w:basedOn w:val="Normal"/>
    <w:link w:val="TextonotapieCar"/>
    <w:uiPriority w:val="99"/>
    <w:unhideWhenUsed/>
    <w:pPr>
      <w:suppressLineNumbers/>
    </w:pPr>
    <w:rPr>
      <w:rFonts w:ascii="Book Antiqua" w:hAnsi="Book Antiqua"/>
      <w:sz w:val="18"/>
      <w:szCs w:val="18"/>
    </w:rPr>
  </w:style>
  <w:style w:type="character" w:styleId="Refdenotaalpie">
    <w:name w:val="footnote reference"/>
    <w:uiPriority w:val="99"/>
    <w:semiHidden/>
    <w:unhideWhenUsed/>
    <w:rPr>
      <w:vertAlign w:val="superscript"/>
    </w:rPr>
  </w:style>
  <w:style w:type="character" w:customStyle="1" w:styleId="TextonotapieCar">
    <w:name w:val="Texto nota pie Car"/>
    <w:basedOn w:val="Fuentedeprrafopredeter"/>
    <w:link w:val="Textonotapie"/>
    <w:uiPriority w:val="99"/>
    <w:semiHidden/>
    <w:rPr>
      <w:rFonts w:ascii="Book Antiqua" w:hAnsi="Book Antiqua"/>
      <w:sz w:val="18"/>
      <w:szCs w:val="18"/>
    </w:rPr>
  </w:style>
  <w:style w:type="character" w:styleId="Hipervnculo">
    <w:name w:val="Hyperlink"/>
    <w:basedOn w:val="Fuentedeprrafopredeter"/>
    <w:uiPriority w:val="99"/>
    <w:unhideWhenUsed/>
    <w:rPr>
      <w:color w:val="0563C1"/>
      <w:u w:val="single"/>
    </w:rPr>
  </w:style>
  <w:style w:type="paragraph" w:styleId="Prrafodelista">
    <w:name w:val="List Paragraph"/>
    <w:basedOn w:val="Normal"/>
    <w:uiPriority w:val="34"/>
    <w:qFormat/>
    <w:rsid w:val="00ED0B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633687">
      <w:bodyDiv w:val="1"/>
      <w:marLeft w:val="0"/>
      <w:marRight w:val="0"/>
      <w:marTop w:val="0"/>
      <w:marBottom w:val="0"/>
      <w:divBdr>
        <w:top w:val="none" w:sz="0" w:space="0" w:color="auto"/>
        <w:left w:val="none" w:sz="0" w:space="0" w:color="auto"/>
        <w:bottom w:val="none" w:sz="0" w:space="0" w:color="auto"/>
        <w:right w:val="none" w:sz="0" w:space="0" w:color="auto"/>
      </w:divBdr>
    </w:div>
    <w:div w:id="475342754">
      <w:bodyDiv w:val="1"/>
      <w:marLeft w:val="0"/>
      <w:marRight w:val="0"/>
      <w:marTop w:val="0"/>
      <w:marBottom w:val="0"/>
      <w:divBdr>
        <w:top w:val="none" w:sz="0" w:space="0" w:color="auto"/>
        <w:left w:val="none" w:sz="0" w:space="0" w:color="auto"/>
        <w:bottom w:val="none" w:sz="0" w:space="0" w:color="auto"/>
        <w:right w:val="none" w:sz="0" w:space="0" w:color="auto"/>
      </w:divBdr>
    </w:div>
    <w:div w:id="719404352">
      <w:bodyDiv w:val="1"/>
      <w:marLeft w:val="0"/>
      <w:marRight w:val="0"/>
      <w:marTop w:val="0"/>
      <w:marBottom w:val="0"/>
      <w:divBdr>
        <w:top w:val="none" w:sz="0" w:space="0" w:color="auto"/>
        <w:left w:val="none" w:sz="0" w:space="0" w:color="auto"/>
        <w:bottom w:val="none" w:sz="0" w:space="0" w:color="auto"/>
        <w:right w:val="none" w:sz="0" w:space="0" w:color="auto"/>
      </w:divBdr>
    </w:div>
    <w:div w:id="969742896">
      <w:bodyDiv w:val="1"/>
      <w:marLeft w:val="0"/>
      <w:marRight w:val="0"/>
      <w:marTop w:val="0"/>
      <w:marBottom w:val="0"/>
      <w:divBdr>
        <w:top w:val="none" w:sz="0" w:space="0" w:color="auto"/>
        <w:left w:val="none" w:sz="0" w:space="0" w:color="auto"/>
        <w:bottom w:val="none" w:sz="0" w:space="0" w:color="auto"/>
        <w:right w:val="none" w:sz="0" w:space="0" w:color="auto"/>
      </w:divBdr>
    </w:div>
    <w:div w:id="1319191157">
      <w:bodyDiv w:val="1"/>
      <w:marLeft w:val="0"/>
      <w:marRight w:val="0"/>
      <w:marTop w:val="0"/>
      <w:marBottom w:val="0"/>
      <w:divBdr>
        <w:top w:val="none" w:sz="0" w:space="0" w:color="auto"/>
        <w:left w:val="none" w:sz="0" w:space="0" w:color="auto"/>
        <w:bottom w:val="none" w:sz="0" w:space="0" w:color="auto"/>
        <w:right w:val="none" w:sz="0" w:space="0" w:color="auto"/>
      </w:divBdr>
    </w:div>
    <w:div w:id="1469320356">
      <w:bodyDiv w:val="1"/>
      <w:marLeft w:val="0"/>
      <w:marRight w:val="0"/>
      <w:marTop w:val="0"/>
      <w:marBottom w:val="0"/>
      <w:divBdr>
        <w:top w:val="none" w:sz="0" w:space="0" w:color="auto"/>
        <w:left w:val="none" w:sz="0" w:space="0" w:color="auto"/>
        <w:bottom w:val="none" w:sz="0" w:space="0" w:color="auto"/>
        <w:right w:val="none" w:sz="0" w:space="0" w:color="auto"/>
      </w:divBdr>
    </w:div>
    <w:div w:id="1905752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1413</Words>
  <Characters>8056</Characters>
  <Application>Microsoft Office Word</Application>
  <DocSecurity>0</DocSecurity>
  <Lines>67</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dc:creator>
  <cp:keywords/>
  <dc:description/>
  <cp:lastModifiedBy>Rocío Alayón Morell</cp:lastModifiedBy>
  <cp:revision>5</cp:revision>
  <cp:lastPrinted>2025-10-09T14:27:00Z</cp:lastPrinted>
  <dcterms:created xsi:type="dcterms:W3CDTF">2026-06-01T13:24:00Z</dcterms:created>
  <dcterms:modified xsi:type="dcterms:W3CDTF">2026-06-02T19:25:00Z</dcterms:modified>
</cp:coreProperties>
</file>