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5BDFD" w14:textId="77777777" w:rsidR="00BF3838" w:rsidRPr="00B97DEE" w:rsidRDefault="00F12B19">
      <w:pPr>
        <w:jc w:val="center"/>
        <w:rPr>
          <w:lang w:val="es-ES_tradnl"/>
        </w:rPr>
      </w:pPr>
      <w:r w:rsidRPr="00B97DEE">
        <w:rPr>
          <w:rFonts w:ascii="Book Antiqua" w:eastAsia="Book Antiqua" w:hAnsi="Book Antiqua" w:cs="Book Antiqua"/>
          <w:b/>
          <w:bCs/>
          <w:sz w:val="28"/>
          <w:szCs w:val="28"/>
          <w:lang w:val="es-ES_tradnl"/>
        </w:rPr>
        <w:t>GOBIERNO DE PUERTO RICO</w:t>
      </w:r>
    </w:p>
    <w:p w14:paraId="06C69AAF" w14:textId="77777777" w:rsidR="00BF3838" w:rsidRPr="00B97DEE" w:rsidRDefault="00BF3838">
      <w:pPr>
        <w:rPr>
          <w:lang w:val="es-ES_tradnl"/>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BF3838" w:rsidRPr="00B97DEE" w14:paraId="04FF67A6" w14:textId="77777777">
        <w:tc>
          <w:tcPr>
            <w:tcW w:w="4680" w:type="dxa"/>
            <w:tcBorders>
              <w:top w:val="none" w:sz="0" w:space="0" w:color="FFFFFF"/>
              <w:left w:val="none" w:sz="0" w:space="0" w:color="FFFFFF"/>
              <w:bottom w:val="none" w:sz="0" w:space="0" w:color="FFFFFF"/>
              <w:right w:val="none" w:sz="0" w:space="0" w:color="FFFFFF"/>
            </w:tcBorders>
          </w:tcPr>
          <w:p w14:paraId="0C28E426" w14:textId="77777777" w:rsidR="00BF3838" w:rsidRPr="00B97DEE" w:rsidRDefault="00F12B19">
            <w:pPr>
              <w:rPr>
                <w:lang w:val="es-ES_tradnl"/>
              </w:rPr>
            </w:pPr>
            <w:r w:rsidRPr="00B97DEE">
              <w:rPr>
                <w:rFonts w:ascii="Book Antiqua" w:eastAsia="Book Antiqua" w:hAnsi="Book Antiqua" w:cs="Book Antiqua"/>
                <w:sz w:val="24"/>
                <w:szCs w:val="24"/>
                <w:lang w:val="es-ES_tradnl"/>
              </w:rPr>
              <w:t>20ma. Asamblea</w:t>
            </w:r>
          </w:p>
        </w:tc>
        <w:tc>
          <w:tcPr>
            <w:tcW w:w="4680" w:type="dxa"/>
            <w:tcBorders>
              <w:top w:val="none" w:sz="0" w:space="0" w:color="FFFFFF"/>
              <w:left w:val="none" w:sz="0" w:space="0" w:color="FFFFFF"/>
              <w:bottom w:val="none" w:sz="0" w:space="0" w:color="FFFFFF"/>
              <w:right w:val="none" w:sz="0" w:space="0" w:color="FFFFFF"/>
            </w:tcBorders>
          </w:tcPr>
          <w:p w14:paraId="17C53E9A" w14:textId="77777777" w:rsidR="00BF3838" w:rsidRPr="00B97DEE" w:rsidRDefault="00F12B19">
            <w:pPr>
              <w:jc w:val="right"/>
              <w:rPr>
                <w:lang w:val="es-ES_tradnl"/>
              </w:rPr>
            </w:pPr>
            <w:r w:rsidRPr="00B97DEE">
              <w:rPr>
                <w:rFonts w:ascii="Book Antiqua" w:eastAsia="Book Antiqua" w:hAnsi="Book Antiqua" w:cs="Book Antiqua"/>
                <w:sz w:val="24"/>
                <w:szCs w:val="24"/>
                <w:lang w:val="es-ES_tradnl"/>
              </w:rPr>
              <w:t>3ra. Sesión</w:t>
            </w:r>
          </w:p>
        </w:tc>
      </w:tr>
      <w:tr w:rsidR="00BF3838" w:rsidRPr="00B97DEE" w14:paraId="45FFC5AD" w14:textId="77777777">
        <w:tc>
          <w:tcPr>
            <w:tcW w:w="4680" w:type="dxa"/>
            <w:tcBorders>
              <w:top w:val="none" w:sz="0" w:space="0" w:color="FFFFFF"/>
              <w:left w:val="none" w:sz="0" w:space="0" w:color="FFFFFF"/>
              <w:bottom w:val="none" w:sz="0" w:space="0" w:color="FFFFFF"/>
              <w:right w:val="none" w:sz="0" w:space="0" w:color="FFFFFF"/>
            </w:tcBorders>
          </w:tcPr>
          <w:p w14:paraId="55380CA4" w14:textId="77777777" w:rsidR="00BF3838" w:rsidRPr="00B97DEE" w:rsidRDefault="00F12B19">
            <w:pPr>
              <w:ind w:left="720"/>
              <w:rPr>
                <w:lang w:val="es-ES_tradnl"/>
              </w:rPr>
            </w:pPr>
            <w:r w:rsidRPr="00B97DEE">
              <w:rPr>
                <w:rFonts w:ascii="Book Antiqua" w:eastAsia="Book Antiqua" w:hAnsi="Book Antiqua" w:cs="Book Antiqua"/>
                <w:sz w:val="24"/>
                <w:szCs w:val="24"/>
                <w:lang w:val="es-ES_tradnl"/>
              </w:rPr>
              <w:t>Legislativa</w:t>
            </w:r>
          </w:p>
        </w:tc>
        <w:tc>
          <w:tcPr>
            <w:tcW w:w="4680" w:type="dxa"/>
            <w:tcBorders>
              <w:top w:val="none" w:sz="0" w:space="0" w:color="FFFFFF"/>
              <w:left w:val="none" w:sz="0" w:space="0" w:color="FFFFFF"/>
              <w:bottom w:val="none" w:sz="0" w:space="0" w:color="FFFFFF"/>
              <w:right w:val="none" w:sz="0" w:space="0" w:color="FFFFFF"/>
            </w:tcBorders>
          </w:tcPr>
          <w:p w14:paraId="6249D867" w14:textId="77777777" w:rsidR="00BF3838" w:rsidRPr="00B97DEE" w:rsidRDefault="00F12B19">
            <w:pPr>
              <w:jc w:val="right"/>
              <w:rPr>
                <w:lang w:val="es-ES_tradnl"/>
              </w:rPr>
            </w:pPr>
            <w:r w:rsidRPr="00B97DEE">
              <w:rPr>
                <w:rFonts w:ascii="Book Antiqua" w:eastAsia="Book Antiqua" w:hAnsi="Book Antiqua" w:cs="Book Antiqua"/>
                <w:sz w:val="24"/>
                <w:szCs w:val="24"/>
                <w:lang w:val="es-ES_tradnl"/>
              </w:rPr>
              <w:t>Ordinaria</w:t>
            </w:r>
          </w:p>
        </w:tc>
      </w:tr>
    </w:tbl>
    <w:p w14:paraId="004F6B06" w14:textId="77777777" w:rsidR="00BF3838" w:rsidRPr="00B97DEE" w:rsidRDefault="00BF3838">
      <w:pPr>
        <w:rPr>
          <w:lang w:val="es-ES_tradnl"/>
        </w:rPr>
      </w:pPr>
    </w:p>
    <w:p w14:paraId="01C96B3F" w14:textId="77777777" w:rsidR="00BF3838" w:rsidRPr="00B97DEE" w:rsidRDefault="00F12B19">
      <w:pPr>
        <w:jc w:val="center"/>
        <w:rPr>
          <w:lang w:val="es-ES_tradnl"/>
        </w:rPr>
      </w:pPr>
      <w:r w:rsidRPr="00B97DEE">
        <w:rPr>
          <w:rFonts w:ascii="Book Antiqua" w:eastAsia="Book Antiqua" w:hAnsi="Book Antiqua" w:cs="Book Antiqua"/>
          <w:b/>
          <w:bCs/>
          <w:sz w:val="36"/>
          <w:szCs w:val="36"/>
          <w:lang w:val="es-ES_tradnl"/>
        </w:rPr>
        <w:t>CÁMARA DE REPRESENTANTES</w:t>
      </w:r>
    </w:p>
    <w:p w14:paraId="27240DDB" w14:textId="77777777" w:rsidR="00BF3838" w:rsidRPr="00B97DEE" w:rsidRDefault="00BF3838">
      <w:pPr>
        <w:rPr>
          <w:lang w:val="es-ES_tradnl"/>
        </w:rPr>
      </w:pPr>
    </w:p>
    <w:p w14:paraId="2D3454BA" w14:textId="77777777" w:rsidR="00BF3838" w:rsidRPr="00B97DEE" w:rsidRDefault="00F12B19">
      <w:pPr>
        <w:jc w:val="center"/>
        <w:rPr>
          <w:lang w:val="es-ES_tradnl"/>
        </w:rPr>
      </w:pPr>
      <w:r w:rsidRPr="00B97DEE">
        <w:rPr>
          <w:rFonts w:ascii="Book Antiqua" w:eastAsia="Book Antiqua" w:hAnsi="Book Antiqua" w:cs="Book Antiqua"/>
          <w:b/>
          <w:bCs/>
          <w:sz w:val="52"/>
          <w:szCs w:val="52"/>
          <w:lang w:val="es-ES_tradnl"/>
        </w:rPr>
        <w:t>R. DE LA C. 712</w:t>
      </w:r>
    </w:p>
    <w:p w14:paraId="4BA336C7" w14:textId="77777777" w:rsidR="00BF3838" w:rsidRPr="00B97DEE" w:rsidRDefault="00BF3838">
      <w:pPr>
        <w:rPr>
          <w:lang w:val="es-ES_tradnl"/>
        </w:rPr>
      </w:pPr>
    </w:p>
    <w:p w14:paraId="4F795243" w14:textId="77777777" w:rsidR="00BF3838" w:rsidRPr="00B97DEE" w:rsidRDefault="00F12B19">
      <w:pPr>
        <w:jc w:val="center"/>
        <w:rPr>
          <w:lang w:val="es-ES_tradnl"/>
        </w:rPr>
      </w:pPr>
      <w:r w:rsidRPr="00B97DEE">
        <w:rPr>
          <w:rFonts w:ascii="Book Antiqua" w:eastAsia="Book Antiqua" w:hAnsi="Book Antiqua" w:cs="Book Antiqua"/>
          <w:b/>
          <w:bCs/>
          <w:sz w:val="28"/>
          <w:szCs w:val="28"/>
          <w:lang w:val="es-ES_tradnl"/>
        </w:rPr>
        <w:t>INFORME POSITIVO</w:t>
      </w:r>
    </w:p>
    <w:p w14:paraId="7C55ADF3" w14:textId="77777777" w:rsidR="00BF3838" w:rsidRPr="00B97DEE" w:rsidRDefault="00BF3838">
      <w:pPr>
        <w:rPr>
          <w:lang w:val="es-ES_tradnl"/>
        </w:rPr>
      </w:pPr>
    </w:p>
    <w:p w14:paraId="7DFF4CC4" w14:textId="31A93FBE" w:rsidR="00BF3838" w:rsidRPr="00B97DEE" w:rsidRDefault="00F12B19">
      <w:pPr>
        <w:jc w:val="center"/>
        <w:rPr>
          <w:rFonts w:ascii="Book Antiqua" w:eastAsia="Book Antiqua" w:hAnsi="Book Antiqua" w:cs="Book Antiqua"/>
          <w:sz w:val="24"/>
          <w:szCs w:val="24"/>
          <w:lang w:val="es-ES_tradnl"/>
        </w:rPr>
      </w:pPr>
      <w:r w:rsidRPr="00B97DEE">
        <w:rPr>
          <w:rFonts w:ascii="Book Antiqua" w:eastAsia="Book Antiqua" w:hAnsi="Book Antiqua" w:cs="Book Antiqua"/>
          <w:sz w:val="24"/>
          <w:szCs w:val="24"/>
          <w:lang w:val="es-ES_tradnl"/>
        </w:rPr>
        <w:t>1</w:t>
      </w:r>
      <w:r w:rsidR="00493F2A">
        <w:rPr>
          <w:rFonts w:ascii="Book Antiqua" w:eastAsia="Book Antiqua" w:hAnsi="Book Antiqua" w:cs="Book Antiqua"/>
          <w:sz w:val="24"/>
          <w:szCs w:val="24"/>
          <w:lang w:val="es-ES_tradnl"/>
        </w:rPr>
        <w:t>5</w:t>
      </w:r>
      <w:r w:rsidRPr="00B97DEE">
        <w:rPr>
          <w:rFonts w:ascii="Book Antiqua" w:eastAsia="Book Antiqua" w:hAnsi="Book Antiqua" w:cs="Book Antiqua"/>
          <w:sz w:val="24"/>
          <w:szCs w:val="24"/>
          <w:lang w:val="es-ES_tradnl"/>
        </w:rPr>
        <w:t xml:space="preserve"> de junio de 2026</w:t>
      </w:r>
    </w:p>
    <w:p w14:paraId="46310765" w14:textId="77777777" w:rsidR="00F12B19" w:rsidRPr="00B97DEE" w:rsidRDefault="00F12B19">
      <w:pPr>
        <w:jc w:val="center"/>
        <w:rPr>
          <w:lang w:val="es-ES_tradnl"/>
        </w:rPr>
      </w:pPr>
    </w:p>
    <w:p w14:paraId="61F581D6" w14:textId="77777777" w:rsidR="00BF3838" w:rsidRPr="00B97DEE" w:rsidRDefault="00BF3838">
      <w:pPr>
        <w:rPr>
          <w:lang w:val="es-ES_tradnl"/>
        </w:rPr>
      </w:pPr>
    </w:p>
    <w:p w14:paraId="2282C7E9" w14:textId="77777777" w:rsidR="00BF3838" w:rsidRPr="00B97DEE" w:rsidRDefault="00F12B19" w:rsidP="00F12B19">
      <w:pPr>
        <w:rPr>
          <w:lang w:val="es-ES_tradnl"/>
        </w:rPr>
      </w:pPr>
      <w:r w:rsidRPr="00B97DEE">
        <w:rPr>
          <w:rFonts w:ascii="Book Antiqua" w:eastAsia="Book Antiqua" w:hAnsi="Book Antiqua" w:cs="Book Antiqua"/>
          <w:b/>
          <w:bCs/>
          <w:sz w:val="24"/>
          <w:szCs w:val="24"/>
          <w:lang w:val="es-ES_tradnl"/>
        </w:rPr>
        <w:t>A LA CÁMARA DE REPRESENTANTES DE PUERTO RICO:</w:t>
      </w:r>
    </w:p>
    <w:p w14:paraId="0E3BEEF8" w14:textId="77777777" w:rsidR="00BF3838" w:rsidRPr="00B97DEE" w:rsidRDefault="00BF3838">
      <w:pPr>
        <w:rPr>
          <w:lang w:val="es-ES_tradnl"/>
        </w:rPr>
      </w:pPr>
    </w:p>
    <w:p w14:paraId="2C4B51D9" w14:textId="77777777" w:rsidR="00BF3838" w:rsidRPr="00B97DEE" w:rsidRDefault="00F12B19">
      <w:pPr>
        <w:ind w:firstLine="720"/>
        <w:jc w:val="both"/>
        <w:rPr>
          <w:rFonts w:ascii="Book Antiqua" w:eastAsia="Book Antiqua" w:hAnsi="Book Antiqua" w:cs="Book Antiqua"/>
          <w:sz w:val="24"/>
          <w:szCs w:val="24"/>
          <w:lang w:val="es-ES_tradnl"/>
        </w:rPr>
      </w:pPr>
      <w:r w:rsidRPr="00B97DEE">
        <w:rPr>
          <w:rFonts w:ascii="Book Antiqua" w:eastAsia="Book Antiqua" w:hAnsi="Book Antiqua" w:cs="Book Antiqua"/>
          <w:sz w:val="24"/>
          <w:szCs w:val="24"/>
          <w:lang w:val="es-ES_tradnl"/>
        </w:rPr>
        <w:t>La Comisión de Asuntos Internos de la Cámara de Representantes, previo estudio y consideración de la R. de la C. 712, presentada por el representante Santiago Guzmán, tiene a bien someter su informe recomendando la aprobación de la medida con las enmiendas contenidas en el entirillado electrónico que acompaña este informe, cuyo título lee:</w:t>
      </w:r>
    </w:p>
    <w:p w14:paraId="608FBCAF" w14:textId="77777777" w:rsidR="00AD2735" w:rsidRPr="00B97DEE" w:rsidRDefault="00AD2735">
      <w:pPr>
        <w:ind w:firstLine="720"/>
        <w:jc w:val="both"/>
        <w:rPr>
          <w:rFonts w:ascii="Book Antiqua" w:eastAsia="Book Antiqua" w:hAnsi="Book Antiqua" w:cs="Book Antiqua"/>
          <w:sz w:val="24"/>
          <w:szCs w:val="24"/>
          <w:lang w:val="es-ES_tradnl"/>
        </w:rPr>
      </w:pPr>
    </w:p>
    <w:p w14:paraId="05467106" w14:textId="77777777" w:rsidR="00AD2735" w:rsidRPr="00B97DEE" w:rsidRDefault="00AD2735" w:rsidP="00B97DEE">
      <w:pPr>
        <w:ind w:left="567" w:hanging="567"/>
        <w:jc w:val="both"/>
        <w:rPr>
          <w:rFonts w:ascii="Book Antiqua" w:hAnsi="Book Antiqua"/>
          <w:sz w:val="24"/>
          <w:szCs w:val="24"/>
          <w:lang w:val="es-ES_tradnl"/>
        </w:rPr>
      </w:pPr>
      <w:r w:rsidRPr="00B97DEE">
        <w:rPr>
          <w:rFonts w:ascii="Book Antiqua" w:hAnsi="Book Antiqua"/>
          <w:sz w:val="24"/>
          <w:szCs w:val="24"/>
          <w:lang w:val="es-ES_tradnl"/>
        </w:rPr>
        <w:t xml:space="preserve">“Para ordenar a la Comisión de Asuntos Municipales de la Cámara de Representantes de Puerto Rico realizar una investigación exhaustiva en torno a las acciones </w:t>
      </w:r>
      <w:r w:rsidR="004C0D93" w:rsidRPr="00B97DEE">
        <w:rPr>
          <w:rFonts w:ascii="Book Antiqua" w:hAnsi="Book Antiqua"/>
          <w:sz w:val="24"/>
          <w:szCs w:val="24"/>
          <w:lang w:val="es-ES_tradnl"/>
        </w:rPr>
        <w:t xml:space="preserve">administrativas, decisiones operacionales, criterios técnicos y directrices impartidas por la Región Metro de la Autoridad de Acueductos y Alcantarillados (A.A.A.) relacionadas con </w:t>
      </w:r>
      <w:r w:rsidR="004C0D93" w:rsidRPr="00B97DEE">
        <w:rPr>
          <w:rFonts w:ascii="Book Antiqua" w:hAnsi="Book Antiqua"/>
          <w:iCs/>
          <w:sz w:val="24"/>
          <w:szCs w:val="24"/>
          <w:lang w:val="es-ES_tradnl"/>
        </w:rPr>
        <w:t>la operación del sistema de distribución de agua potable, incluyendo</w:t>
      </w:r>
      <w:r w:rsidR="004C0D93" w:rsidRPr="00B97DEE">
        <w:rPr>
          <w:rFonts w:ascii="Book Antiqua" w:hAnsi="Book Antiqua"/>
          <w:sz w:val="24"/>
          <w:szCs w:val="24"/>
          <w:lang w:val="es-ES_tradnl"/>
        </w:rPr>
        <w:t xml:space="preserve"> el cierre de válvulas y el desvío de agua</w:t>
      </w:r>
      <w:r w:rsidR="004C0D93" w:rsidRPr="00B97DEE">
        <w:rPr>
          <w:rFonts w:ascii="Book Antiqua" w:hAnsi="Book Antiqua"/>
          <w:sz w:val="24"/>
          <w:szCs w:val="24"/>
          <w:u w:val="single"/>
          <w:lang w:val="es-ES_tradnl"/>
        </w:rPr>
        <w:t>,</w:t>
      </w:r>
      <w:r w:rsidR="004C0D93" w:rsidRPr="00B97DEE">
        <w:rPr>
          <w:rFonts w:ascii="Book Antiqua" w:hAnsi="Book Antiqua"/>
          <w:sz w:val="24"/>
          <w:szCs w:val="24"/>
          <w:lang w:val="es-ES_tradnl"/>
        </w:rPr>
        <w:t xml:space="preserve"> el manejo de tanques del almacenamiento, los patrones de bombeo y el uso de datos operacionales asociados al tanque de abastecimiento localizado en las inmediaciones de la carretera PR-865</w:t>
      </w:r>
      <w:r w:rsidR="004C0D93" w:rsidRPr="00B97DEE">
        <w:rPr>
          <w:rFonts w:ascii="Book Antiqua" w:hAnsi="Book Antiqua"/>
          <w:sz w:val="24"/>
          <w:szCs w:val="24"/>
          <w:u w:val="single"/>
          <w:lang w:val="es-ES_tradnl"/>
        </w:rPr>
        <w:t>,</w:t>
      </w:r>
      <w:r w:rsidR="004C0D93" w:rsidRPr="00B97DEE">
        <w:rPr>
          <w:rFonts w:ascii="Book Antiqua" w:hAnsi="Book Antiqua"/>
          <w:sz w:val="24"/>
          <w:szCs w:val="24"/>
          <w:lang w:val="es-ES_tradnl"/>
        </w:rPr>
        <w:t xml:space="preserve"> cercano a las instalaciones de Pepsi Cola en el municipio de Toa Baja; determinar el impacto que tales determinaciones han tenido sobre los residentes, comercios e instituciones del Municipio de Toa Baja; identificar las comunidades, sectores y municipios beneficiados o afectados por dichas operaciones; evaluar la razonabilidad, necesidad, legalidad, transparencia y</w:t>
      </w:r>
      <w:r w:rsidR="004C0D93" w:rsidRPr="00B97DEE">
        <w:rPr>
          <w:rFonts w:ascii="Book Antiqua" w:hAnsi="Book Antiqua"/>
          <w:sz w:val="24"/>
          <w:szCs w:val="24"/>
          <w:u w:val="single"/>
          <w:lang w:val="es-ES_tradnl"/>
        </w:rPr>
        <w:t xml:space="preserve"> </w:t>
      </w:r>
      <w:r w:rsidR="004C0D93" w:rsidRPr="00B97DEE">
        <w:rPr>
          <w:rFonts w:ascii="Book Antiqua" w:hAnsi="Book Antiqua"/>
          <w:sz w:val="24"/>
          <w:szCs w:val="24"/>
          <w:lang w:val="es-ES_tradnl"/>
        </w:rPr>
        <w:t>documentación de tales determinaciones; y para otros fines relacionados.”</w:t>
      </w:r>
    </w:p>
    <w:p w14:paraId="7A6AB8C9" w14:textId="77777777" w:rsidR="00BF3838" w:rsidRPr="00B97DEE" w:rsidRDefault="00BF3838">
      <w:pPr>
        <w:rPr>
          <w:lang w:val="es-ES_tradnl"/>
        </w:rPr>
      </w:pPr>
    </w:p>
    <w:p w14:paraId="6B3FED67" w14:textId="77777777" w:rsidR="00BF3838" w:rsidRPr="00B97DEE" w:rsidRDefault="00F12B19">
      <w:pPr>
        <w:jc w:val="center"/>
        <w:rPr>
          <w:lang w:val="es-ES_tradnl"/>
        </w:rPr>
      </w:pPr>
      <w:r w:rsidRPr="00B97DEE">
        <w:rPr>
          <w:rFonts w:ascii="Book Antiqua" w:eastAsia="Book Antiqua" w:hAnsi="Book Antiqua" w:cs="Book Antiqua"/>
          <w:b/>
          <w:bCs/>
          <w:sz w:val="24"/>
          <w:szCs w:val="24"/>
          <w:lang w:val="es-ES_tradnl"/>
        </w:rPr>
        <w:t>ALCANCE Y ANÁLISIS DE LA MEDIDA</w:t>
      </w:r>
    </w:p>
    <w:p w14:paraId="0E838853" w14:textId="77777777" w:rsidR="00BF3838" w:rsidRPr="00B97DEE" w:rsidRDefault="00BF3838">
      <w:pPr>
        <w:rPr>
          <w:lang w:val="es-ES_tradnl"/>
        </w:rPr>
      </w:pPr>
    </w:p>
    <w:p w14:paraId="67118E06" w14:textId="77777777" w:rsidR="00BF3838" w:rsidRPr="00B97DEE" w:rsidRDefault="00F12B19">
      <w:pPr>
        <w:ind w:firstLine="720"/>
        <w:jc w:val="both"/>
        <w:rPr>
          <w:lang w:val="es-ES_tradnl"/>
        </w:rPr>
      </w:pPr>
      <w:r w:rsidRPr="00B97DEE">
        <w:rPr>
          <w:rFonts w:ascii="Book Antiqua" w:eastAsia="Book Antiqua" w:hAnsi="Book Antiqua" w:cs="Book Antiqua"/>
          <w:sz w:val="24"/>
          <w:szCs w:val="24"/>
          <w:lang w:val="es-ES_tradnl"/>
        </w:rPr>
        <w:t xml:space="preserve">La Resolución de la Cámara Núm. 712 tiene el propósito de ordenar a la Comisión de Asuntos Municipales realizar una investigación exhaustiva sobre las acciones administrativas y decisiones operacionales adoptadas por la Región Metro de la Autoridad de Acueductos y Alcantarillados en relación con el sistema de distribución </w:t>
      </w:r>
      <w:r w:rsidRPr="00B97DEE">
        <w:rPr>
          <w:rFonts w:ascii="Book Antiqua" w:eastAsia="Book Antiqua" w:hAnsi="Book Antiqua" w:cs="Book Antiqua"/>
          <w:sz w:val="24"/>
          <w:szCs w:val="24"/>
          <w:lang w:val="es-ES_tradnl"/>
        </w:rPr>
        <w:lastRenderedPageBreak/>
        <w:t>de agua potable que sirve al municipio de Toa Baja. La medida responde a las denuncias sostenidas de residentes, líderes comunitarios y funcionarios municipales ante las interrupciones recurrentes en el servicio, las reducciones significativas en la presión del sistema y los períodos prolongados sin agua que han afectado adversamente la calidad de vida de miles de familias en dicho municipio.</w:t>
      </w:r>
    </w:p>
    <w:p w14:paraId="27826D06" w14:textId="77777777" w:rsidR="00BF3838" w:rsidRPr="00B97DEE" w:rsidRDefault="00BF3838">
      <w:pPr>
        <w:rPr>
          <w:lang w:val="es-ES_tradnl"/>
        </w:rPr>
      </w:pPr>
    </w:p>
    <w:p w14:paraId="519D47C9" w14:textId="77777777" w:rsidR="00BF3838" w:rsidRPr="00B97DEE" w:rsidRDefault="00F12B19">
      <w:pPr>
        <w:ind w:firstLine="720"/>
        <w:jc w:val="both"/>
        <w:rPr>
          <w:lang w:val="es-ES_tradnl"/>
        </w:rPr>
      </w:pPr>
      <w:r w:rsidRPr="00B97DEE">
        <w:rPr>
          <w:rFonts w:ascii="Book Antiqua" w:eastAsia="Book Antiqua" w:hAnsi="Book Antiqua" w:cs="Book Antiqua"/>
          <w:sz w:val="24"/>
          <w:szCs w:val="24"/>
          <w:lang w:val="es-ES_tradnl"/>
        </w:rPr>
        <w:t>La investigación abarcará el análisis de las operaciones relacionadas con el cierre de válvulas y el desvío de agua, el manejo de tanques de almacenamiento, los patrones de bombeo y el uso de datos operacionales asociados al tanque de abastecimiento localizado en las inmediaciones de la carretera PR-865, cercano a las instalaciones de Pepsi Cola en Toa Baja. Asimismo, la medida faculta a la Comisión para identificar las comunidades, sectores y municipios beneficiados o afectados por dichas operaciones, así como para evaluar la razonabilidad, necesidad, legalidad, transparencia y documentación de las determinaciones adoptadas por la Región Metro de la A.A.A. Cabe destacar que la problemática del servicio de agua potable en dicha región ha sido reconocida formalmente por la Rama Ejecutiva mediante la Orden Ejecutiva OE-2025-044, y ha dado lugar a procesos judiciales instados por e</w:t>
      </w:r>
      <w:r w:rsidR="00B97DEE" w:rsidRPr="00B97DEE">
        <w:rPr>
          <w:rFonts w:ascii="Book Antiqua" w:eastAsia="Book Antiqua" w:hAnsi="Book Antiqua" w:cs="Book Antiqua"/>
          <w:sz w:val="24"/>
          <w:szCs w:val="24"/>
          <w:lang w:val="es-ES_tradnl"/>
        </w:rPr>
        <w:t xml:space="preserve">l Municipio de San Juan ante el </w:t>
      </w:r>
      <w:r w:rsidRPr="00B97DEE">
        <w:rPr>
          <w:rFonts w:ascii="Book Antiqua" w:eastAsia="Book Antiqua" w:hAnsi="Book Antiqua" w:cs="Book Antiqua"/>
          <w:sz w:val="24"/>
          <w:szCs w:val="24"/>
          <w:lang w:val="es-ES_tradnl"/>
        </w:rPr>
        <w:t>Tribunal de Primera Instancia, lo que evidencia la magnitud y urgencia de la situación.</w:t>
      </w:r>
    </w:p>
    <w:p w14:paraId="19D7C43C" w14:textId="77777777" w:rsidR="00BF3838" w:rsidRPr="00B97DEE" w:rsidRDefault="00BF3838">
      <w:pPr>
        <w:rPr>
          <w:lang w:val="es-ES_tradnl"/>
        </w:rPr>
      </w:pPr>
    </w:p>
    <w:p w14:paraId="058FFFF3" w14:textId="77777777" w:rsidR="00BF3838" w:rsidRPr="00B97DEE" w:rsidRDefault="00F12B19">
      <w:pPr>
        <w:ind w:firstLine="720"/>
        <w:jc w:val="both"/>
        <w:rPr>
          <w:lang w:val="es-ES_tradnl"/>
        </w:rPr>
      </w:pPr>
      <w:r w:rsidRPr="00B97DEE">
        <w:rPr>
          <w:rFonts w:ascii="Book Antiqua" w:eastAsia="Book Antiqua" w:hAnsi="Book Antiqua" w:cs="Book Antiqua"/>
          <w:sz w:val="24"/>
          <w:szCs w:val="24"/>
          <w:lang w:val="es-ES_tradnl"/>
        </w:rPr>
        <w:t>Finalmente, recomendamos a la Comisión de Asuntos Municipales tramitar la investigación conforme al reglamento y con apego al plazo concedido para rendir su informe, si alguno, o mientras se mantenga en vigor la misma.</w:t>
      </w:r>
    </w:p>
    <w:p w14:paraId="005AD211" w14:textId="77777777" w:rsidR="00BF3838" w:rsidRPr="00B97DEE" w:rsidRDefault="00BF3838">
      <w:pPr>
        <w:rPr>
          <w:lang w:val="es-ES_tradnl"/>
        </w:rPr>
      </w:pPr>
    </w:p>
    <w:p w14:paraId="37397FE9" w14:textId="77777777" w:rsidR="00BF3838" w:rsidRPr="00B97DEE" w:rsidRDefault="00F12B19">
      <w:pPr>
        <w:jc w:val="center"/>
        <w:rPr>
          <w:lang w:val="es-ES_tradnl"/>
        </w:rPr>
      </w:pPr>
      <w:r w:rsidRPr="00B97DEE">
        <w:rPr>
          <w:rFonts w:ascii="Book Antiqua" w:eastAsia="Book Antiqua" w:hAnsi="Book Antiqua" w:cs="Book Antiqua"/>
          <w:b/>
          <w:bCs/>
          <w:sz w:val="24"/>
          <w:szCs w:val="24"/>
          <w:lang w:val="es-ES_tradnl"/>
        </w:rPr>
        <w:t>CONCLUSIÓN Y RECOMENDACIÓN</w:t>
      </w:r>
    </w:p>
    <w:p w14:paraId="33ECEE28" w14:textId="77777777" w:rsidR="00BF3838" w:rsidRPr="00B97DEE" w:rsidRDefault="00BF3838">
      <w:pPr>
        <w:rPr>
          <w:lang w:val="es-ES_tradnl"/>
        </w:rPr>
      </w:pPr>
    </w:p>
    <w:p w14:paraId="23793499" w14:textId="77777777" w:rsidR="00BF3838" w:rsidRPr="00B97DEE" w:rsidRDefault="00F12B19">
      <w:pPr>
        <w:ind w:firstLine="720"/>
        <w:jc w:val="both"/>
        <w:rPr>
          <w:lang w:val="es-ES_tradnl"/>
        </w:rPr>
      </w:pPr>
      <w:r w:rsidRPr="00B97DEE">
        <w:rPr>
          <w:rFonts w:ascii="Book Antiqua" w:eastAsia="Book Antiqua" w:hAnsi="Book Antiqua" w:cs="Book Antiqua"/>
          <w:sz w:val="24"/>
          <w:szCs w:val="24"/>
          <w:lang w:val="es-ES_tradnl"/>
        </w:rPr>
        <w:t>Considerando los elementos analizados, esta Comisión concluye que la medida examinada responde a un interés legislativo legítimo y debidamente fundamentado. Como comisión cameral, entendemos que la Resolución objeto de análisis cuenta con todo lo requerido constitucional, estatutaria y jurisprudencialmente, para dar paso a la aprobación de la misma. En consecuencia, se recomienda la aprobación de la Resolución de la Cámara 712, con las enmiendas que obran en el entirillado electrónico que acompaña este informe.</w:t>
      </w:r>
    </w:p>
    <w:p w14:paraId="7BE390AB" w14:textId="77777777" w:rsidR="00BF3838" w:rsidRPr="00B97DEE" w:rsidRDefault="00BF3838">
      <w:pPr>
        <w:rPr>
          <w:lang w:val="es-ES_tradnl"/>
        </w:rPr>
      </w:pPr>
    </w:p>
    <w:p w14:paraId="6431EE13" w14:textId="77777777" w:rsidR="00BF3838" w:rsidRPr="00B97DEE" w:rsidRDefault="00F12B19">
      <w:pPr>
        <w:jc w:val="both"/>
        <w:rPr>
          <w:rFonts w:ascii="Book Antiqua" w:eastAsia="Book Antiqua" w:hAnsi="Book Antiqua" w:cs="Book Antiqua"/>
          <w:sz w:val="24"/>
          <w:szCs w:val="24"/>
          <w:lang w:val="es-ES_tradnl"/>
        </w:rPr>
      </w:pPr>
      <w:r w:rsidRPr="00B97DEE">
        <w:rPr>
          <w:rFonts w:ascii="Book Antiqua" w:eastAsia="Book Antiqua" w:hAnsi="Book Antiqua" w:cs="Book Antiqua"/>
          <w:sz w:val="24"/>
          <w:szCs w:val="24"/>
          <w:lang w:val="es-ES_tradnl"/>
        </w:rPr>
        <w:t>Respetuosamente sometido,</w:t>
      </w:r>
    </w:p>
    <w:p w14:paraId="6A8735C7" w14:textId="77777777" w:rsidR="00B97DEE" w:rsidRPr="00B97DEE" w:rsidRDefault="00B97DEE">
      <w:pPr>
        <w:jc w:val="both"/>
        <w:rPr>
          <w:lang w:val="es-ES_tradnl"/>
        </w:rPr>
      </w:pPr>
    </w:p>
    <w:p w14:paraId="6026FC31" w14:textId="77777777" w:rsidR="00BF3838" w:rsidRPr="00B97DEE" w:rsidRDefault="00BF3838">
      <w:pPr>
        <w:rPr>
          <w:lang w:val="es-ES_tradnl"/>
        </w:rPr>
      </w:pPr>
    </w:p>
    <w:p w14:paraId="52A5C907" w14:textId="77777777" w:rsidR="00BF3838" w:rsidRPr="00B97DEE" w:rsidRDefault="00BF3838">
      <w:pPr>
        <w:rPr>
          <w:lang w:val="es-ES_tradnl"/>
        </w:rPr>
      </w:pPr>
    </w:p>
    <w:p w14:paraId="3D1DFA98" w14:textId="77777777" w:rsidR="00BF3838" w:rsidRPr="00B97DEE" w:rsidRDefault="00BF3838">
      <w:pPr>
        <w:rPr>
          <w:lang w:val="es-ES_tradnl"/>
        </w:rPr>
      </w:pPr>
    </w:p>
    <w:p w14:paraId="42236605" w14:textId="77777777" w:rsidR="00BF3838" w:rsidRPr="00B97DEE" w:rsidRDefault="00F12B19">
      <w:pPr>
        <w:rPr>
          <w:lang w:val="es-ES_tradnl"/>
        </w:rPr>
      </w:pPr>
      <w:r w:rsidRPr="00B97DEE">
        <w:rPr>
          <w:rFonts w:ascii="Book Antiqua" w:eastAsia="Book Antiqua" w:hAnsi="Book Antiqua" w:cs="Book Antiqua"/>
          <w:b/>
          <w:bCs/>
          <w:sz w:val="24"/>
          <w:szCs w:val="24"/>
          <w:lang w:val="es-ES_tradnl"/>
        </w:rPr>
        <w:t>PEDRO JULIO SANTIAGO GUZMÁN</w:t>
      </w:r>
    </w:p>
    <w:p w14:paraId="630DAE9F" w14:textId="77777777" w:rsidR="00BF3838" w:rsidRPr="00B97DEE" w:rsidRDefault="00F12B19">
      <w:pPr>
        <w:rPr>
          <w:lang w:val="es-ES_tradnl"/>
        </w:rPr>
      </w:pPr>
      <w:r w:rsidRPr="00B97DEE">
        <w:rPr>
          <w:rFonts w:ascii="Book Antiqua" w:eastAsia="Book Antiqua" w:hAnsi="Book Antiqua" w:cs="Book Antiqua"/>
          <w:sz w:val="24"/>
          <w:szCs w:val="24"/>
          <w:lang w:val="es-ES_tradnl"/>
        </w:rPr>
        <w:t>Presidente</w:t>
      </w:r>
    </w:p>
    <w:p w14:paraId="1EF0FDAE" w14:textId="77777777" w:rsidR="00BF3838" w:rsidRPr="00B97DEE" w:rsidRDefault="00F12B19">
      <w:pPr>
        <w:rPr>
          <w:lang w:val="es-ES_tradnl"/>
        </w:rPr>
      </w:pPr>
      <w:r w:rsidRPr="00B97DEE">
        <w:rPr>
          <w:rFonts w:ascii="Book Antiqua" w:eastAsia="Book Antiqua" w:hAnsi="Book Antiqua" w:cs="Book Antiqua"/>
          <w:sz w:val="24"/>
          <w:szCs w:val="24"/>
          <w:lang w:val="es-ES_tradnl"/>
        </w:rPr>
        <w:t>Comisión de Asuntos Internos</w:t>
      </w:r>
    </w:p>
    <w:p w14:paraId="1E40AF9D" w14:textId="77777777" w:rsidR="00BF3838" w:rsidRPr="00B97DEE" w:rsidRDefault="00BF3838">
      <w:pPr>
        <w:rPr>
          <w:lang w:val="es-ES_tradnl"/>
        </w:rPr>
      </w:pPr>
    </w:p>
    <w:sectPr w:rsidR="00BF3838" w:rsidRPr="00B97DEE">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70A4D"/>
    <w:multiLevelType w:val="hybridMultilevel"/>
    <w:tmpl w:val="CFF47CEE"/>
    <w:lvl w:ilvl="0" w:tplc="45F4EFCC">
      <w:start w:val="1"/>
      <w:numFmt w:val="bullet"/>
      <w:lvlText w:val="●"/>
      <w:lvlJc w:val="left"/>
      <w:pPr>
        <w:ind w:left="720" w:hanging="360"/>
      </w:pPr>
    </w:lvl>
    <w:lvl w:ilvl="1" w:tplc="E6A4A0AA">
      <w:start w:val="1"/>
      <w:numFmt w:val="bullet"/>
      <w:lvlText w:val="○"/>
      <w:lvlJc w:val="left"/>
      <w:pPr>
        <w:ind w:left="1440" w:hanging="360"/>
      </w:pPr>
    </w:lvl>
    <w:lvl w:ilvl="2" w:tplc="1B8AE60C">
      <w:start w:val="1"/>
      <w:numFmt w:val="bullet"/>
      <w:lvlText w:val="■"/>
      <w:lvlJc w:val="left"/>
      <w:pPr>
        <w:ind w:left="2160" w:hanging="360"/>
      </w:pPr>
    </w:lvl>
    <w:lvl w:ilvl="3" w:tplc="F0966326">
      <w:start w:val="1"/>
      <w:numFmt w:val="bullet"/>
      <w:lvlText w:val="●"/>
      <w:lvlJc w:val="left"/>
      <w:pPr>
        <w:ind w:left="2880" w:hanging="360"/>
      </w:pPr>
    </w:lvl>
    <w:lvl w:ilvl="4" w:tplc="41166F66">
      <w:start w:val="1"/>
      <w:numFmt w:val="bullet"/>
      <w:lvlText w:val="○"/>
      <w:lvlJc w:val="left"/>
      <w:pPr>
        <w:ind w:left="3600" w:hanging="360"/>
      </w:pPr>
    </w:lvl>
    <w:lvl w:ilvl="5" w:tplc="F6744FA6">
      <w:start w:val="1"/>
      <w:numFmt w:val="bullet"/>
      <w:lvlText w:val="■"/>
      <w:lvlJc w:val="left"/>
      <w:pPr>
        <w:ind w:left="4320" w:hanging="360"/>
      </w:pPr>
    </w:lvl>
    <w:lvl w:ilvl="6" w:tplc="F9864EE6">
      <w:start w:val="1"/>
      <w:numFmt w:val="bullet"/>
      <w:lvlText w:val="●"/>
      <w:lvlJc w:val="left"/>
      <w:pPr>
        <w:ind w:left="5040" w:hanging="360"/>
      </w:pPr>
    </w:lvl>
    <w:lvl w:ilvl="7" w:tplc="291C6B04">
      <w:start w:val="1"/>
      <w:numFmt w:val="bullet"/>
      <w:lvlText w:val="●"/>
      <w:lvlJc w:val="left"/>
      <w:pPr>
        <w:ind w:left="5760" w:hanging="360"/>
      </w:pPr>
    </w:lvl>
    <w:lvl w:ilvl="8" w:tplc="D69CC5BC">
      <w:start w:val="1"/>
      <w:numFmt w:val="bullet"/>
      <w:lvlText w:val="●"/>
      <w:lvlJc w:val="left"/>
      <w:pPr>
        <w:ind w:left="6480" w:hanging="360"/>
      </w:pPr>
    </w:lvl>
  </w:abstractNum>
  <w:num w:numId="1" w16cid:durableId="117075775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BF3838"/>
    <w:rsid w:val="00493F2A"/>
    <w:rsid w:val="004C0D93"/>
    <w:rsid w:val="00AD2735"/>
    <w:rsid w:val="00B5428E"/>
    <w:rsid w:val="00B97DEE"/>
    <w:rsid w:val="00BF3838"/>
    <w:rsid w:val="00F12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32B618"/>
  <w15:docId w15:val="{2AF12E6E-1B90-43E2-96F5-F57B24F6C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636</Words>
  <Characters>3631</Characters>
  <Application>Microsoft Office Word</Application>
  <DocSecurity>0</DocSecurity>
  <Lines>30</Lines>
  <Paragraphs>8</Paragraphs>
  <ScaleCrop>false</ScaleCrop>
  <Company>Admin</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3</cp:revision>
  <dcterms:created xsi:type="dcterms:W3CDTF">2026-06-11T00:59:00Z</dcterms:created>
  <dcterms:modified xsi:type="dcterms:W3CDTF">2026-06-15T19:23:00Z</dcterms:modified>
</cp:coreProperties>
</file>