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C3542" w14:textId="77777777" w:rsidR="00AB01FE" w:rsidRPr="00CD11F7" w:rsidRDefault="00AB01FE" w:rsidP="00AB01FE">
      <w:pPr>
        <w:jc w:val="center"/>
        <w:rPr>
          <w:rFonts w:ascii="Book Antiqua" w:hAnsi="Book Antiqua"/>
          <w:color w:val="000000"/>
        </w:rPr>
      </w:pPr>
      <w:r w:rsidRPr="00CD11F7">
        <w:rPr>
          <w:rFonts w:ascii="Book Antiqua" w:hAnsi="Book Antiqua"/>
          <w:b/>
          <w:color w:val="000000"/>
          <w:sz w:val="28"/>
          <w:szCs w:val="28"/>
        </w:rPr>
        <w:t>GOBIERNO DE PUERTO RICO</w:t>
      </w:r>
    </w:p>
    <w:p w14:paraId="58C3F6B9" w14:textId="77777777" w:rsidR="00AB01FE" w:rsidRPr="00CD11F7" w:rsidRDefault="00AB01FE" w:rsidP="00AB01FE">
      <w:pPr>
        <w:pStyle w:val="Title2"/>
        <w:rPr>
          <w:rFonts w:ascii="Book Antiqua" w:hAnsi="Book Antiqua"/>
          <w:color w:val="000000"/>
          <w:sz w:val="24"/>
          <w:lang w:val="es-ES"/>
        </w:rPr>
      </w:pPr>
    </w:p>
    <w:p w14:paraId="70DCF790" w14:textId="7A5A43B8" w:rsidR="00AB01FE" w:rsidRPr="00CD11F7" w:rsidRDefault="00AB01FE" w:rsidP="00AB01FE">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Pr>
          <w:rFonts w:ascii="Book Antiqua" w:hAnsi="Book Antiqua"/>
          <w:color w:val="000000"/>
          <w:sz w:val="24"/>
          <w:lang w:val="es-ES"/>
        </w:rPr>
        <w:tab/>
      </w:r>
      <w:r w:rsidR="002947CE">
        <w:rPr>
          <w:rFonts w:ascii="Book Antiqua" w:hAnsi="Book Antiqua"/>
          <w:color w:val="000000"/>
          <w:sz w:val="24"/>
          <w:lang w:val="es-ES"/>
        </w:rPr>
        <w:t xml:space="preserve">             </w:t>
      </w:r>
      <w:r w:rsidRPr="00CD11F7">
        <w:rPr>
          <w:rFonts w:ascii="Book Antiqua" w:hAnsi="Book Antiqua"/>
          <w:color w:val="000000"/>
          <w:sz w:val="24"/>
          <w:lang w:val="es-ES"/>
        </w:rPr>
        <w:t xml:space="preserve"> </w:t>
      </w:r>
      <w:r>
        <w:rPr>
          <w:rFonts w:ascii="Book Antiqua" w:hAnsi="Book Antiqua"/>
          <w:color w:val="000000"/>
          <w:sz w:val="24"/>
          <w:lang w:val="es-ES"/>
        </w:rPr>
        <w:t>2</w:t>
      </w:r>
      <w:r>
        <w:rPr>
          <w:rFonts w:ascii="Book Antiqua" w:hAnsi="Book Antiqua"/>
          <w:color w:val="000000"/>
          <w:position w:val="10"/>
          <w:sz w:val="24"/>
          <w:vertAlign w:val="superscript"/>
          <w:lang w:val="es-ES"/>
        </w:rPr>
        <w:t>d</w:t>
      </w:r>
      <w:r w:rsidRPr="00594D06">
        <w:rPr>
          <w:rFonts w:ascii="Book Antiqua" w:hAnsi="Book Antiqua"/>
          <w:color w:val="000000"/>
          <w:position w:val="10"/>
          <w:sz w:val="24"/>
          <w:vertAlign w:val="superscript"/>
          <w:lang w:val="es-ES"/>
        </w:rPr>
        <w:t>a</w:t>
      </w:r>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68123FC7" w14:textId="539288E7" w:rsidR="00AB01FE" w:rsidRPr="00CD11F7" w:rsidRDefault="00AB01FE" w:rsidP="00AB01FE">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Pr>
          <w:rFonts w:ascii="Book Antiqua" w:hAnsi="Book Antiqua"/>
          <w:color w:val="000000"/>
          <w:sz w:val="24"/>
          <w:lang w:val="es-ES"/>
        </w:rPr>
        <w:tab/>
      </w:r>
      <w:r w:rsidR="002947CE">
        <w:rPr>
          <w:rFonts w:ascii="Book Antiqua" w:hAnsi="Book Antiqua"/>
          <w:color w:val="000000"/>
          <w:sz w:val="24"/>
          <w:lang w:val="es-ES"/>
        </w:rPr>
        <w:t xml:space="preserve">        </w:t>
      </w:r>
      <w:r w:rsidRPr="00CD11F7">
        <w:rPr>
          <w:rFonts w:ascii="Book Antiqua" w:hAnsi="Book Antiqua"/>
          <w:color w:val="000000"/>
          <w:sz w:val="24"/>
          <w:lang w:val="es-ES"/>
        </w:rPr>
        <w:t xml:space="preserve">Ordinaria </w:t>
      </w:r>
    </w:p>
    <w:p w14:paraId="1F25A7DC" w14:textId="77777777" w:rsidR="00AB01FE" w:rsidRPr="00CD11F7" w:rsidRDefault="00AB01FE" w:rsidP="00AB01FE">
      <w:pPr>
        <w:jc w:val="center"/>
        <w:rPr>
          <w:rFonts w:ascii="Book Antiqua" w:hAnsi="Book Antiqua"/>
          <w:b/>
          <w:bCs/>
          <w:color w:val="000000"/>
          <w:sz w:val="28"/>
          <w:szCs w:val="28"/>
        </w:rPr>
      </w:pPr>
    </w:p>
    <w:p w14:paraId="02A5725A" w14:textId="77777777" w:rsidR="00AB01FE" w:rsidRPr="00CD11F7" w:rsidRDefault="00AB01FE" w:rsidP="00AB01FE">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2020887E" w14:textId="77777777" w:rsidR="00AB01FE" w:rsidRPr="00CD11F7" w:rsidRDefault="00AB01FE" w:rsidP="00AB01FE">
      <w:pPr>
        <w:jc w:val="center"/>
        <w:rPr>
          <w:rFonts w:ascii="Book Antiqua" w:hAnsi="Book Antiqua"/>
        </w:rPr>
      </w:pPr>
    </w:p>
    <w:p w14:paraId="1B20FA2F" w14:textId="5E4CD8A6" w:rsidR="00AB01FE" w:rsidRDefault="00AB01FE" w:rsidP="00AB01FE">
      <w:pPr>
        <w:jc w:val="center"/>
        <w:rPr>
          <w:rFonts w:ascii="Book Antiqua" w:hAnsi="Book Antiqua"/>
          <w:b/>
          <w:sz w:val="52"/>
          <w:szCs w:val="52"/>
        </w:rPr>
      </w:pPr>
      <w:r w:rsidRPr="00CD11F7">
        <w:rPr>
          <w:rFonts w:ascii="Book Antiqua" w:hAnsi="Book Antiqua"/>
          <w:b/>
          <w:sz w:val="52"/>
          <w:szCs w:val="52"/>
        </w:rPr>
        <w:t xml:space="preserve">P. de la C. </w:t>
      </w:r>
      <w:r>
        <w:rPr>
          <w:rFonts w:ascii="Book Antiqua" w:hAnsi="Book Antiqua"/>
          <w:b/>
          <w:sz w:val="52"/>
          <w:szCs w:val="52"/>
        </w:rPr>
        <w:t>539</w:t>
      </w:r>
    </w:p>
    <w:p w14:paraId="3F7E958B" w14:textId="77777777" w:rsidR="00D41FFC" w:rsidRPr="00D41FFC" w:rsidRDefault="00D41FFC" w:rsidP="00AB01FE">
      <w:pPr>
        <w:jc w:val="center"/>
        <w:rPr>
          <w:rFonts w:ascii="Book Antiqua" w:hAnsi="Book Antiqua"/>
          <w:b/>
        </w:rPr>
      </w:pPr>
    </w:p>
    <w:p w14:paraId="5B2A8E3A" w14:textId="77777777" w:rsidR="00AB01FE" w:rsidRPr="00DA55FB" w:rsidRDefault="00AB01FE" w:rsidP="00D41FFC">
      <w:pPr>
        <w:pStyle w:val="Heading1"/>
        <w:spacing w:before="0" w:after="0"/>
        <w:jc w:val="center"/>
        <w:rPr>
          <w:rFonts w:ascii="Book Antiqua" w:hAnsi="Book Antiqua"/>
          <w:color w:val="auto"/>
          <w:sz w:val="28"/>
          <w:szCs w:val="28"/>
        </w:rPr>
      </w:pPr>
      <w:r w:rsidRPr="00DA55FB">
        <w:rPr>
          <w:rFonts w:ascii="Book Antiqua" w:hAnsi="Book Antiqua"/>
          <w:color w:val="auto"/>
          <w:sz w:val="28"/>
          <w:szCs w:val="28"/>
        </w:rPr>
        <w:t xml:space="preserve">INFORME </w:t>
      </w:r>
      <w:r>
        <w:rPr>
          <w:rFonts w:ascii="Book Antiqua" w:hAnsi="Book Antiqua"/>
          <w:color w:val="auto"/>
          <w:sz w:val="28"/>
          <w:szCs w:val="28"/>
        </w:rPr>
        <w:t>NEGATIVO</w:t>
      </w:r>
    </w:p>
    <w:p w14:paraId="0A9F26E8" w14:textId="77777777" w:rsidR="00AB01FE" w:rsidRPr="00CD11F7" w:rsidRDefault="00AB01FE" w:rsidP="00D41FFC">
      <w:pPr>
        <w:rPr>
          <w:rFonts w:ascii="Book Antiqua" w:hAnsi="Book Antiqua"/>
          <w:bCs/>
          <w:color w:val="000000"/>
        </w:rPr>
      </w:pPr>
    </w:p>
    <w:p w14:paraId="16A451F9" w14:textId="047AAB50" w:rsidR="00AB01FE" w:rsidRPr="00CD11F7" w:rsidRDefault="008B2052" w:rsidP="00D41FFC">
      <w:pPr>
        <w:jc w:val="center"/>
        <w:rPr>
          <w:rFonts w:ascii="Book Antiqua" w:hAnsi="Book Antiqua"/>
          <w:color w:val="000000"/>
        </w:rPr>
      </w:pPr>
      <w:r>
        <w:rPr>
          <w:rFonts w:ascii="Book Antiqua" w:hAnsi="Book Antiqua"/>
          <w:bCs/>
          <w:color w:val="000000"/>
        </w:rPr>
        <w:t xml:space="preserve">2 </w:t>
      </w:r>
      <w:r w:rsidR="00AB01FE">
        <w:rPr>
          <w:rFonts w:ascii="Book Antiqua" w:hAnsi="Book Antiqua"/>
          <w:bCs/>
          <w:color w:val="000000"/>
        </w:rPr>
        <w:t>de octubre de 2025</w:t>
      </w:r>
    </w:p>
    <w:p w14:paraId="38E98012" w14:textId="77777777" w:rsidR="00AB01FE" w:rsidRDefault="00AB01FE" w:rsidP="00D41FFC">
      <w:pPr>
        <w:rPr>
          <w:rFonts w:ascii="Book Antiqua" w:hAnsi="Book Antiqua"/>
          <w:color w:val="000000"/>
        </w:rPr>
      </w:pPr>
    </w:p>
    <w:p w14:paraId="70E2F85F" w14:textId="77777777" w:rsidR="00AB01FE" w:rsidRPr="00CD11F7" w:rsidRDefault="00AB01FE" w:rsidP="00D41FFC">
      <w:pPr>
        <w:rPr>
          <w:rFonts w:ascii="Book Antiqua" w:hAnsi="Book Antiqua"/>
          <w:color w:val="000000"/>
        </w:rPr>
      </w:pPr>
    </w:p>
    <w:p w14:paraId="4E5F3971" w14:textId="77777777" w:rsidR="00AB01FE" w:rsidRPr="00FA737F" w:rsidRDefault="00AB01FE" w:rsidP="00D41FFC">
      <w:pPr>
        <w:contextualSpacing/>
        <w:rPr>
          <w:rFonts w:ascii="Book Antiqua" w:hAnsi="Book Antiqua"/>
          <w:b/>
          <w:bCs/>
        </w:rPr>
      </w:pPr>
      <w:r w:rsidRPr="00FA737F">
        <w:rPr>
          <w:rFonts w:ascii="Book Antiqua" w:hAnsi="Book Antiqua"/>
          <w:b/>
          <w:bCs/>
        </w:rPr>
        <w:t>A LA CÁMARA DE REPRESENTANTES DE PUERTO RICO:</w:t>
      </w:r>
    </w:p>
    <w:p w14:paraId="362B714E" w14:textId="77777777" w:rsidR="00AB01FE" w:rsidRPr="00FA737F" w:rsidRDefault="00AB01FE" w:rsidP="00D41FFC">
      <w:pPr>
        <w:contextualSpacing/>
        <w:rPr>
          <w:rFonts w:ascii="Book Antiqua" w:hAnsi="Book Antiqua"/>
          <w:b/>
          <w:bCs/>
        </w:rPr>
      </w:pPr>
    </w:p>
    <w:p w14:paraId="6AE71EFD" w14:textId="77777777" w:rsidR="00D41FFC" w:rsidRDefault="00AB01FE" w:rsidP="00D41FFC">
      <w:pPr>
        <w:spacing w:line="276" w:lineRule="auto"/>
        <w:ind w:firstLine="720"/>
        <w:contextualSpacing/>
        <w:jc w:val="both"/>
      </w:pPr>
      <w:r w:rsidRPr="00FA737F">
        <w:rPr>
          <w:rFonts w:ascii="Book Antiqua" w:hAnsi="Book Antiqua"/>
        </w:rPr>
        <w:t xml:space="preserve">La Comisión de Gobierno de la Cámara de Representantes, tras un estudio y análisis del Proyecto de la Cámara </w:t>
      </w:r>
      <w:r>
        <w:rPr>
          <w:rFonts w:ascii="Book Antiqua" w:hAnsi="Book Antiqua"/>
        </w:rPr>
        <w:t>539</w:t>
      </w:r>
      <w:r w:rsidRPr="00FA737F">
        <w:rPr>
          <w:rFonts w:ascii="Book Antiqua" w:hAnsi="Book Antiqua"/>
        </w:rPr>
        <w:t xml:space="preserve">, </w:t>
      </w:r>
      <w:r>
        <w:rPr>
          <w:rFonts w:ascii="Book Antiqua" w:hAnsi="Book Antiqua"/>
        </w:rPr>
        <w:t xml:space="preserve">no </w:t>
      </w:r>
      <w:r w:rsidRPr="00FA737F">
        <w:rPr>
          <w:rFonts w:ascii="Book Antiqua" w:hAnsi="Book Antiqua"/>
        </w:rPr>
        <w:t>recomienda a este Honorable Cuerpo la aprobación de esta pieza legislativa.</w:t>
      </w:r>
      <w:r w:rsidRPr="00D36134">
        <w:t xml:space="preserve"> </w:t>
      </w:r>
    </w:p>
    <w:p w14:paraId="365A8BD8" w14:textId="77777777" w:rsidR="00D41FFC" w:rsidRDefault="00D41FFC" w:rsidP="00D41FFC">
      <w:pPr>
        <w:spacing w:line="276" w:lineRule="auto"/>
        <w:contextualSpacing/>
        <w:jc w:val="both"/>
      </w:pPr>
    </w:p>
    <w:p w14:paraId="28382EFE" w14:textId="4B7082E6" w:rsidR="00AB01FE" w:rsidRPr="00D41FFC" w:rsidRDefault="00AB01FE" w:rsidP="00654E36">
      <w:pPr>
        <w:spacing w:line="276" w:lineRule="auto"/>
        <w:contextualSpacing/>
        <w:jc w:val="center"/>
        <w:rPr>
          <w:rFonts w:ascii="Book Antiqua" w:hAnsi="Book Antiqua"/>
        </w:rPr>
      </w:pPr>
      <w:r w:rsidRPr="00FA737F">
        <w:rPr>
          <w:rFonts w:ascii="Book Antiqua" w:hAnsi="Book Antiqua"/>
          <w:b/>
          <w:bCs/>
        </w:rPr>
        <w:t>ALCANCE DE LA MEDIDA</w:t>
      </w:r>
    </w:p>
    <w:p w14:paraId="0E6F7BDA" w14:textId="77777777" w:rsidR="00AB01FE" w:rsidRPr="00FA737F" w:rsidRDefault="00AB01FE" w:rsidP="00D41FFC">
      <w:pPr>
        <w:contextualSpacing/>
        <w:jc w:val="both"/>
        <w:rPr>
          <w:rFonts w:ascii="Book Antiqua" w:hAnsi="Book Antiqua"/>
          <w:b/>
          <w:bCs/>
          <w:lang w:eastAsia="x-none"/>
        </w:rPr>
      </w:pPr>
    </w:p>
    <w:p w14:paraId="55F43DB8" w14:textId="77777777" w:rsidR="00D41FFC" w:rsidRDefault="00AB01FE" w:rsidP="00D41FFC">
      <w:pPr>
        <w:spacing w:line="276" w:lineRule="auto"/>
        <w:ind w:firstLine="720"/>
        <w:contextualSpacing/>
        <w:jc w:val="both"/>
        <w:rPr>
          <w:rFonts w:ascii="Book Antiqua" w:hAnsi="Book Antiqua"/>
          <w:lang w:eastAsia="x-none"/>
        </w:rPr>
      </w:pPr>
      <w:r w:rsidRPr="00FA737F">
        <w:rPr>
          <w:rFonts w:ascii="Book Antiqua" w:hAnsi="Book Antiqua"/>
          <w:lang w:eastAsia="x-none"/>
        </w:rPr>
        <w:t>El P</w:t>
      </w:r>
      <w:r>
        <w:rPr>
          <w:rFonts w:ascii="Book Antiqua" w:hAnsi="Book Antiqua"/>
          <w:lang w:eastAsia="x-none"/>
        </w:rPr>
        <w:t>.</w:t>
      </w:r>
      <w:r w:rsidRPr="00FA737F">
        <w:rPr>
          <w:rFonts w:ascii="Book Antiqua" w:hAnsi="Book Antiqua"/>
          <w:lang w:eastAsia="x-none"/>
        </w:rPr>
        <w:t xml:space="preserve"> de la C</w:t>
      </w:r>
      <w:r>
        <w:rPr>
          <w:rFonts w:ascii="Book Antiqua" w:hAnsi="Book Antiqua"/>
          <w:lang w:eastAsia="x-none"/>
        </w:rPr>
        <w:t>.</w:t>
      </w:r>
      <w:r w:rsidRPr="00FA737F">
        <w:rPr>
          <w:rFonts w:ascii="Book Antiqua" w:hAnsi="Book Antiqua"/>
          <w:lang w:eastAsia="x-none"/>
        </w:rPr>
        <w:t xml:space="preserve"> </w:t>
      </w:r>
      <w:r>
        <w:rPr>
          <w:rFonts w:ascii="Book Antiqua" w:hAnsi="Book Antiqua"/>
          <w:lang w:eastAsia="x-none"/>
        </w:rPr>
        <w:t>539</w:t>
      </w:r>
      <w:r w:rsidRPr="00FA737F">
        <w:rPr>
          <w:rFonts w:ascii="Book Antiqua" w:hAnsi="Book Antiqua"/>
          <w:lang w:eastAsia="x-none"/>
        </w:rPr>
        <w:t xml:space="preserve"> tiene como propósito</w:t>
      </w:r>
      <w:r>
        <w:rPr>
          <w:rFonts w:ascii="Book Antiqua" w:hAnsi="Book Antiqua"/>
          <w:lang w:val="es-ES" w:eastAsia="x-none"/>
        </w:rPr>
        <w:t xml:space="preserve"> </w:t>
      </w:r>
      <w:r w:rsidRPr="00AB01FE">
        <w:rPr>
          <w:rFonts w:ascii="Book Antiqua" w:hAnsi="Book Antiqua"/>
          <w:lang w:val="es-ES" w:eastAsia="x-none"/>
        </w:rPr>
        <w:t>enmendar el Artículo 3 de la Ley 122</w:t>
      </w:r>
      <w:r w:rsidR="00A25A61">
        <w:rPr>
          <w:rFonts w:ascii="Book Antiqua" w:hAnsi="Book Antiqua"/>
          <w:lang w:val="es-ES" w:eastAsia="x-none"/>
        </w:rPr>
        <w:t>-</w:t>
      </w:r>
      <w:r w:rsidRPr="00AB01FE">
        <w:rPr>
          <w:rFonts w:ascii="Book Antiqua" w:hAnsi="Book Antiqua"/>
          <w:lang w:val="es-ES" w:eastAsia="x-none"/>
        </w:rPr>
        <w:t>2017, según enmendada, conocida como "Ley del Nuevo Gobierno de Puerto Rico", a los fines de incluir al Instituto de Estadísticas de Puerto Rico entre las entidades exentas de las disposiciones de esta Ley; y para otros fines relacionados</w:t>
      </w:r>
      <w:r w:rsidRPr="00827402">
        <w:rPr>
          <w:rFonts w:ascii="Book Antiqua" w:hAnsi="Book Antiqua"/>
          <w:lang w:val="es-ES" w:eastAsia="x-none"/>
        </w:rPr>
        <w:t>.</w:t>
      </w:r>
      <w:r w:rsidRPr="00827402">
        <w:rPr>
          <w:rFonts w:ascii="Book Antiqua" w:hAnsi="Book Antiqua"/>
          <w:lang w:eastAsia="x-none"/>
        </w:rPr>
        <w:t> </w:t>
      </w:r>
    </w:p>
    <w:p w14:paraId="4D4302DC" w14:textId="77777777" w:rsidR="00D41FFC" w:rsidRDefault="00D41FFC" w:rsidP="00D41FFC">
      <w:pPr>
        <w:spacing w:line="276" w:lineRule="auto"/>
        <w:ind w:firstLine="720"/>
        <w:contextualSpacing/>
        <w:jc w:val="center"/>
        <w:rPr>
          <w:rFonts w:ascii="Book Antiqua" w:hAnsi="Book Antiqua"/>
          <w:lang w:eastAsia="x-none"/>
        </w:rPr>
      </w:pPr>
    </w:p>
    <w:p w14:paraId="14EA82C8" w14:textId="15F0ADAA" w:rsidR="00AB01FE" w:rsidRPr="00D41FFC" w:rsidRDefault="00AB01FE" w:rsidP="00654E36">
      <w:pPr>
        <w:spacing w:line="276" w:lineRule="auto"/>
        <w:contextualSpacing/>
        <w:jc w:val="center"/>
        <w:rPr>
          <w:rFonts w:ascii="Book Antiqua" w:hAnsi="Book Antiqua"/>
          <w:lang w:eastAsia="x-none"/>
        </w:rPr>
      </w:pPr>
      <w:r w:rsidRPr="000601A8">
        <w:rPr>
          <w:rFonts w:ascii="Book Antiqua" w:hAnsi="Book Antiqua"/>
          <w:b/>
          <w:bCs/>
        </w:rPr>
        <w:t>INTRODUCCIÓN</w:t>
      </w:r>
    </w:p>
    <w:p w14:paraId="03A7FD37" w14:textId="77777777" w:rsidR="00AB01FE" w:rsidRDefault="00AB01FE" w:rsidP="00D41FFC">
      <w:pPr>
        <w:contextualSpacing/>
        <w:jc w:val="center"/>
        <w:rPr>
          <w:rFonts w:ascii="Book Antiqua" w:hAnsi="Book Antiqua"/>
          <w:b/>
          <w:bCs/>
        </w:rPr>
      </w:pPr>
    </w:p>
    <w:p w14:paraId="6906C3F7" w14:textId="77777777" w:rsidR="00A25A61" w:rsidRDefault="00A25A61" w:rsidP="00D41FFC">
      <w:pPr>
        <w:ind w:firstLine="708"/>
        <w:contextualSpacing/>
        <w:jc w:val="both"/>
        <w:rPr>
          <w:rFonts w:ascii="Book Antiqua" w:hAnsi="Book Antiqua"/>
          <w:bCs/>
        </w:rPr>
      </w:pPr>
      <w:r w:rsidRPr="00A25A61">
        <w:rPr>
          <w:rFonts w:ascii="Book Antiqua" w:hAnsi="Book Antiqua"/>
          <w:bCs/>
        </w:rPr>
        <w:t>El Proyecto persigue enmendar el Artículo 3 de la Ley 122-2017 para incluir expresamente al Instituto de Estadísticas de Puerto Rico entre las entidades exentas de las disposiciones de dicha ley.</w:t>
      </w:r>
    </w:p>
    <w:p w14:paraId="1D46A672" w14:textId="77777777" w:rsidR="00A25A61" w:rsidRPr="00A25A61" w:rsidRDefault="00A25A61" w:rsidP="00D41FFC">
      <w:pPr>
        <w:ind w:firstLine="708"/>
        <w:contextualSpacing/>
        <w:jc w:val="both"/>
        <w:rPr>
          <w:rFonts w:ascii="Book Antiqua" w:hAnsi="Book Antiqua"/>
          <w:bCs/>
        </w:rPr>
      </w:pPr>
    </w:p>
    <w:p w14:paraId="4398D071" w14:textId="2B5B4836" w:rsidR="00A25A61" w:rsidRPr="00A25A61" w:rsidRDefault="00A25A61" w:rsidP="00D41FFC">
      <w:pPr>
        <w:ind w:firstLine="708"/>
        <w:contextualSpacing/>
        <w:jc w:val="both"/>
        <w:rPr>
          <w:rFonts w:ascii="Book Antiqua" w:hAnsi="Book Antiqua"/>
          <w:bCs/>
        </w:rPr>
      </w:pPr>
      <w:r w:rsidRPr="00A25A61">
        <w:rPr>
          <w:rFonts w:ascii="Book Antiqua" w:hAnsi="Book Antiqua"/>
          <w:bCs/>
        </w:rPr>
        <w:t>Si bien la medida busca preservar la autonomía del Instituto y garantizar la integridad de los datos estadísticos oficiales del gobierno, plantea preocupaciones en cuanto a la coherencia normativa y la alineación con la política pública de esta administración. La Ley 122</w:t>
      </w:r>
      <w:r>
        <w:rPr>
          <w:rFonts w:ascii="Book Antiqua" w:hAnsi="Book Antiqua"/>
          <w:bCs/>
        </w:rPr>
        <w:t>, supra,</w:t>
      </w:r>
      <w:r w:rsidRPr="00A25A61">
        <w:rPr>
          <w:rFonts w:ascii="Book Antiqua" w:hAnsi="Book Antiqua"/>
          <w:bCs/>
        </w:rPr>
        <w:t xml:space="preserve"> establece criterios claros de reorganización y consolidación de agencias con fines de eficiencia administrativa y fiscal, principios que </w:t>
      </w:r>
      <w:r w:rsidRPr="00A25A61">
        <w:rPr>
          <w:rFonts w:ascii="Book Antiqua" w:hAnsi="Book Antiqua"/>
          <w:bCs/>
        </w:rPr>
        <w:lastRenderedPageBreak/>
        <w:t>podrían verse debilitados con la inclusión de exenciones adicionales sin un análisis integral del impacto operativo y presupuestario.</w:t>
      </w:r>
    </w:p>
    <w:p w14:paraId="34F179AA" w14:textId="77777777" w:rsidR="00AB01FE" w:rsidRDefault="00AB01FE" w:rsidP="00D41FFC">
      <w:pPr>
        <w:contextualSpacing/>
        <w:rPr>
          <w:rFonts w:ascii="Book Antiqua" w:hAnsi="Book Antiqua"/>
          <w:b/>
        </w:rPr>
      </w:pPr>
    </w:p>
    <w:p w14:paraId="2ED55124" w14:textId="77777777" w:rsidR="00AB01FE" w:rsidRDefault="00AB01FE" w:rsidP="00654E36">
      <w:pPr>
        <w:contextualSpacing/>
        <w:jc w:val="center"/>
        <w:rPr>
          <w:rFonts w:ascii="Book Antiqua" w:hAnsi="Book Antiqua"/>
          <w:b/>
        </w:rPr>
      </w:pPr>
      <w:r w:rsidRPr="000601A8">
        <w:rPr>
          <w:rFonts w:ascii="Book Antiqua" w:hAnsi="Book Antiqua"/>
          <w:b/>
        </w:rPr>
        <w:t>ANÁLISIS DE LA MEDIDA</w:t>
      </w:r>
    </w:p>
    <w:p w14:paraId="49976D52" w14:textId="79594D05" w:rsidR="00AB01FE" w:rsidRDefault="00AB01FE" w:rsidP="00D41FFC">
      <w:pPr>
        <w:spacing w:line="276" w:lineRule="auto"/>
        <w:contextualSpacing/>
        <w:jc w:val="both"/>
        <w:rPr>
          <w:rFonts w:ascii="Book Antiqua" w:hAnsi="Book Antiqua"/>
          <w:b/>
        </w:rPr>
      </w:pPr>
    </w:p>
    <w:p w14:paraId="20FE8C84" w14:textId="564B9A7A" w:rsidR="00B9562B" w:rsidRDefault="00B9562B" w:rsidP="00D41FFC">
      <w:pPr>
        <w:spacing w:line="276" w:lineRule="auto"/>
        <w:contextualSpacing/>
        <w:jc w:val="both"/>
        <w:rPr>
          <w:rFonts w:ascii="Book Antiqua" w:hAnsi="Book Antiqua"/>
          <w:bCs/>
        </w:rPr>
      </w:pPr>
      <w:r>
        <w:rPr>
          <w:rFonts w:ascii="Book Antiqua" w:hAnsi="Book Antiqua"/>
          <w:b/>
        </w:rPr>
        <w:tab/>
      </w:r>
      <w:r w:rsidRPr="00B9562B">
        <w:rPr>
          <w:rFonts w:ascii="Book Antiqua" w:hAnsi="Book Antiqua"/>
          <w:bCs/>
        </w:rPr>
        <w:t>La Comisión de Gobierno no apoya la medida propuesta, dado que la Ley 122</w:t>
      </w:r>
      <w:r w:rsidR="00A25A61">
        <w:rPr>
          <w:rFonts w:ascii="Book Antiqua" w:hAnsi="Book Antiqua"/>
          <w:bCs/>
        </w:rPr>
        <w:t>, supra,</w:t>
      </w:r>
      <w:r w:rsidRPr="00B9562B">
        <w:rPr>
          <w:rFonts w:ascii="Book Antiqua" w:hAnsi="Book Antiqua"/>
          <w:bCs/>
        </w:rPr>
        <w:t xml:space="preserve"> fue diseñada como un instrumento integral para la reorganización de la Rama Ejecutiva, buscando consolidar agencias y optimizar recursos. La inclusión de nuevas exenciones, como la que propone el P. de la C. 539, podría sentar un precedente para que otras entidades soliciten exenciones similares, debilitando el propósito central de eficiencia y uniformidad administrativa.</w:t>
      </w:r>
      <w:r w:rsidR="00A25A61" w:rsidRPr="00A25A61">
        <w:t xml:space="preserve"> </w:t>
      </w:r>
    </w:p>
    <w:p w14:paraId="294A32E8" w14:textId="00D329F3" w:rsidR="00B9562B" w:rsidRDefault="00B9562B" w:rsidP="760A685D">
      <w:pPr>
        <w:spacing w:line="276" w:lineRule="auto"/>
        <w:contextualSpacing/>
        <w:jc w:val="both"/>
        <w:rPr>
          <w:rFonts w:ascii="Book Antiqua" w:hAnsi="Book Antiqua"/>
        </w:rPr>
      </w:pPr>
    </w:p>
    <w:p w14:paraId="09B2E4D4" w14:textId="72E5E2A9" w:rsidR="00B9562B" w:rsidRPr="00B9562B" w:rsidRDefault="00B9562B" w:rsidP="760A685D">
      <w:pPr>
        <w:spacing w:line="276" w:lineRule="auto"/>
        <w:contextualSpacing/>
        <w:jc w:val="both"/>
        <w:rPr>
          <w:rFonts w:ascii="Book Antiqua" w:hAnsi="Book Antiqua"/>
        </w:rPr>
      </w:pPr>
      <w:r>
        <w:rPr>
          <w:rFonts w:ascii="Book Antiqua" w:hAnsi="Book Antiqua"/>
          <w:bCs/>
        </w:rPr>
        <w:tab/>
      </w:r>
      <w:r w:rsidRPr="760A685D">
        <w:rPr>
          <w:rFonts w:ascii="Book Antiqua" w:hAnsi="Book Antiqua"/>
        </w:rPr>
        <w:t xml:space="preserve">Somos del criterio de que la creación de exenciones legislativas </w:t>
      </w:r>
      <w:r w:rsidRPr="760A685D">
        <w:rPr>
          <w:rFonts w:ascii="Book Antiqua" w:hAnsi="Book Antiqua"/>
          <w:i/>
          <w:iCs/>
        </w:rPr>
        <w:t>ad hoc</w:t>
      </w:r>
      <w:r w:rsidRPr="760A685D">
        <w:rPr>
          <w:rFonts w:ascii="Book Antiqua" w:hAnsi="Book Antiqua"/>
        </w:rPr>
        <w:t xml:space="preserve"> debilitaría la consistencia de la Ley 122, supra, y podría abrir la puerta a conflictos legales sobre la aplicabilidad de planes de reorganización a otras entidades autónomas o corporaciones públicas, complicando la gobernanza efectiva.</w:t>
      </w:r>
    </w:p>
    <w:p w14:paraId="3CD465E6" w14:textId="77777777" w:rsidR="00B9562B" w:rsidRPr="00AB01FE" w:rsidRDefault="00B9562B" w:rsidP="00D41FFC">
      <w:pPr>
        <w:spacing w:line="276" w:lineRule="auto"/>
        <w:contextualSpacing/>
        <w:jc w:val="both"/>
        <w:rPr>
          <w:rFonts w:ascii="Book Antiqua" w:hAnsi="Book Antiqua"/>
          <w:bCs/>
          <w:highlight w:val="yellow"/>
        </w:rPr>
      </w:pPr>
    </w:p>
    <w:p w14:paraId="3A0EAF5A" w14:textId="028F9015" w:rsidR="00B9562B" w:rsidRPr="00A25A61" w:rsidRDefault="00A25A61" w:rsidP="00D41FFC">
      <w:pPr>
        <w:spacing w:line="276" w:lineRule="auto"/>
        <w:ind w:firstLine="708"/>
        <w:contextualSpacing/>
        <w:jc w:val="both"/>
        <w:rPr>
          <w:rFonts w:ascii="Book Antiqua" w:hAnsi="Book Antiqua"/>
        </w:rPr>
      </w:pPr>
      <w:r>
        <w:rPr>
          <w:rFonts w:ascii="Book Antiqua" w:hAnsi="Book Antiqua"/>
        </w:rPr>
        <w:t>Contamos</w:t>
      </w:r>
      <w:r w:rsidR="00A904D7">
        <w:rPr>
          <w:rFonts w:ascii="Book Antiqua" w:hAnsi="Book Antiqua"/>
        </w:rPr>
        <w:t xml:space="preserve"> con</w:t>
      </w:r>
      <w:r>
        <w:rPr>
          <w:rFonts w:ascii="Book Antiqua" w:hAnsi="Book Antiqua"/>
        </w:rPr>
        <w:t xml:space="preserve"> la </w:t>
      </w:r>
      <w:r w:rsidR="00AB01FE" w:rsidRPr="00B9562B">
        <w:rPr>
          <w:rFonts w:ascii="Book Antiqua" w:hAnsi="Book Antiqua"/>
        </w:rPr>
        <w:t>opinión de</w:t>
      </w:r>
      <w:r>
        <w:rPr>
          <w:rFonts w:ascii="Book Antiqua" w:hAnsi="Book Antiqua"/>
        </w:rPr>
        <w:t xml:space="preserve"> ciertas</w:t>
      </w:r>
      <w:r w:rsidR="00AB01FE" w:rsidRPr="00B9562B">
        <w:rPr>
          <w:rFonts w:ascii="Book Antiqua" w:hAnsi="Book Antiqua"/>
        </w:rPr>
        <w:t xml:space="preserve"> agencias competentes.</w:t>
      </w:r>
      <w:r w:rsidR="00AB01FE" w:rsidRPr="00B9562B">
        <w:rPr>
          <w:rStyle w:val="FootnoteReference"/>
          <w:rFonts w:ascii="Book Antiqua" w:hAnsi="Book Antiqua"/>
        </w:rPr>
        <w:footnoteReference w:id="1"/>
      </w:r>
      <w:r w:rsidR="00AB01FE" w:rsidRPr="00B9562B">
        <w:rPr>
          <w:rFonts w:ascii="Book Antiqua" w:hAnsi="Book Antiqua"/>
        </w:rPr>
        <w:t xml:space="preserve"> </w:t>
      </w:r>
      <w:r>
        <w:rPr>
          <w:rFonts w:ascii="Book Antiqua" w:hAnsi="Book Antiqua"/>
        </w:rPr>
        <w:t>L</w:t>
      </w:r>
      <w:r w:rsidR="00B9562B" w:rsidRPr="00B9562B">
        <w:rPr>
          <w:rFonts w:ascii="Book Antiqua" w:hAnsi="Book Antiqua"/>
        </w:rPr>
        <w:t>a Oficina del Inspector General (OIG) entiende la intención de otorgar mayor autonomía al Instituto</w:t>
      </w:r>
      <w:r w:rsidR="00C5200A">
        <w:rPr>
          <w:rFonts w:ascii="Book Antiqua" w:hAnsi="Book Antiqua"/>
        </w:rPr>
        <w:t>; sin embargo, sostiene</w:t>
      </w:r>
      <w:r w:rsidR="00B9562B" w:rsidRPr="00B9562B">
        <w:rPr>
          <w:rFonts w:ascii="Book Antiqua" w:hAnsi="Book Antiqua"/>
        </w:rPr>
        <w:t xml:space="preserve"> que este asunto requiere un análisis más detenido. </w:t>
      </w:r>
      <w:r w:rsidR="736D850B" w:rsidRPr="00B9562B">
        <w:rPr>
          <w:rFonts w:ascii="Book Antiqua" w:hAnsi="Book Antiqua"/>
        </w:rPr>
        <w:t>Por ello sostiene que l</w:t>
      </w:r>
      <w:r w:rsidR="00B9562B" w:rsidRPr="00B9562B">
        <w:rPr>
          <w:rFonts w:ascii="Book Antiqua" w:hAnsi="Book Antiqua"/>
        </w:rPr>
        <w:t xml:space="preserve">a autonomía del Instituto tiene un grado de importancia; no obstante, también es necesario considerar que el Instituto forma parte de la Rama Ejecutiva. </w:t>
      </w:r>
      <w:r w:rsidR="1F1CB41E" w:rsidRPr="00B9562B">
        <w:rPr>
          <w:rFonts w:ascii="Book Antiqua" w:hAnsi="Book Antiqua"/>
        </w:rPr>
        <w:t>La OIG precisa que r</w:t>
      </w:r>
      <w:r w:rsidR="00B9562B" w:rsidRPr="00B9562B">
        <w:rPr>
          <w:rFonts w:ascii="Book Antiqua" w:hAnsi="Book Antiqua"/>
        </w:rPr>
        <w:t xml:space="preserve">ecomendar su exclusión de esta, sin tomar en consideración los comentarios del </w:t>
      </w:r>
      <w:proofErr w:type="gramStart"/>
      <w:r w:rsidR="00B9562B" w:rsidRPr="00B9562B">
        <w:rPr>
          <w:rFonts w:ascii="Book Antiqua" w:hAnsi="Book Antiqua"/>
        </w:rPr>
        <w:t>Secretario</w:t>
      </w:r>
      <w:proofErr w:type="gramEnd"/>
      <w:r w:rsidR="00B9562B" w:rsidRPr="00B9562B">
        <w:rPr>
          <w:rFonts w:ascii="Book Antiqua" w:hAnsi="Book Antiqua"/>
        </w:rPr>
        <w:t xml:space="preserve"> de la Gobernación y de La Fortaleza, podría considerarse como una intromisión en la Facultad Ejecutiva sobre sus agencias, dependencias o entidades. Por esta razón, debe evaluarse si la exclusión del Instituto de la Ley 122</w:t>
      </w:r>
      <w:r w:rsidR="00224965">
        <w:rPr>
          <w:rFonts w:ascii="Book Antiqua" w:hAnsi="Book Antiqua"/>
        </w:rPr>
        <w:t>, supra,</w:t>
      </w:r>
      <w:r w:rsidR="00B9562B" w:rsidRPr="00B9562B">
        <w:rPr>
          <w:rFonts w:ascii="Book Antiqua" w:hAnsi="Book Antiqua"/>
        </w:rPr>
        <w:t xml:space="preserve"> afectaría los procesos de reorganización y uniformidad del Gobierno de Puerto Rico.</w:t>
      </w:r>
    </w:p>
    <w:p w14:paraId="2EEA4497" w14:textId="77777777" w:rsidR="00AB01FE" w:rsidRDefault="00AB01FE" w:rsidP="00D41FFC">
      <w:pPr>
        <w:spacing w:line="276" w:lineRule="auto"/>
        <w:ind w:firstLine="708"/>
        <w:contextualSpacing/>
        <w:jc w:val="both"/>
        <w:rPr>
          <w:rFonts w:ascii="Book Antiqua" w:hAnsi="Book Antiqua"/>
          <w:highlight w:val="yellow"/>
        </w:rPr>
      </w:pPr>
    </w:p>
    <w:p w14:paraId="2D9EE439" w14:textId="4CB07D08" w:rsidR="00B9562B" w:rsidRPr="00A25A61" w:rsidRDefault="00B9562B" w:rsidP="760A685D">
      <w:pPr>
        <w:spacing w:line="276" w:lineRule="auto"/>
        <w:ind w:firstLine="708"/>
        <w:contextualSpacing/>
        <w:jc w:val="both"/>
        <w:rPr>
          <w:rFonts w:ascii="Book Antiqua" w:hAnsi="Book Antiqua"/>
        </w:rPr>
      </w:pPr>
      <w:r w:rsidRPr="760A685D">
        <w:rPr>
          <w:rFonts w:ascii="Book Antiqua" w:hAnsi="Book Antiqua"/>
        </w:rPr>
        <w:t>Por su parte,</w:t>
      </w:r>
      <w:r w:rsidR="00224965" w:rsidRPr="760A685D">
        <w:rPr>
          <w:rFonts w:ascii="Book Antiqua" w:hAnsi="Book Antiqua"/>
        </w:rPr>
        <w:t xml:space="preserve"> la Oficina del Contralor reconoce los méritos de la enmienda, pero recomienda considerar los comentarios del Instituto y del Departamento de Justicia sobre su viabilidad.</w:t>
      </w:r>
      <w:r w:rsidR="3E556AED" w:rsidRPr="760A685D">
        <w:rPr>
          <w:rFonts w:ascii="Book Antiqua" w:hAnsi="Book Antiqua"/>
        </w:rPr>
        <w:t xml:space="preserve"> En tanto, la Oficina de Prepuesto de la Asamblea Legislativa entiende que la aprobación de la medida no tiene impacto fiscal.</w:t>
      </w:r>
    </w:p>
    <w:p w14:paraId="72F7895D" w14:textId="38411728" w:rsidR="00B9562B" w:rsidRPr="00A25A61" w:rsidRDefault="00B9562B" w:rsidP="760A685D">
      <w:pPr>
        <w:spacing w:line="276" w:lineRule="auto"/>
        <w:ind w:firstLine="708"/>
        <w:contextualSpacing/>
        <w:jc w:val="both"/>
        <w:rPr>
          <w:rFonts w:ascii="Book Antiqua" w:hAnsi="Book Antiqua"/>
        </w:rPr>
      </w:pPr>
    </w:p>
    <w:p w14:paraId="4680674E" w14:textId="51BDBCD7" w:rsidR="36AA0F7F" w:rsidRDefault="36AA0F7F" w:rsidP="760A685D">
      <w:pPr>
        <w:spacing w:line="276" w:lineRule="auto"/>
        <w:ind w:firstLine="708"/>
        <w:contextualSpacing/>
        <w:jc w:val="both"/>
      </w:pPr>
      <w:r w:rsidRPr="760A685D">
        <w:rPr>
          <w:rFonts w:ascii="Book Antiqua" w:eastAsia="Book Antiqua" w:hAnsi="Book Antiqua" w:cs="Book Antiqua"/>
        </w:rPr>
        <w:lastRenderedPageBreak/>
        <w:t xml:space="preserve">De otro modo, el Instituto apoya la medida y arguye que con la aprobación de la Ley 122, supra, se estableció un nuevo marco general para la organización de la Rama Ejecutiva, orientado a la eficiencia administrativa. Sin embargo, argumenta que su aplicación uniforme a entidades del gobierno central, sin distinguir su naturaleza funcional, ha impactado negativamente el diseño original del Instituto. En apoyo a su posición, aduce </w:t>
      </w:r>
      <w:r w:rsidR="001B7060" w:rsidRPr="760A685D">
        <w:rPr>
          <w:rFonts w:ascii="Book Antiqua" w:eastAsia="Book Antiqua" w:hAnsi="Book Antiqua" w:cs="Book Antiqua"/>
        </w:rPr>
        <w:t>que,</w:t>
      </w:r>
      <w:r w:rsidRPr="760A685D">
        <w:rPr>
          <w:rFonts w:ascii="Book Antiqua" w:eastAsia="Book Antiqua" w:hAnsi="Book Antiqua" w:cs="Book Antiqua"/>
        </w:rPr>
        <w:t xml:space="preserve"> al quedar sujeto a disposiciones administrativas generales, el Instituto podría ver limitada su capacidad de operar con la independencia que requiere su misión técnica y especializada.</w:t>
      </w:r>
    </w:p>
    <w:p w14:paraId="046E0437" w14:textId="77025DDE" w:rsidR="36AA0F7F" w:rsidRDefault="36AA0F7F" w:rsidP="760A685D">
      <w:pPr>
        <w:spacing w:before="240" w:after="240" w:line="276" w:lineRule="auto"/>
        <w:ind w:firstLine="708"/>
        <w:jc w:val="both"/>
      </w:pPr>
      <w:r w:rsidRPr="760A685D">
        <w:rPr>
          <w:rFonts w:ascii="Book Antiqua" w:eastAsia="Book Antiqua" w:hAnsi="Book Antiqua" w:cs="Book Antiqua"/>
        </w:rPr>
        <w:t>No coincidimos con la interpretación del Instituto, dado que entendemos que la Ley 209-2003 confiere al Instituto suficiente autonomía administrativa, fiscal y operacional. Esta autonomía ya está contemplada en su ley habilitadora y puede protegerse mediante reglamentos internos y protocolos de independencia profesional, sin necesidad de crear exenciones adicionales dentro de la Ley 122, supra.</w:t>
      </w:r>
    </w:p>
    <w:p w14:paraId="6F974DD3" w14:textId="05D59765" w:rsidR="36AA0F7F" w:rsidRDefault="36AA0F7F" w:rsidP="760A685D">
      <w:pPr>
        <w:spacing w:before="240" w:after="240" w:line="276" w:lineRule="auto"/>
        <w:ind w:firstLine="708"/>
        <w:jc w:val="both"/>
      </w:pPr>
      <w:r w:rsidRPr="760A685D">
        <w:rPr>
          <w:rFonts w:ascii="Book Antiqua" w:eastAsia="Book Antiqua" w:hAnsi="Book Antiqua" w:cs="Book Antiqua"/>
        </w:rPr>
        <w:t>Reiteramos que esta Comisión entiende que eximir formalmente al Instituto de las disposiciones de reorganización podría limitar la capacidad del Ejecutivo y de la Asamblea Legislativa para evaluar la eficiencia, consolidación o reasignación de recursos, generando riesgos de fragmentación administrativa y afectando la planificación fiscal.</w:t>
      </w:r>
    </w:p>
    <w:p w14:paraId="6741736D" w14:textId="4E8E6DAA" w:rsidR="00AB01FE" w:rsidRDefault="00AB01FE" w:rsidP="00654E36">
      <w:pPr>
        <w:spacing w:line="276" w:lineRule="auto"/>
        <w:contextualSpacing/>
        <w:jc w:val="center"/>
        <w:rPr>
          <w:rFonts w:ascii="Book Antiqua" w:hAnsi="Book Antiqua"/>
          <w:b/>
          <w:bCs/>
        </w:rPr>
      </w:pPr>
      <w:r w:rsidRPr="760A685D">
        <w:rPr>
          <w:rFonts w:ascii="Book Antiqua" w:hAnsi="Book Antiqua"/>
          <w:b/>
          <w:bCs/>
        </w:rPr>
        <w:t>CONCLUSIÓN</w:t>
      </w:r>
    </w:p>
    <w:p w14:paraId="494CE054" w14:textId="03881AE8" w:rsidR="0CCA8514" w:rsidRDefault="0CCA8514" w:rsidP="760A685D">
      <w:pPr>
        <w:spacing w:before="240" w:after="240" w:line="276" w:lineRule="auto"/>
        <w:ind w:firstLine="708"/>
        <w:jc w:val="both"/>
      </w:pPr>
      <w:r w:rsidRPr="760A685D">
        <w:rPr>
          <w:rFonts w:ascii="Book Antiqua" w:eastAsia="Book Antiqua" w:hAnsi="Book Antiqua" w:cs="Book Antiqua"/>
        </w:rPr>
        <w:t>Entendemos que la medida, si bien tiene un fin legítimo de preservar la independencia del Instituto de Estadísticas, no resulta necesaria desde el punto de vista legal ni administrativo y podría socavar la política pública de reorganización y consolidación establecida en la Ley 122-2017.</w:t>
      </w:r>
    </w:p>
    <w:p w14:paraId="427E7E1F" w14:textId="33FD1A5E" w:rsidR="0CCA8514" w:rsidRDefault="0CCA8514" w:rsidP="760A685D">
      <w:pPr>
        <w:spacing w:before="240" w:after="240" w:line="276" w:lineRule="auto"/>
        <w:ind w:firstLine="708"/>
        <w:jc w:val="both"/>
      </w:pPr>
      <w:r w:rsidRPr="760A685D">
        <w:rPr>
          <w:rFonts w:ascii="Book Antiqua" w:eastAsia="Book Antiqua" w:hAnsi="Book Antiqua" w:cs="Book Antiqua"/>
        </w:rPr>
        <w:t xml:space="preserve">Debe resaltarse, además, </w:t>
      </w:r>
      <w:r w:rsidR="00730054" w:rsidRPr="760A685D">
        <w:rPr>
          <w:rFonts w:ascii="Book Antiqua" w:eastAsia="Book Antiqua" w:hAnsi="Book Antiqua" w:cs="Book Antiqua"/>
        </w:rPr>
        <w:t>que,</w:t>
      </w:r>
      <w:r w:rsidRPr="760A685D">
        <w:rPr>
          <w:rFonts w:ascii="Book Antiqua" w:eastAsia="Book Antiqua" w:hAnsi="Book Antiqua" w:cs="Book Antiqua"/>
        </w:rPr>
        <w:t xml:space="preserve"> conforme a nuestro ordenamiento jurídico, es a la Rama Ejecutiva a la que le compete establecer y dirigir la política pública de reorganización gubernamental, a fin de garantizar uniformidad, eficiencia y control en la administración pública.</w:t>
      </w:r>
    </w:p>
    <w:p w14:paraId="2742AD10" w14:textId="77777777" w:rsidR="00AB01FE" w:rsidRPr="0058116F" w:rsidRDefault="00AB01FE" w:rsidP="00D41FFC">
      <w:pPr>
        <w:pStyle w:val="BodyText"/>
        <w:contextualSpacing/>
        <w:jc w:val="left"/>
        <w:rPr>
          <w:rFonts w:ascii="Book Antiqua" w:hAnsi="Book Antiqua"/>
        </w:rPr>
      </w:pPr>
      <w:r w:rsidRPr="0058116F">
        <w:rPr>
          <w:rFonts w:ascii="Book Antiqua" w:hAnsi="Book Antiqua"/>
        </w:rPr>
        <w:t>Respetuosamente sometido,</w:t>
      </w:r>
    </w:p>
    <w:p w14:paraId="43F5FECD" w14:textId="77777777" w:rsidR="00AB01FE" w:rsidRDefault="00AB01FE" w:rsidP="00D41FFC">
      <w:pPr>
        <w:pStyle w:val="BodyText"/>
        <w:contextualSpacing/>
        <w:jc w:val="left"/>
        <w:rPr>
          <w:rFonts w:ascii="Book Antiqua" w:hAnsi="Book Antiqua"/>
        </w:rPr>
      </w:pPr>
    </w:p>
    <w:p w14:paraId="69539010" w14:textId="77777777" w:rsidR="001B7060" w:rsidRDefault="001B7060" w:rsidP="00D41FFC">
      <w:pPr>
        <w:pStyle w:val="BodyText"/>
        <w:contextualSpacing/>
        <w:jc w:val="left"/>
        <w:rPr>
          <w:rFonts w:ascii="Book Antiqua" w:hAnsi="Book Antiqua"/>
        </w:rPr>
      </w:pPr>
    </w:p>
    <w:p w14:paraId="1DE13129" w14:textId="77777777" w:rsidR="00FE7324" w:rsidRDefault="00FE7324" w:rsidP="00D41FFC">
      <w:pPr>
        <w:pStyle w:val="BodyText"/>
        <w:contextualSpacing/>
        <w:jc w:val="left"/>
        <w:rPr>
          <w:rFonts w:ascii="Book Antiqua" w:hAnsi="Book Antiqua"/>
        </w:rPr>
      </w:pPr>
    </w:p>
    <w:p w14:paraId="4F3CDCF5" w14:textId="77777777" w:rsidR="00AB01FE" w:rsidRDefault="00AB01FE" w:rsidP="00D41FFC">
      <w:pPr>
        <w:pStyle w:val="BodyText"/>
        <w:contextualSpacing/>
        <w:jc w:val="left"/>
        <w:rPr>
          <w:rFonts w:ascii="Book Antiqua" w:hAnsi="Book Antiqua"/>
        </w:rPr>
      </w:pPr>
    </w:p>
    <w:p w14:paraId="6CF57EB7" w14:textId="7B11BC91" w:rsidR="00AB01FE" w:rsidRPr="0058116F" w:rsidRDefault="00AB01FE" w:rsidP="00D41FFC">
      <w:pPr>
        <w:pStyle w:val="BodyText"/>
        <w:contextualSpacing/>
        <w:jc w:val="left"/>
        <w:rPr>
          <w:rFonts w:ascii="Book Antiqua" w:hAnsi="Book Antiqua"/>
          <w:b/>
          <w:bCs/>
        </w:rPr>
      </w:pPr>
      <w:proofErr w:type="spellStart"/>
      <w:r w:rsidRPr="760A685D">
        <w:rPr>
          <w:rFonts w:ascii="Book Antiqua" w:hAnsi="Book Antiqua"/>
          <w:b/>
          <w:bCs/>
        </w:rPr>
        <w:t>Hon</w:t>
      </w:r>
      <w:proofErr w:type="spellEnd"/>
      <w:r w:rsidRPr="760A685D">
        <w:rPr>
          <w:rFonts w:ascii="Book Antiqua" w:hAnsi="Book Antiqua"/>
          <w:b/>
          <w:bCs/>
        </w:rPr>
        <w:t>. Víctor L. Parés-Otero</w:t>
      </w:r>
    </w:p>
    <w:p w14:paraId="210B18E9" w14:textId="77777777" w:rsidR="00AB01FE" w:rsidRPr="0058116F" w:rsidRDefault="00AB01FE" w:rsidP="00D41FFC">
      <w:pPr>
        <w:pStyle w:val="BodyText"/>
        <w:contextualSpacing/>
        <w:jc w:val="left"/>
        <w:rPr>
          <w:rFonts w:ascii="Book Antiqua" w:hAnsi="Book Antiqua"/>
        </w:rPr>
      </w:pPr>
      <w:r w:rsidRPr="0058116F">
        <w:rPr>
          <w:rFonts w:ascii="Book Antiqua" w:hAnsi="Book Antiqua"/>
        </w:rPr>
        <w:t>Presidente</w:t>
      </w:r>
    </w:p>
    <w:p w14:paraId="35ED775A" w14:textId="29054206" w:rsidR="00AB01FE" w:rsidRPr="00AB01FE" w:rsidRDefault="00AB01FE" w:rsidP="00D41FFC">
      <w:pPr>
        <w:pStyle w:val="BodyText"/>
        <w:contextualSpacing/>
        <w:jc w:val="left"/>
        <w:rPr>
          <w:rFonts w:ascii="Book Antiqua" w:hAnsi="Book Antiqua"/>
        </w:rPr>
      </w:pPr>
      <w:r w:rsidRPr="0058116F">
        <w:rPr>
          <w:rFonts w:ascii="Book Antiqua" w:hAnsi="Book Antiqua"/>
        </w:rPr>
        <w:t>Comisión de Gobierno</w:t>
      </w:r>
    </w:p>
    <w:sectPr w:rsidR="00AB01FE" w:rsidRPr="00AB01F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23B1A" w14:textId="77777777" w:rsidR="00721E51" w:rsidRDefault="00721E51" w:rsidP="00AB01FE">
      <w:r>
        <w:separator/>
      </w:r>
    </w:p>
  </w:endnote>
  <w:endnote w:type="continuationSeparator" w:id="0">
    <w:p w14:paraId="1DDF0767" w14:textId="77777777" w:rsidR="00721E51" w:rsidRDefault="00721E51" w:rsidP="00AB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9863530"/>
      <w:docPartObj>
        <w:docPartGallery w:val="Page Numbers (Bottom of Page)"/>
        <w:docPartUnique/>
      </w:docPartObj>
    </w:sdtPr>
    <w:sdtEndPr>
      <w:rPr>
        <w:noProof/>
      </w:rPr>
    </w:sdtEndPr>
    <w:sdtContent>
      <w:p w14:paraId="6FAD2C54" w14:textId="17B36211" w:rsidR="00C07B63" w:rsidRDefault="00C07B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7687E4" w14:textId="77777777" w:rsidR="00C07B63" w:rsidRDefault="00C07B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BE2D3" w14:textId="77777777" w:rsidR="00721E51" w:rsidRDefault="00721E51" w:rsidP="00AB01FE">
      <w:r>
        <w:separator/>
      </w:r>
    </w:p>
  </w:footnote>
  <w:footnote w:type="continuationSeparator" w:id="0">
    <w:p w14:paraId="51E0DB81" w14:textId="77777777" w:rsidR="00721E51" w:rsidRDefault="00721E51" w:rsidP="00AB01FE">
      <w:r>
        <w:continuationSeparator/>
      </w:r>
    </w:p>
  </w:footnote>
  <w:footnote w:id="1">
    <w:p w14:paraId="190020C3" w14:textId="11242F64" w:rsidR="00AB01FE" w:rsidRPr="00384481" w:rsidRDefault="00AB01FE" w:rsidP="00AB01FE">
      <w:pPr>
        <w:pStyle w:val="FootnoteText"/>
        <w:jc w:val="both"/>
        <w:rPr>
          <w:rFonts w:ascii="Book Antiqua" w:hAnsi="Book Antiqua"/>
        </w:rPr>
      </w:pPr>
      <w:r>
        <w:rPr>
          <w:rStyle w:val="FootnoteReference"/>
        </w:rPr>
        <w:footnoteRef/>
      </w:r>
      <w:r>
        <w:t xml:space="preserve"> </w:t>
      </w:r>
      <w:r w:rsidRPr="00384481">
        <w:rPr>
          <w:rFonts w:ascii="Book Antiqua" w:hAnsi="Book Antiqua"/>
        </w:rPr>
        <w:t>Varias agencias comparecieron ante esta Comisión mediante la presentación de memoriales en torno al P. de la C. 56</w:t>
      </w:r>
      <w:r>
        <w:rPr>
          <w:rFonts w:ascii="Book Antiqua" w:hAnsi="Book Antiqua"/>
        </w:rPr>
        <w:t>2</w:t>
      </w:r>
      <w:r w:rsidRPr="00384481">
        <w:rPr>
          <w:rFonts w:ascii="Book Antiqua" w:hAnsi="Book Antiqua"/>
        </w:rPr>
        <w:t>, medida que planteaba un asunto similar al P. de la C. 53</w:t>
      </w:r>
      <w:r>
        <w:rPr>
          <w:rFonts w:ascii="Book Antiqua" w:hAnsi="Book Antiqua"/>
        </w:rPr>
        <w:t>9</w:t>
      </w:r>
      <w:r w:rsidRPr="00384481">
        <w:rPr>
          <w:rFonts w:ascii="Book Antiqua" w:hAnsi="Book Antiqua"/>
        </w:rPr>
        <w:t>. Dicho proyecto fue posteriormente retirado por su autora; no obstante, algunos de los memoriales presentados para aquella medida se utilizan en este informe para propósitos del análisis del presente proyecto de ley.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1FE"/>
    <w:rsid w:val="000244B1"/>
    <w:rsid w:val="00086292"/>
    <w:rsid w:val="00123157"/>
    <w:rsid w:val="001B7060"/>
    <w:rsid w:val="00224965"/>
    <w:rsid w:val="002947CE"/>
    <w:rsid w:val="00576884"/>
    <w:rsid w:val="00654E36"/>
    <w:rsid w:val="006D4FAE"/>
    <w:rsid w:val="00721E51"/>
    <w:rsid w:val="00730054"/>
    <w:rsid w:val="007E7E16"/>
    <w:rsid w:val="008B2052"/>
    <w:rsid w:val="009320B0"/>
    <w:rsid w:val="009E2EFE"/>
    <w:rsid w:val="00A25A61"/>
    <w:rsid w:val="00A904D7"/>
    <w:rsid w:val="00AB01FE"/>
    <w:rsid w:val="00B9562B"/>
    <w:rsid w:val="00C07B63"/>
    <w:rsid w:val="00C5200A"/>
    <w:rsid w:val="00D41FFC"/>
    <w:rsid w:val="00FE7324"/>
    <w:rsid w:val="0956A670"/>
    <w:rsid w:val="0CCA8514"/>
    <w:rsid w:val="0DDC2B12"/>
    <w:rsid w:val="0EBA69CE"/>
    <w:rsid w:val="13C23329"/>
    <w:rsid w:val="1816FC26"/>
    <w:rsid w:val="1DCA8CBE"/>
    <w:rsid w:val="1F1CB41E"/>
    <w:rsid w:val="36AA0F7F"/>
    <w:rsid w:val="3E556AED"/>
    <w:rsid w:val="3E7388F2"/>
    <w:rsid w:val="50AB9B93"/>
    <w:rsid w:val="538B2516"/>
    <w:rsid w:val="68177DDA"/>
    <w:rsid w:val="6A587746"/>
    <w:rsid w:val="6E0D984F"/>
    <w:rsid w:val="71FBA33A"/>
    <w:rsid w:val="736D850B"/>
    <w:rsid w:val="760A685D"/>
    <w:rsid w:val="7D50939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96DEB4"/>
  <w15:chartTrackingRefBased/>
  <w15:docId w15:val="{DE1FC1C9-D46D-492E-92FC-98A898301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1F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B01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01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01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01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01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01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01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01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01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1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01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01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01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01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01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01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01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01FE"/>
    <w:rPr>
      <w:rFonts w:eastAsiaTheme="majorEastAsia" w:cstheme="majorBidi"/>
      <w:color w:val="272727" w:themeColor="text1" w:themeTint="D8"/>
    </w:rPr>
  </w:style>
  <w:style w:type="paragraph" w:styleId="Title">
    <w:name w:val="Title"/>
    <w:basedOn w:val="Normal"/>
    <w:next w:val="Normal"/>
    <w:link w:val="TitleChar"/>
    <w:uiPriority w:val="10"/>
    <w:qFormat/>
    <w:rsid w:val="00AB01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1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01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0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01FE"/>
    <w:pPr>
      <w:spacing w:before="160"/>
      <w:jc w:val="center"/>
    </w:pPr>
    <w:rPr>
      <w:i/>
      <w:iCs/>
      <w:color w:val="404040" w:themeColor="text1" w:themeTint="BF"/>
    </w:rPr>
  </w:style>
  <w:style w:type="character" w:customStyle="1" w:styleId="QuoteChar">
    <w:name w:val="Quote Char"/>
    <w:basedOn w:val="DefaultParagraphFont"/>
    <w:link w:val="Quote"/>
    <w:uiPriority w:val="29"/>
    <w:rsid w:val="00AB01FE"/>
    <w:rPr>
      <w:i/>
      <w:iCs/>
      <w:color w:val="404040" w:themeColor="text1" w:themeTint="BF"/>
    </w:rPr>
  </w:style>
  <w:style w:type="paragraph" w:styleId="ListParagraph">
    <w:name w:val="List Paragraph"/>
    <w:basedOn w:val="Normal"/>
    <w:uiPriority w:val="34"/>
    <w:qFormat/>
    <w:rsid w:val="00AB01FE"/>
    <w:pPr>
      <w:ind w:left="720"/>
      <w:contextualSpacing/>
    </w:pPr>
  </w:style>
  <w:style w:type="character" w:styleId="IntenseEmphasis">
    <w:name w:val="Intense Emphasis"/>
    <w:basedOn w:val="DefaultParagraphFont"/>
    <w:uiPriority w:val="21"/>
    <w:qFormat/>
    <w:rsid w:val="00AB01FE"/>
    <w:rPr>
      <w:i/>
      <w:iCs/>
      <w:color w:val="0F4761" w:themeColor="accent1" w:themeShade="BF"/>
    </w:rPr>
  </w:style>
  <w:style w:type="paragraph" w:styleId="IntenseQuote">
    <w:name w:val="Intense Quote"/>
    <w:basedOn w:val="Normal"/>
    <w:next w:val="Normal"/>
    <w:link w:val="IntenseQuoteChar"/>
    <w:uiPriority w:val="30"/>
    <w:qFormat/>
    <w:rsid w:val="00AB01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01FE"/>
    <w:rPr>
      <w:i/>
      <w:iCs/>
      <w:color w:val="0F4761" w:themeColor="accent1" w:themeShade="BF"/>
    </w:rPr>
  </w:style>
  <w:style w:type="character" w:styleId="IntenseReference">
    <w:name w:val="Intense Reference"/>
    <w:basedOn w:val="DefaultParagraphFont"/>
    <w:uiPriority w:val="32"/>
    <w:qFormat/>
    <w:rsid w:val="00AB01FE"/>
    <w:rPr>
      <w:b/>
      <w:bCs/>
      <w:smallCaps/>
      <w:color w:val="0F4761" w:themeColor="accent1" w:themeShade="BF"/>
      <w:spacing w:val="5"/>
    </w:rPr>
  </w:style>
  <w:style w:type="paragraph" w:customStyle="1" w:styleId="Title2">
    <w:name w:val="Title2"/>
    <w:basedOn w:val="Normal"/>
    <w:next w:val="Normal"/>
    <w:rsid w:val="00AB01FE"/>
    <w:pPr>
      <w:autoSpaceDE w:val="0"/>
      <w:autoSpaceDN w:val="0"/>
      <w:adjustRightInd w:val="0"/>
    </w:pPr>
    <w:rPr>
      <w:sz w:val="20"/>
      <w:lang w:val="en-US"/>
    </w:rPr>
  </w:style>
  <w:style w:type="paragraph" w:styleId="BodyText">
    <w:name w:val="Body Text"/>
    <w:basedOn w:val="Normal"/>
    <w:link w:val="BodyTextChar"/>
    <w:uiPriority w:val="99"/>
    <w:rsid w:val="00AB01FE"/>
    <w:pPr>
      <w:jc w:val="both"/>
    </w:pPr>
    <w:rPr>
      <w:lang w:eastAsia="x-none"/>
    </w:rPr>
  </w:style>
  <w:style w:type="character" w:customStyle="1" w:styleId="BodyTextChar">
    <w:name w:val="Body Text Char"/>
    <w:basedOn w:val="DefaultParagraphFont"/>
    <w:link w:val="BodyText"/>
    <w:uiPriority w:val="99"/>
    <w:rsid w:val="00AB01FE"/>
    <w:rPr>
      <w:rFonts w:ascii="Times New Roman" w:eastAsia="Times New Roman" w:hAnsi="Times New Roman" w:cs="Times New Roman"/>
      <w:kern w:val="0"/>
      <w:lang w:eastAsia="x-none"/>
      <w14:ligatures w14:val="none"/>
    </w:rPr>
  </w:style>
  <w:style w:type="paragraph" w:styleId="FootnoteText">
    <w:name w:val="footnote text"/>
    <w:basedOn w:val="Normal"/>
    <w:link w:val="FootnoteTextChar"/>
    <w:uiPriority w:val="99"/>
    <w:semiHidden/>
    <w:unhideWhenUsed/>
    <w:rsid w:val="00AB01FE"/>
    <w:rPr>
      <w:sz w:val="20"/>
      <w:szCs w:val="20"/>
    </w:rPr>
  </w:style>
  <w:style w:type="character" w:customStyle="1" w:styleId="FootnoteTextChar">
    <w:name w:val="Footnote Text Char"/>
    <w:basedOn w:val="DefaultParagraphFont"/>
    <w:link w:val="FootnoteText"/>
    <w:uiPriority w:val="99"/>
    <w:semiHidden/>
    <w:rsid w:val="00AB01FE"/>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B01FE"/>
    <w:rPr>
      <w:vertAlign w:val="superscript"/>
    </w:rPr>
  </w:style>
  <w:style w:type="paragraph" w:styleId="Header">
    <w:name w:val="header"/>
    <w:basedOn w:val="Normal"/>
    <w:link w:val="HeaderChar"/>
    <w:uiPriority w:val="99"/>
    <w:unhideWhenUsed/>
    <w:rsid w:val="00C07B63"/>
    <w:pPr>
      <w:tabs>
        <w:tab w:val="center" w:pos="4680"/>
        <w:tab w:val="right" w:pos="9360"/>
      </w:tabs>
    </w:pPr>
  </w:style>
  <w:style w:type="character" w:customStyle="1" w:styleId="HeaderChar">
    <w:name w:val="Header Char"/>
    <w:basedOn w:val="DefaultParagraphFont"/>
    <w:link w:val="Header"/>
    <w:uiPriority w:val="99"/>
    <w:rsid w:val="00C07B63"/>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C07B63"/>
    <w:pPr>
      <w:tabs>
        <w:tab w:val="center" w:pos="4680"/>
        <w:tab w:val="right" w:pos="9360"/>
      </w:tabs>
    </w:pPr>
  </w:style>
  <w:style w:type="character" w:customStyle="1" w:styleId="FooterChar">
    <w:name w:val="Footer Char"/>
    <w:basedOn w:val="DefaultParagraphFont"/>
    <w:link w:val="Footer"/>
    <w:uiPriority w:val="99"/>
    <w:rsid w:val="00C07B63"/>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821</Words>
  <Characters>4711</Characters>
  <Application>Microsoft Office Word</Application>
  <DocSecurity>4</DocSecurity>
  <Lines>39</Lines>
  <Paragraphs>11</Paragraphs>
  <ScaleCrop>false</ScaleCrop>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2025-10-02T20:09:00Z</dcterms:created>
  <dcterms:modified xsi:type="dcterms:W3CDTF">2025-10-02T20:09:00Z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b43cc704-0ab5-4337-b9ab-5840e3f880a0</vt:lpwstr>
  </property>
</Properties>
</file>