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BEF65" w14:textId="77777777"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689597EC" w:rsidR="00FA6DD5" w:rsidRPr="00AF4E4F" w:rsidRDefault="00FA6DD5" w:rsidP="00AF4E4F">
      <w:pPr>
        <w:rPr>
          <w:rFonts w:ascii="Book Antiqua" w:eastAsia="Calibri" w:hAnsi="Book Antiqua"/>
          <w:lang w:val="es-PR"/>
        </w:rPr>
      </w:pPr>
      <w:r w:rsidRPr="00AF4E4F">
        <w:rPr>
          <w:rFonts w:ascii="Book Antiqua" w:eastAsia="Calibri" w:hAnsi="Book Antiqua"/>
          <w:lang w:val="es-PR"/>
        </w:rPr>
        <w:t>20ma. Asamblea</w:t>
      </w:r>
      <w:r w:rsidRP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r>
      <w:r w:rsidR="00AF4E4F">
        <w:rPr>
          <w:rFonts w:ascii="Book Antiqua" w:eastAsia="Calibri" w:hAnsi="Book Antiqua"/>
          <w:lang w:val="es-PR"/>
        </w:rPr>
        <w:tab/>
        <w:t xml:space="preserve">          </w:t>
      </w:r>
      <w:r w:rsidR="00CA0992" w:rsidRPr="00AF4E4F">
        <w:rPr>
          <w:rFonts w:ascii="Book Antiqua" w:eastAsia="Calibri" w:hAnsi="Book Antiqua"/>
          <w:lang w:val="es-PR"/>
        </w:rPr>
        <w:t>2d</w:t>
      </w:r>
      <w:r w:rsidRPr="00AF4E4F">
        <w:rPr>
          <w:rFonts w:ascii="Book Antiqua" w:eastAsia="Calibri" w:hAnsi="Book Antiqua"/>
          <w:lang w:val="es-PR"/>
        </w:rPr>
        <w:t>a.</w:t>
      </w:r>
      <w:r w:rsidR="00AF4E4F" w:rsidRPr="00AF4E4F">
        <w:rPr>
          <w:rFonts w:ascii="Book Antiqua" w:eastAsia="Calibri" w:hAnsi="Book Antiqua"/>
          <w:lang w:val="es-PR"/>
        </w:rPr>
        <w:t xml:space="preserve"> </w:t>
      </w:r>
      <w:r w:rsidRPr="00AF4E4F">
        <w:rPr>
          <w:rFonts w:ascii="Book Antiqua" w:eastAsia="Calibri" w:hAnsi="Book Antiqua"/>
          <w:lang w:val="es-PR"/>
        </w:rPr>
        <w:t>Sesión</w:t>
      </w:r>
    </w:p>
    <w:p w14:paraId="2F967DFE" w14:textId="5FD39B02" w:rsidR="00FA6DD5" w:rsidRPr="00AF4E4F" w:rsidRDefault="00FA6DD5" w:rsidP="00AF4E4F">
      <w:pPr>
        <w:widowControl w:val="0"/>
        <w:suppressAutoHyphens/>
        <w:ind w:firstLine="720"/>
        <w:jc w:val="both"/>
        <w:rPr>
          <w:rFonts w:ascii="Book Antiqua" w:hAnsi="Book Antiqua"/>
          <w:spacing w:val="-3"/>
          <w:lang w:val="es-PR"/>
        </w:rPr>
      </w:pPr>
      <w:r w:rsidRPr="00AF4E4F">
        <w:rPr>
          <w:rFonts w:ascii="Book Antiqua" w:hAnsi="Book Antiqua"/>
          <w:lang w:val="es-PR"/>
        </w:rPr>
        <w:t>Legislativa</w:t>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r>
      <w:r w:rsidRPr="00AF4E4F">
        <w:rPr>
          <w:rFonts w:ascii="Book Antiqua" w:hAnsi="Book Antiqua"/>
          <w:lang w:val="es-PR"/>
        </w:rPr>
        <w:tab/>
        <w:t xml:space="preserve">           </w:t>
      </w:r>
      <w:r w:rsidR="00AF4E4F">
        <w:rPr>
          <w:rFonts w:ascii="Book Antiqua" w:hAnsi="Book Antiqua"/>
          <w:lang w:val="es-PR"/>
        </w:rPr>
        <w:t xml:space="preserve">       </w:t>
      </w:r>
      <w:r w:rsidRPr="00AF4E4F">
        <w:rPr>
          <w:rFonts w:ascii="Book Antiqua" w:hAnsi="Book Antiqua"/>
          <w:lang w:val="es-PR"/>
        </w:rPr>
        <w:t>Ordinaria</w:t>
      </w:r>
    </w:p>
    <w:p w14:paraId="3B6C3691" w14:textId="77777777" w:rsidR="00FA6DD5" w:rsidRPr="00AF4E4F" w:rsidRDefault="00FA6DD5" w:rsidP="00FA6DD5">
      <w:pPr>
        <w:widowControl w:val="0"/>
        <w:suppressAutoHyphens/>
        <w:ind w:firstLine="720"/>
        <w:jc w:val="both"/>
        <w:rPr>
          <w:rFonts w:ascii="Book Antiqua" w:hAnsi="Book Antiqua"/>
          <w:spacing w:val="-3"/>
          <w:lang w:val="es-PR"/>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177A0EF6"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0227B1">
        <w:rPr>
          <w:rFonts w:ascii="Book Antiqua" w:eastAsia="Calibri" w:hAnsi="Book Antiqua"/>
          <w:b/>
          <w:sz w:val="52"/>
          <w:szCs w:val="52"/>
          <w:lang w:val="es-ES"/>
        </w:rPr>
        <w:t xml:space="preserve"> 869</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2B80E4F7" w:rsidR="00FA6DD5" w:rsidRPr="00FA6DD5" w:rsidRDefault="000227B1" w:rsidP="00FA6DD5">
      <w:pPr>
        <w:suppressLineNumbers/>
        <w:jc w:val="center"/>
        <w:rPr>
          <w:rFonts w:ascii="Book Antiqua" w:eastAsia="Calibri" w:hAnsi="Book Antiqua"/>
          <w:szCs w:val="24"/>
          <w:lang w:val="es-ES"/>
        </w:rPr>
      </w:pPr>
      <w:r>
        <w:rPr>
          <w:rFonts w:ascii="Book Antiqua" w:eastAsia="Calibri" w:hAnsi="Book Antiqua"/>
          <w:szCs w:val="24"/>
          <w:lang w:val="es-ES"/>
        </w:rPr>
        <w:t xml:space="preserve">22 </w:t>
      </w:r>
      <w:r w:rsidR="00FA6DD5" w:rsidRPr="00FA6DD5">
        <w:rPr>
          <w:rFonts w:ascii="Book Antiqua" w:eastAsia="Calibri" w:hAnsi="Book Antiqua"/>
          <w:szCs w:val="24"/>
          <w:lang w:val="es-ES"/>
        </w:rPr>
        <w:t xml:space="preserve">DE </w:t>
      </w:r>
      <w:r w:rsidR="001F11D0">
        <w:rPr>
          <w:rFonts w:ascii="Book Antiqua" w:eastAsia="Calibri" w:hAnsi="Book Antiqua"/>
          <w:szCs w:val="24"/>
          <w:lang w:val="es-ES"/>
        </w:rPr>
        <w:t>SEPTIEMBRE</w:t>
      </w:r>
      <w:r w:rsidR="00FA6DD5" w:rsidRPr="00FA6DD5">
        <w:rPr>
          <w:rFonts w:ascii="Book Antiqua" w:eastAsia="Calibri" w:hAnsi="Book Antiqua"/>
          <w:szCs w:val="24"/>
          <w:lang w:val="es-ES"/>
        </w:rPr>
        <w:t xml:space="preserve"> DE 2025</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1F560F04"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el representante </w:t>
      </w:r>
      <w:r w:rsidRPr="00FA6DD5">
        <w:rPr>
          <w:rFonts w:ascii="Book Antiqua" w:hAnsi="Book Antiqua"/>
          <w:i/>
          <w:iCs/>
          <w:szCs w:val="24"/>
          <w:lang w:val="es-ES"/>
        </w:rPr>
        <w:t>Hernández Concepción</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104D597D"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AE0C96">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AF4E4F" w:rsidRDefault="00F90AD0" w:rsidP="00F90AD0">
      <w:pPr>
        <w:jc w:val="center"/>
        <w:rPr>
          <w:rFonts w:ascii="Book Antiqua" w:hAnsi="Book Antiqua"/>
          <w:b/>
          <w:sz w:val="28"/>
          <w:szCs w:val="28"/>
          <w:lang w:val="es-ES_tradnl"/>
        </w:rPr>
      </w:pPr>
      <w:r w:rsidRPr="00AF4E4F">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21E7DDB7" w14:textId="2D73A5A9" w:rsidR="001F11D0" w:rsidRPr="001F11D0" w:rsidRDefault="00F90AD0" w:rsidP="00AF4E4F">
      <w:pPr>
        <w:ind w:left="720" w:hanging="720"/>
        <w:jc w:val="both"/>
        <w:rPr>
          <w:rFonts w:ascii="Book Antiqua" w:hAnsi="Book Antiqua"/>
          <w:szCs w:val="24"/>
          <w:lang w:val="es-PR"/>
        </w:rPr>
      </w:pPr>
      <w:bookmarkStart w:id="0" w:name="_Hlk202169376"/>
      <w:r w:rsidRPr="00C82490">
        <w:rPr>
          <w:rFonts w:ascii="Book Antiqua" w:hAnsi="Book Antiqua"/>
          <w:szCs w:val="24"/>
          <w:lang w:val="es-ES_tradnl"/>
        </w:rPr>
        <w:t xml:space="preserve">Para </w:t>
      </w:r>
      <w:r w:rsidR="001F11D0" w:rsidRPr="001F11D0">
        <w:rPr>
          <w:rFonts w:ascii="Book Antiqua" w:hAnsi="Book Antiqua"/>
          <w:szCs w:val="24"/>
          <w:lang w:val="es-PR"/>
        </w:rPr>
        <w:t>enmendar el Artículo 23.08 de la Ley Núm. 22-2000, según enmendada, conocida como “Ley de Vehículos y Tránsito de Puerto Rico”, a los fines de establecer un tope máximo anual de seiscientos (600) dólares en las multas administrativas impuestas mediante el Sistema Automático de Control de Tránsito (</w:t>
      </w:r>
      <w:proofErr w:type="spellStart"/>
      <w:r w:rsidR="001F11D0" w:rsidRPr="001F11D0">
        <w:rPr>
          <w:rFonts w:ascii="Book Antiqua" w:hAnsi="Book Antiqua"/>
          <w:szCs w:val="24"/>
          <w:lang w:val="es-PR"/>
        </w:rPr>
        <w:t>AutoExpreso</w:t>
      </w:r>
      <w:proofErr w:type="spellEnd"/>
      <w:r w:rsidR="001F11D0" w:rsidRPr="001F11D0">
        <w:rPr>
          <w:rFonts w:ascii="Book Antiqua" w:hAnsi="Book Antiqua"/>
          <w:szCs w:val="24"/>
          <w:lang w:val="es-PR"/>
        </w:rPr>
        <w:t>); y para otros fines relacionados.</w:t>
      </w:r>
    </w:p>
    <w:bookmarkEnd w:id="0"/>
    <w:p w14:paraId="74EC2157" w14:textId="00255ED2" w:rsidR="00F90AD0" w:rsidRDefault="00F90AD0" w:rsidP="00AF4E4F">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55967A58" w14:textId="77777777" w:rsidR="00AF4E4F" w:rsidRDefault="00AF4E4F" w:rsidP="00AF4E4F">
      <w:pPr>
        <w:ind w:firstLine="360"/>
        <w:jc w:val="center"/>
        <w:rPr>
          <w:rFonts w:ascii="Book Antiqua" w:hAnsi="Book Antiqua"/>
          <w:szCs w:val="24"/>
          <w:lang w:val="es-ES_tradnl"/>
        </w:rPr>
      </w:pPr>
    </w:p>
    <w:p w14:paraId="41F7A4B4" w14:textId="6FB38445"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El Sistema Automático de Control de Tránsito (</w:t>
      </w:r>
      <w:proofErr w:type="spellStart"/>
      <w:r w:rsidRPr="001F11D0">
        <w:rPr>
          <w:rFonts w:ascii="Book Antiqua" w:hAnsi="Book Antiqua"/>
          <w:szCs w:val="24"/>
          <w:lang w:val="es-PR"/>
        </w:rPr>
        <w:t>AutoExpreso</w:t>
      </w:r>
      <w:proofErr w:type="spellEnd"/>
      <w:r w:rsidRPr="001F11D0">
        <w:rPr>
          <w:rFonts w:ascii="Book Antiqua" w:hAnsi="Book Antiqua"/>
          <w:szCs w:val="24"/>
          <w:lang w:val="es-PR"/>
        </w:rPr>
        <w:t>) fue implantado en Puerto Rico con el fin de modernizar y agilizar el cobro de peajes en las principales autopistas. Su propósito inicial fue fomentar la eficiencia del tránsito vehicular, reducir la congestión en las estaciones de peaje y ofrecerles a los conductores un método conveniente de pago.</w:t>
      </w:r>
    </w:p>
    <w:p w14:paraId="264816AB" w14:textId="77777777" w:rsidR="00AF4E4F" w:rsidRPr="001F11D0" w:rsidRDefault="00AF4E4F" w:rsidP="00AF4E4F">
      <w:pPr>
        <w:ind w:firstLine="720"/>
        <w:jc w:val="both"/>
        <w:rPr>
          <w:rFonts w:ascii="Book Antiqua" w:hAnsi="Book Antiqua"/>
          <w:szCs w:val="24"/>
          <w:lang w:val="es-PR"/>
        </w:rPr>
      </w:pPr>
    </w:p>
    <w:p w14:paraId="5E1DEBB3"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No obstante, a lo largo de los años, el sistema ha estado acompañado de un esquema de sanciones administrativas que ha generado múltiples controversias y reclamos ciudadanos. Miles de conductores han recibido multas de manera acumulativa sin que mediara notificación oportuna, lo que ha provocado que pequeñas infracciones se conviertan en deudas exorbitantes que superan, en muchos casos, los ingresos mensuales de las familias trabajadoras.</w:t>
      </w:r>
    </w:p>
    <w:p w14:paraId="47870A88" w14:textId="77777777" w:rsidR="00AF4E4F" w:rsidRPr="001F11D0" w:rsidRDefault="00AF4E4F" w:rsidP="00AF4E4F">
      <w:pPr>
        <w:ind w:firstLine="720"/>
        <w:jc w:val="both"/>
        <w:rPr>
          <w:rFonts w:ascii="Book Antiqua" w:hAnsi="Book Antiqua"/>
          <w:szCs w:val="24"/>
          <w:lang w:val="es-PR"/>
        </w:rPr>
      </w:pPr>
    </w:p>
    <w:p w14:paraId="2D24B4EF"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 xml:space="preserve">En Puerto Rico, es común encontrar ciudadanos que reportan multas ascendentes a miles de dólares en un mismo año natural, aun cuando se trata de situaciones recurrentes como la falta de balance en la cuenta del sello electrónico, errores técnicos del </w:t>
      </w:r>
      <w:r w:rsidRPr="001F11D0">
        <w:rPr>
          <w:rFonts w:ascii="Book Antiqua" w:hAnsi="Book Antiqua"/>
          <w:szCs w:val="24"/>
          <w:lang w:val="es-PR"/>
        </w:rPr>
        <w:lastRenderedPageBreak/>
        <w:t xml:space="preserve">sistema o problemas de recarga. Este escenario no solo afecta la economía del conductor, sino que también genera un sentimiento de desconfianza hacia el propio sistema de </w:t>
      </w:r>
      <w:proofErr w:type="spellStart"/>
      <w:r w:rsidRPr="001F11D0">
        <w:rPr>
          <w:rFonts w:ascii="Book Antiqua" w:hAnsi="Book Antiqua"/>
          <w:szCs w:val="24"/>
          <w:lang w:val="es-PR"/>
        </w:rPr>
        <w:t>AutoExpreso</w:t>
      </w:r>
      <w:proofErr w:type="spellEnd"/>
      <w:r w:rsidRPr="001F11D0">
        <w:rPr>
          <w:rFonts w:ascii="Book Antiqua" w:hAnsi="Book Antiqua"/>
          <w:szCs w:val="24"/>
          <w:lang w:val="es-PR"/>
        </w:rPr>
        <w:t xml:space="preserve"> y hacia las instituciones gubernamentales encargadas de administrarlo.</w:t>
      </w:r>
    </w:p>
    <w:p w14:paraId="31BC3BF6" w14:textId="77777777" w:rsidR="00AF4E4F" w:rsidRPr="001F11D0" w:rsidRDefault="00AF4E4F" w:rsidP="00AF4E4F">
      <w:pPr>
        <w:ind w:firstLine="720"/>
        <w:jc w:val="both"/>
        <w:rPr>
          <w:rFonts w:ascii="Book Antiqua" w:hAnsi="Book Antiqua"/>
          <w:szCs w:val="24"/>
          <w:lang w:val="es-PR"/>
        </w:rPr>
      </w:pPr>
    </w:p>
    <w:p w14:paraId="09D9D78C"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La Asamblea Legislativa reconoce que toda multa administrativa debe cumplir con los principios de proporcionalidad, razonabilidad y justicia. Las sanciones no pueden tener un efecto confiscatorio ni convertirse en deudas impagables que, lejos de corregir la conducta, empujen al ciudadano a la marginalidad económica o a la informalidad vehicular.</w:t>
      </w:r>
    </w:p>
    <w:p w14:paraId="3018D055" w14:textId="77777777" w:rsidR="00AF4E4F" w:rsidRPr="001F11D0" w:rsidRDefault="00AF4E4F" w:rsidP="00AF4E4F">
      <w:pPr>
        <w:ind w:firstLine="720"/>
        <w:jc w:val="both"/>
        <w:rPr>
          <w:rFonts w:ascii="Book Antiqua" w:hAnsi="Book Antiqua"/>
          <w:szCs w:val="24"/>
          <w:lang w:val="es-PR"/>
        </w:rPr>
      </w:pPr>
    </w:p>
    <w:p w14:paraId="70FFA21E" w14:textId="77777777"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 xml:space="preserve">La imposición ilimitada de multas, sin un tope razonable, no responde a un fin legítimo de política pública, pues en la práctica desnaturaliza el carácter disuasivo de la sanción y lo convierte en una carga punitiva excesiva. Peor aún, las deudas acumuladas por </w:t>
      </w:r>
      <w:proofErr w:type="spellStart"/>
      <w:r w:rsidRPr="001F11D0">
        <w:rPr>
          <w:rFonts w:ascii="Book Antiqua" w:hAnsi="Book Antiqua"/>
          <w:szCs w:val="24"/>
          <w:lang w:val="es-PR"/>
        </w:rPr>
        <w:t>AutoExpreso</w:t>
      </w:r>
      <w:proofErr w:type="spellEnd"/>
      <w:r w:rsidRPr="001F11D0">
        <w:rPr>
          <w:rFonts w:ascii="Book Antiqua" w:hAnsi="Book Antiqua"/>
          <w:szCs w:val="24"/>
          <w:lang w:val="es-PR"/>
        </w:rPr>
        <w:t xml:space="preserve"> pueden provocar que muchos ciudadanos se vean impedidos de renovar sus licencias o sus permisos de circulación, afectando así su derecho a la movilidad y su capacidad de sostenerse laboralmente.</w:t>
      </w:r>
    </w:p>
    <w:p w14:paraId="73F051E2" w14:textId="77777777" w:rsidR="00AF4E4F" w:rsidRPr="001F11D0" w:rsidRDefault="00AF4E4F" w:rsidP="00AF4E4F">
      <w:pPr>
        <w:ind w:firstLine="720"/>
        <w:jc w:val="both"/>
        <w:rPr>
          <w:rFonts w:ascii="Book Antiqua" w:hAnsi="Book Antiqua"/>
          <w:szCs w:val="24"/>
          <w:lang w:val="es-PR"/>
        </w:rPr>
      </w:pPr>
    </w:p>
    <w:p w14:paraId="74D7856C" w14:textId="3D29963E" w:rsidR="001F11D0" w:rsidRDefault="001F11D0" w:rsidP="00AF4E4F">
      <w:pPr>
        <w:ind w:firstLine="720"/>
        <w:jc w:val="both"/>
        <w:rPr>
          <w:rFonts w:ascii="Book Antiqua" w:hAnsi="Book Antiqua"/>
          <w:szCs w:val="24"/>
          <w:lang w:val="es-PR"/>
        </w:rPr>
      </w:pPr>
      <w:r w:rsidRPr="001F11D0">
        <w:rPr>
          <w:rFonts w:ascii="Book Antiqua" w:hAnsi="Book Antiqua"/>
          <w:szCs w:val="24"/>
          <w:lang w:val="es-PR"/>
        </w:rPr>
        <w:t>Por ello, la Asamblea Legislativa establece mediante est</w:t>
      </w:r>
      <w:r w:rsidR="00BD5873">
        <w:rPr>
          <w:rFonts w:ascii="Book Antiqua" w:hAnsi="Book Antiqua"/>
          <w:szCs w:val="24"/>
          <w:lang w:val="es-PR"/>
        </w:rPr>
        <w:t>a Ley</w:t>
      </w:r>
      <w:r w:rsidRPr="001F11D0">
        <w:rPr>
          <w:rFonts w:ascii="Book Antiqua" w:hAnsi="Book Antiqua"/>
          <w:szCs w:val="24"/>
          <w:lang w:val="es-PR"/>
        </w:rPr>
        <w:t xml:space="preserve"> un tope máximo anual de seiscientos (600) dólares por vehículo en multas relacionadas con el sistema de </w:t>
      </w:r>
      <w:proofErr w:type="spellStart"/>
      <w:r w:rsidRPr="001F11D0">
        <w:rPr>
          <w:rFonts w:ascii="Book Antiqua" w:hAnsi="Book Antiqua"/>
          <w:szCs w:val="24"/>
          <w:lang w:val="es-PR"/>
        </w:rPr>
        <w:t>AutoExpreso</w:t>
      </w:r>
      <w:proofErr w:type="spellEnd"/>
      <w:r w:rsidRPr="001F11D0">
        <w:rPr>
          <w:rFonts w:ascii="Book Antiqua" w:hAnsi="Book Antiqua"/>
          <w:szCs w:val="24"/>
          <w:lang w:val="es-PR"/>
        </w:rPr>
        <w:t>. Este límite no elimina la obligación del conductor de mantener balance suficiente en su cuenta ni el deber de cumplir con las leyes de tránsito, pero asegura que las sanciones sean justas y alcanzables, sin perder su efecto disuasivo.</w:t>
      </w:r>
    </w:p>
    <w:p w14:paraId="42D4D052" w14:textId="77777777" w:rsidR="00AF4E4F" w:rsidRPr="001F11D0" w:rsidRDefault="00AF4E4F" w:rsidP="00AF4E4F">
      <w:pPr>
        <w:ind w:firstLine="720"/>
        <w:jc w:val="both"/>
        <w:rPr>
          <w:rFonts w:ascii="Book Antiqua" w:hAnsi="Book Antiqua"/>
          <w:szCs w:val="24"/>
          <w:lang w:val="es-PR"/>
        </w:rPr>
      </w:pPr>
    </w:p>
    <w:p w14:paraId="0F869E4C" w14:textId="77777777" w:rsidR="00F90AD0" w:rsidRPr="00F90AD0" w:rsidRDefault="00F90AD0" w:rsidP="00AF4E4F">
      <w:pPr>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579BDE00" w14:textId="77777777" w:rsidR="00F90AD0" w:rsidRDefault="00F90AD0" w:rsidP="00AF4E4F">
      <w:pPr>
        <w:jc w:val="both"/>
        <w:rPr>
          <w:rFonts w:ascii="Book Antiqua" w:hAnsi="Book Antiqua"/>
          <w:szCs w:val="24"/>
          <w:lang w:val="es-ES_tradnl"/>
        </w:rPr>
      </w:pPr>
    </w:p>
    <w:p w14:paraId="3A7385B4" w14:textId="77777777" w:rsidR="00AF4E4F" w:rsidRPr="00F90AD0" w:rsidRDefault="00AF4E4F" w:rsidP="00AF4E4F">
      <w:pPr>
        <w:jc w:val="both"/>
        <w:rPr>
          <w:rFonts w:ascii="Book Antiqua" w:hAnsi="Book Antiqua"/>
          <w:szCs w:val="24"/>
          <w:lang w:val="es-ES_tradnl"/>
        </w:rPr>
        <w:sectPr w:rsidR="00AF4E4F" w:rsidRPr="00F90AD0">
          <w:headerReference w:type="default" r:id="rId9"/>
          <w:type w:val="continuous"/>
          <w:pgSz w:w="12240" w:h="15840" w:code="1"/>
          <w:pgMar w:top="1440" w:right="1440" w:bottom="1440" w:left="1440" w:header="720" w:footer="720" w:gutter="0"/>
          <w:cols w:space="720"/>
          <w:titlePg/>
        </w:sectPr>
      </w:pPr>
    </w:p>
    <w:p w14:paraId="443B33D8" w14:textId="5FBAAE5A" w:rsidR="00F90AD0" w:rsidRDefault="00F90AD0" w:rsidP="00AF4E4F">
      <w:pPr>
        <w:spacing w:line="480" w:lineRule="auto"/>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1" w:name="_Hlk202169470"/>
      <w:r w:rsidR="00E054D5">
        <w:rPr>
          <w:rFonts w:ascii="Book Antiqua" w:hAnsi="Book Antiqua"/>
          <w:szCs w:val="24"/>
          <w:lang w:val="es-ES_tradnl"/>
        </w:rPr>
        <w:t>Artículo</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A92E6D">
        <w:rPr>
          <w:rFonts w:ascii="Book Antiqua" w:hAnsi="Book Antiqua"/>
          <w:bCs/>
          <w:color w:val="000000"/>
          <w:szCs w:val="24"/>
          <w:lang w:val="es-PR"/>
        </w:rPr>
        <w:t xml:space="preserve">Se enmienda el Artículo </w:t>
      </w:r>
      <w:r w:rsidR="007157E1">
        <w:rPr>
          <w:rFonts w:ascii="Book Antiqua" w:hAnsi="Book Antiqua"/>
          <w:bCs/>
          <w:color w:val="000000"/>
          <w:szCs w:val="24"/>
          <w:lang w:val="es-PR"/>
        </w:rPr>
        <w:t>23.08</w:t>
      </w:r>
      <w:r w:rsidR="00A92E6D">
        <w:rPr>
          <w:rFonts w:ascii="Book Antiqua" w:hAnsi="Book Antiqua"/>
          <w:bCs/>
          <w:color w:val="000000"/>
          <w:szCs w:val="24"/>
          <w:lang w:val="es-PR"/>
        </w:rPr>
        <w:t xml:space="preserve"> de la Ley</w:t>
      </w:r>
      <w:r w:rsidR="00A92E6D" w:rsidRPr="00A92E6D">
        <w:rPr>
          <w:rFonts w:ascii="Book Antiqua" w:hAnsi="Book Antiqua"/>
          <w:szCs w:val="24"/>
          <w:lang w:val="es-ES_tradnl"/>
        </w:rPr>
        <w:t xml:space="preserve"> </w:t>
      </w:r>
      <w:r w:rsidR="00A92E6D" w:rsidRPr="00A92E6D">
        <w:rPr>
          <w:rFonts w:ascii="Book Antiqua" w:hAnsi="Book Antiqua"/>
          <w:bCs/>
          <w:color w:val="000000"/>
          <w:szCs w:val="24"/>
          <w:lang w:val="es-ES_tradnl"/>
        </w:rPr>
        <w:t xml:space="preserve">Núm. </w:t>
      </w:r>
      <w:r w:rsidR="007157E1">
        <w:rPr>
          <w:rFonts w:ascii="Book Antiqua" w:hAnsi="Book Antiqua"/>
          <w:bCs/>
          <w:color w:val="000000"/>
          <w:szCs w:val="24"/>
          <w:lang w:val="es-ES_tradnl"/>
        </w:rPr>
        <w:t>22</w:t>
      </w:r>
      <w:r w:rsidR="00A92E6D" w:rsidRPr="00A92E6D">
        <w:rPr>
          <w:rFonts w:ascii="Book Antiqua" w:hAnsi="Book Antiqua"/>
          <w:bCs/>
          <w:color w:val="000000"/>
          <w:szCs w:val="24"/>
          <w:lang w:val="es-ES_tradnl"/>
        </w:rPr>
        <w:t>-20</w:t>
      </w:r>
      <w:r w:rsidR="007157E1">
        <w:rPr>
          <w:rFonts w:ascii="Book Antiqua" w:hAnsi="Book Antiqua"/>
          <w:bCs/>
          <w:color w:val="000000"/>
          <w:szCs w:val="24"/>
          <w:lang w:val="es-ES_tradnl"/>
        </w:rPr>
        <w:t>00</w:t>
      </w:r>
      <w:r w:rsidR="00A92E6D" w:rsidRPr="00A92E6D">
        <w:rPr>
          <w:rFonts w:ascii="Book Antiqua" w:hAnsi="Book Antiqua"/>
          <w:bCs/>
          <w:color w:val="000000"/>
          <w:szCs w:val="24"/>
          <w:lang w:val="es-ES_tradnl"/>
        </w:rPr>
        <w:t xml:space="preserve">, </w:t>
      </w:r>
      <w:r w:rsidR="007157E1">
        <w:rPr>
          <w:rFonts w:ascii="Book Antiqua" w:hAnsi="Book Antiqua"/>
          <w:bCs/>
          <w:color w:val="000000"/>
          <w:szCs w:val="24"/>
          <w:lang w:val="es-ES_tradnl"/>
        </w:rPr>
        <w:t xml:space="preserve">según enmendada, para añadir un inciso (h), </w:t>
      </w:r>
      <w:r w:rsidR="00A92E6D">
        <w:rPr>
          <w:rFonts w:ascii="Book Antiqua" w:hAnsi="Book Antiqua"/>
          <w:bCs/>
          <w:color w:val="000000"/>
          <w:szCs w:val="24"/>
          <w:lang w:val="es-ES_tradnl"/>
        </w:rPr>
        <w:t xml:space="preserve">que </w:t>
      </w:r>
      <w:r w:rsidR="007157E1">
        <w:rPr>
          <w:rFonts w:ascii="Book Antiqua" w:hAnsi="Book Antiqua"/>
          <w:bCs/>
          <w:color w:val="000000"/>
          <w:szCs w:val="24"/>
          <w:lang w:val="es-ES_tradnl"/>
        </w:rPr>
        <w:t>leerá</w:t>
      </w:r>
      <w:r w:rsidR="00A92E6D">
        <w:rPr>
          <w:rFonts w:ascii="Book Antiqua" w:hAnsi="Book Antiqua"/>
          <w:bCs/>
          <w:color w:val="000000"/>
          <w:szCs w:val="24"/>
          <w:lang w:val="es-ES_tradnl"/>
        </w:rPr>
        <w:t xml:space="preserve"> como sigue:</w:t>
      </w:r>
    </w:p>
    <w:p w14:paraId="1ACF4707" w14:textId="2BFCD60A"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 xml:space="preserve">“Articulo 23.08.- Sistema </w:t>
      </w:r>
      <w:proofErr w:type="spellStart"/>
      <w:r>
        <w:rPr>
          <w:rFonts w:ascii="Book Antiqua" w:hAnsi="Book Antiqua"/>
          <w:bCs/>
          <w:color w:val="000000"/>
          <w:szCs w:val="24"/>
          <w:lang w:val="es-ES_tradnl"/>
        </w:rPr>
        <w:t>Automatico</w:t>
      </w:r>
      <w:proofErr w:type="spellEnd"/>
      <w:r>
        <w:rPr>
          <w:rFonts w:ascii="Book Antiqua" w:hAnsi="Book Antiqua"/>
          <w:bCs/>
          <w:color w:val="000000"/>
          <w:szCs w:val="24"/>
          <w:lang w:val="es-ES_tradnl"/>
        </w:rPr>
        <w:t xml:space="preserve"> de Control de Transito</w:t>
      </w:r>
    </w:p>
    <w:p w14:paraId="2AAD655B" w14:textId="003BE92E"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(a)…</w:t>
      </w:r>
    </w:p>
    <w:p w14:paraId="30879E95" w14:textId="6B6F6D93" w:rsidR="007157E1" w:rsidRDefault="007157E1" w:rsidP="00AF4E4F">
      <w:pPr>
        <w:spacing w:line="480" w:lineRule="auto"/>
        <w:jc w:val="both"/>
        <w:rPr>
          <w:rFonts w:ascii="Book Antiqua" w:hAnsi="Book Antiqua"/>
          <w:bCs/>
          <w:color w:val="000000"/>
          <w:szCs w:val="24"/>
          <w:lang w:val="es-ES_tradnl"/>
        </w:rPr>
      </w:pPr>
      <w:r>
        <w:rPr>
          <w:rFonts w:ascii="Book Antiqua" w:hAnsi="Book Antiqua"/>
          <w:bCs/>
          <w:color w:val="000000"/>
          <w:szCs w:val="24"/>
          <w:lang w:val="es-ES_tradnl"/>
        </w:rPr>
        <w:tab/>
        <w:t>…</w:t>
      </w:r>
    </w:p>
    <w:p w14:paraId="19F1ADAE" w14:textId="6809F370" w:rsidR="00BD5873" w:rsidRPr="00BD5873" w:rsidRDefault="007157E1" w:rsidP="00AF4E4F">
      <w:pPr>
        <w:spacing w:line="480" w:lineRule="auto"/>
        <w:jc w:val="both"/>
        <w:rPr>
          <w:rFonts w:ascii="Book Antiqua" w:hAnsi="Book Antiqua"/>
          <w:bCs/>
          <w:color w:val="000000"/>
          <w:szCs w:val="24"/>
          <w:lang w:val="es-PR"/>
        </w:rPr>
      </w:pPr>
      <w:r>
        <w:rPr>
          <w:rFonts w:ascii="Book Antiqua" w:hAnsi="Book Antiqua"/>
          <w:bCs/>
          <w:color w:val="000000"/>
          <w:szCs w:val="24"/>
          <w:lang w:val="es-ES_tradnl"/>
        </w:rPr>
        <w:tab/>
      </w:r>
      <w:r w:rsidRPr="00097340">
        <w:rPr>
          <w:rFonts w:ascii="Book Antiqua" w:hAnsi="Book Antiqua"/>
          <w:bCs/>
          <w:i/>
          <w:iCs/>
          <w:color w:val="000000"/>
          <w:szCs w:val="24"/>
          <w:lang w:val="es-ES_tradnl"/>
        </w:rPr>
        <w:t xml:space="preserve">(h) </w:t>
      </w:r>
      <w:r w:rsidR="00BD5873" w:rsidRPr="00097340">
        <w:rPr>
          <w:rFonts w:ascii="Book Antiqua" w:hAnsi="Book Antiqua"/>
          <w:bCs/>
          <w:i/>
          <w:iCs/>
          <w:color w:val="000000"/>
          <w:szCs w:val="24"/>
          <w:lang w:val="es-PR"/>
        </w:rPr>
        <w:t xml:space="preserve">No obstante lo dispuesto en los incisos anteriores, las multas administrativas generadas por el Sistema de </w:t>
      </w:r>
      <w:proofErr w:type="spellStart"/>
      <w:r w:rsidR="00BD5873" w:rsidRPr="00097340">
        <w:rPr>
          <w:rFonts w:ascii="Book Antiqua" w:hAnsi="Book Antiqua"/>
          <w:bCs/>
          <w:i/>
          <w:iCs/>
          <w:color w:val="000000"/>
          <w:szCs w:val="24"/>
          <w:lang w:val="es-PR"/>
        </w:rPr>
        <w:t>AutoExpreso</w:t>
      </w:r>
      <w:proofErr w:type="spellEnd"/>
      <w:r w:rsidR="00BD5873" w:rsidRPr="00097340">
        <w:rPr>
          <w:rFonts w:ascii="Book Antiqua" w:hAnsi="Book Antiqua"/>
          <w:bCs/>
          <w:i/>
          <w:iCs/>
          <w:color w:val="000000"/>
          <w:szCs w:val="24"/>
          <w:lang w:val="es-PR"/>
        </w:rPr>
        <w:t xml:space="preserve"> estarán sujetas a un tope máximo anual de seiscientos (600) dólares por vehículo registrado. </w:t>
      </w:r>
      <w:r w:rsidR="00BD5873" w:rsidRPr="00BD5873">
        <w:rPr>
          <w:rFonts w:ascii="Book Antiqua" w:hAnsi="Book Antiqua"/>
          <w:bCs/>
          <w:i/>
          <w:iCs/>
          <w:color w:val="000000"/>
          <w:szCs w:val="24"/>
          <w:lang w:val="es-PR"/>
        </w:rPr>
        <w:t xml:space="preserve">Una vez alcanzado dicho límite, el Departamento de Transportación y Obras Públicas (DTOP) y la Autoridad de Carreteras y Transportación (ACT) no podrán imponer </w:t>
      </w:r>
      <w:r w:rsidR="00BD5873" w:rsidRPr="00BD5873">
        <w:rPr>
          <w:rFonts w:ascii="Book Antiqua" w:hAnsi="Book Antiqua"/>
          <w:bCs/>
          <w:i/>
          <w:iCs/>
          <w:color w:val="000000"/>
          <w:szCs w:val="24"/>
          <w:lang w:val="es-PR"/>
        </w:rPr>
        <w:lastRenderedPageBreak/>
        <w:t>multas adicionales durante ese año natural. Este tope no será aplicable a violaciones de tránsito que constituyan delito o a infracciones contempladas en otros artículos de esta Ley.</w:t>
      </w:r>
      <w:r w:rsidR="00BD5873">
        <w:rPr>
          <w:rFonts w:ascii="Book Antiqua" w:hAnsi="Book Antiqua"/>
          <w:bCs/>
          <w:color w:val="000000"/>
          <w:szCs w:val="24"/>
          <w:lang w:val="es-PR"/>
        </w:rPr>
        <w:t>”</w:t>
      </w:r>
    </w:p>
    <w:p w14:paraId="7D5D1E42" w14:textId="19167999" w:rsidR="00BD5873" w:rsidRDefault="00942B62" w:rsidP="00AF4E4F">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Artículo </w:t>
      </w:r>
      <w:r w:rsidR="00BD5873">
        <w:rPr>
          <w:rFonts w:ascii="Book Antiqua" w:hAnsi="Book Antiqua"/>
          <w:bCs/>
          <w:color w:val="000000"/>
          <w:szCs w:val="24"/>
          <w:lang w:val="es-PR"/>
        </w:rPr>
        <w:t>2</w:t>
      </w:r>
      <w:r w:rsidR="00F90AD0" w:rsidRPr="00F90AD0">
        <w:rPr>
          <w:rFonts w:ascii="Book Antiqua" w:hAnsi="Book Antiqua"/>
          <w:bCs/>
          <w:color w:val="000000"/>
          <w:szCs w:val="24"/>
          <w:lang w:val="es-PR"/>
        </w:rPr>
        <w:t>.-</w:t>
      </w:r>
      <w:r w:rsidR="00BD5873">
        <w:rPr>
          <w:rFonts w:ascii="Book Antiqua" w:hAnsi="Book Antiqua"/>
          <w:bCs/>
          <w:color w:val="000000"/>
          <w:szCs w:val="24"/>
          <w:lang w:val="es-PR"/>
        </w:rPr>
        <w:t xml:space="preserve"> </w:t>
      </w:r>
      <w:r w:rsidR="00BD5873" w:rsidRPr="00BD5873">
        <w:rPr>
          <w:rFonts w:ascii="Book Antiqua" w:hAnsi="Book Antiqua"/>
          <w:bCs/>
          <w:color w:val="000000"/>
          <w:szCs w:val="24"/>
          <w:lang w:val="es-PR"/>
        </w:rPr>
        <w:t xml:space="preserve">El </w:t>
      </w:r>
      <w:r w:rsidR="00BD5873">
        <w:rPr>
          <w:rFonts w:ascii="Book Antiqua" w:hAnsi="Book Antiqua"/>
          <w:bCs/>
          <w:color w:val="000000"/>
          <w:szCs w:val="24"/>
          <w:lang w:val="es-PR"/>
        </w:rPr>
        <w:t>Departamento de Transportación y Obras Públicas</w:t>
      </w:r>
      <w:r w:rsidR="00BD5873" w:rsidRPr="00BD5873">
        <w:rPr>
          <w:rFonts w:ascii="Book Antiqua" w:hAnsi="Book Antiqua"/>
          <w:bCs/>
          <w:color w:val="000000"/>
          <w:szCs w:val="24"/>
          <w:lang w:val="es-PR"/>
        </w:rPr>
        <w:t>, en coordinación con la A</w:t>
      </w:r>
      <w:r w:rsidR="00BD5873">
        <w:rPr>
          <w:rFonts w:ascii="Book Antiqua" w:hAnsi="Book Antiqua"/>
          <w:bCs/>
          <w:color w:val="000000"/>
          <w:szCs w:val="24"/>
          <w:lang w:val="es-PR"/>
        </w:rPr>
        <w:t>utoridad de Carreteras y Transportación de Puerto Rico</w:t>
      </w:r>
      <w:r w:rsidR="00BD5873" w:rsidRPr="00BD5873">
        <w:rPr>
          <w:rFonts w:ascii="Book Antiqua" w:hAnsi="Book Antiqua"/>
          <w:bCs/>
          <w:color w:val="000000"/>
          <w:szCs w:val="24"/>
          <w:lang w:val="es-PR"/>
        </w:rPr>
        <w:t>, adopta</w:t>
      </w:r>
      <w:r w:rsidR="00BD5873">
        <w:rPr>
          <w:rFonts w:ascii="Book Antiqua" w:hAnsi="Book Antiqua"/>
          <w:bCs/>
          <w:color w:val="000000"/>
          <w:szCs w:val="24"/>
          <w:lang w:val="es-PR"/>
        </w:rPr>
        <w:t>ran</w:t>
      </w:r>
      <w:r w:rsidR="00BD5873" w:rsidRPr="00BD5873">
        <w:rPr>
          <w:rFonts w:ascii="Book Antiqua" w:hAnsi="Book Antiqua"/>
          <w:bCs/>
          <w:color w:val="000000"/>
          <w:szCs w:val="24"/>
          <w:lang w:val="es-PR"/>
        </w:rPr>
        <w:t xml:space="preserve"> la reglamentación necesaria para la implantación de este inciso, incluyendo los mecanismos de cómputo, notificación y ajuste de las deudas acumuladas, dentro de un término no mayor de ciento ochenta (180) días a partir de la vigencia de esta Ley.</w:t>
      </w:r>
    </w:p>
    <w:p w14:paraId="5CDC469E" w14:textId="22F26AF6" w:rsidR="00C34882" w:rsidRPr="00BD5873" w:rsidRDefault="00BD5873" w:rsidP="00AF4E4F">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Articulo 3.- </w:t>
      </w:r>
      <w:r w:rsidR="00F90AD0"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00F90AD0"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bookmarkEnd w:id="1"/>
    </w:p>
    <w:sectPr w:rsidR="00C34882" w:rsidRPr="00BD5873"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CBC20" w14:textId="77777777" w:rsidR="00AD1ED1" w:rsidRDefault="00AD1ED1">
      <w:r>
        <w:separator/>
      </w:r>
    </w:p>
  </w:endnote>
  <w:endnote w:type="continuationSeparator" w:id="0">
    <w:p w14:paraId="23A1C517" w14:textId="77777777" w:rsidR="00AD1ED1" w:rsidRDefault="00AD1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7A1A" w14:textId="77777777" w:rsidR="00AD1ED1" w:rsidRDefault="00AD1ED1">
      <w:r>
        <w:separator/>
      </w:r>
    </w:p>
  </w:footnote>
  <w:footnote w:type="continuationSeparator" w:id="0">
    <w:p w14:paraId="5D6A0508" w14:textId="77777777" w:rsidR="00AD1ED1" w:rsidRDefault="00AD1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227B1"/>
    <w:rsid w:val="00047DAA"/>
    <w:rsid w:val="00056024"/>
    <w:rsid w:val="00082226"/>
    <w:rsid w:val="0008747E"/>
    <w:rsid w:val="0009056E"/>
    <w:rsid w:val="00095AE1"/>
    <w:rsid w:val="00097340"/>
    <w:rsid w:val="000A6B6C"/>
    <w:rsid w:val="000B0DBB"/>
    <w:rsid w:val="000C3FCD"/>
    <w:rsid w:val="000C67E6"/>
    <w:rsid w:val="00111E71"/>
    <w:rsid w:val="00120477"/>
    <w:rsid w:val="00127C6A"/>
    <w:rsid w:val="00132D7C"/>
    <w:rsid w:val="001363FE"/>
    <w:rsid w:val="00157C21"/>
    <w:rsid w:val="00166443"/>
    <w:rsid w:val="0017132B"/>
    <w:rsid w:val="00194959"/>
    <w:rsid w:val="001A7E59"/>
    <w:rsid w:val="001F11D0"/>
    <w:rsid w:val="001F4CA3"/>
    <w:rsid w:val="001F612A"/>
    <w:rsid w:val="00200691"/>
    <w:rsid w:val="00211396"/>
    <w:rsid w:val="00226AE6"/>
    <w:rsid w:val="0023271D"/>
    <w:rsid w:val="00234BA2"/>
    <w:rsid w:val="00245B34"/>
    <w:rsid w:val="00252DB1"/>
    <w:rsid w:val="00263355"/>
    <w:rsid w:val="00271826"/>
    <w:rsid w:val="00273792"/>
    <w:rsid w:val="00281443"/>
    <w:rsid w:val="002A24E9"/>
    <w:rsid w:val="002B4D1A"/>
    <w:rsid w:val="002C15D0"/>
    <w:rsid w:val="002D4AC8"/>
    <w:rsid w:val="00320D78"/>
    <w:rsid w:val="0033052F"/>
    <w:rsid w:val="00334F4D"/>
    <w:rsid w:val="00380FE5"/>
    <w:rsid w:val="003924DD"/>
    <w:rsid w:val="00394FCB"/>
    <w:rsid w:val="003963F4"/>
    <w:rsid w:val="003A0BF2"/>
    <w:rsid w:val="003B5254"/>
    <w:rsid w:val="003B75A6"/>
    <w:rsid w:val="003C254C"/>
    <w:rsid w:val="003D05C1"/>
    <w:rsid w:val="003D62D9"/>
    <w:rsid w:val="003E4DF8"/>
    <w:rsid w:val="004061CA"/>
    <w:rsid w:val="00415689"/>
    <w:rsid w:val="004438F5"/>
    <w:rsid w:val="004440CB"/>
    <w:rsid w:val="004713D2"/>
    <w:rsid w:val="004831A6"/>
    <w:rsid w:val="0048323D"/>
    <w:rsid w:val="0048586F"/>
    <w:rsid w:val="00485E9D"/>
    <w:rsid w:val="004A6A73"/>
    <w:rsid w:val="004E3B77"/>
    <w:rsid w:val="004E7192"/>
    <w:rsid w:val="004F696C"/>
    <w:rsid w:val="00520716"/>
    <w:rsid w:val="00521639"/>
    <w:rsid w:val="00532BB7"/>
    <w:rsid w:val="005332E4"/>
    <w:rsid w:val="0053550C"/>
    <w:rsid w:val="00555018"/>
    <w:rsid w:val="005645F8"/>
    <w:rsid w:val="005723DC"/>
    <w:rsid w:val="005B0FCC"/>
    <w:rsid w:val="006210DC"/>
    <w:rsid w:val="00622CBF"/>
    <w:rsid w:val="0062463F"/>
    <w:rsid w:val="006360CA"/>
    <w:rsid w:val="0064349D"/>
    <w:rsid w:val="00653EED"/>
    <w:rsid w:val="00685549"/>
    <w:rsid w:val="00685E66"/>
    <w:rsid w:val="006B7365"/>
    <w:rsid w:val="006C2D81"/>
    <w:rsid w:val="006C7DF8"/>
    <w:rsid w:val="006E117A"/>
    <w:rsid w:val="007157E1"/>
    <w:rsid w:val="00750FC8"/>
    <w:rsid w:val="00751101"/>
    <w:rsid w:val="007533D0"/>
    <w:rsid w:val="00753AE8"/>
    <w:rsid w:val="00755069"/>
    <w:rsid w:val="00766276"/>
    <w:rsid w:val="00766DBE"/>
    <w:rsid w:val="00776B4F"/>
    <w:rsid w:val="007A2D91"/>
    <w:rsid w:val="007A55B8"/>
    <w:rsid w:val="007B0660"/>
    <w:rsid w:val="007D79CD"/>
    <w:rsid w:val="007E3868"/>
    <w:rsid w:val="007F319A"/>
    <w:rsid w:val="00812114"/>
    <w:rsid w:val="00820C41"/>
    <w:rsid w:val="00840CFE"/>
    <w:rsid w:val="00850256"/>
    <w:rsid w:val="0088422E"/>
    <w:rsid w:val="00897A48"/>
    <w:rsid w:val="008B1A96"/>
    <w:rsid w:val="008E4CB4"/>
    <w:rsid w:val="0093686F"/>
    <w:rsid w:val="00942B62"/>
    <w:rsid w:val="00942FD4"/>
    <w:rsid w:val="009465D8"/>
    <w:rsid w:val="00950A21"/>
    <w:rsid w:val="00951997"/>
    <w:rsid w:val="00954D07"/>
    <w:rsid w:val="00981479"/>
    <w:rsid w:val="00990352"/>
    <w:rsid w:val="009A30EC"/>
    <w:rsid w:val="009A6FE0"/>
    <w:rsid w:val="009B6C1A"/>
    <w:rsid w:val="009C1832"/>
    <w:rsid w:val="009C6482"/>
    <w:rsid w:val="009E08CC"/>
    <w:rsid w:val="00A020D4"/>
    <w:rsid w:val="00A03122"/>
    <w:rsid w:val="00A03405"/>
    <w:rsid w:val="00A03EE3"/>
    <w:rsid w:val="00A1528A"/>
    <w:rsid w:val="00A33918"/>
    <w:rsid w:val="00A7629F"/>
    <w:rsid w:val="00A92E6D"/>
    <w:rsid w:val="00A949B9"/>
    <w:rsid w:val="00AB157A"/>
    <w:rsid w:val="00AB30DB"/>
    <w:rsid w:val="00AB6466"/>
    <w:rsid w:val="00AC4643"/>
    <w:rsid w:val="00AD1ED1"/>
    <w:rsid w:val="00AE0C96"/>
    <w:rsid w:val="00AF0CEE"/>
    <w:rsid w:val="00AF1038"/>
    <w:rsid w:val="00AF4E4F"/>
    <w:rsid w:val="00B00154"/>
    <w:rsid w:val="00B029E2"/>
    <w:rsid w:val="00B065ED"/>
    <w:rsid w:val="00B10ED1"/>
    <w:rsid w:val="00B12489"/>
    <w:rsid w:val="00B55910"/>
    <w:rsid w:val="00B5646B"/>
    <w:rsid w:val="00B667AD"/>
    <w:rsid w:val="00B84C38"/>
    <w:rsid w:val="00B86C00"/>
    <w:rsid w:val="00B90C26"/>
    <w:rsid w:val="00B93A37"/>
    <w:rsid w:val="00B947F6"/>
    <w:rsid w:val="00BA6830"/>
    <w:rsid w:val="00BD5873"/>
    <w:rsid w:val="00BF16AA"/>
    <w:rsid w:val="00BF7436"/>
    <w:rsid w:val="00C04358"/>
    <w:rsid w:val="00C07469"/>
    <w:rsid w:val="00C34882"/>
    <w:rsid w:val="00C354B8"/>
    <w:rsid w:val="00C418F5"/>
    <w:rsid w:val="00C52517"/>
    <w:rsid w:val="00C604E5"/>
    <w:rsid w:val="00C60921"/>
    <w:rsid w:val="00C62936"/>
    <w:rsid w:val="00C653F2"/>
    <w:rsid w:val="00C679E6"/>
    <w:rsid w:val="00C82490"/>
    <w:rsid w:val="00C84CA8"/>
    <w:rsid w:val="00C908F9"/>
    <w:rsid w:val="00CA0917"/>
    <w:rsid w:val="00CA0992"/>
    <w:rsid w:val="00CA1099"/>
    <w:rsid w:val="00D417C2"/>
    <w:rsid w:val="00D504A5"/>
    <w:rsid w:val="00D60936"/>
    <w:rsid w:val="00D709EB"/>
    <w:rsid w:val="00D74714"/>
    <w:rsid w:val="00D769A4"/>
    <w:rsid w:val="00D82F3F"/>
    <w:rsid w:val="00D921C6"/>
    <w:rsid w:val="00D958C2"/>
    <w:rsid w:val="00D95CB8"/>
    <w:rsid w:val="00DB07B5"/>
    <w:rsid w:val="00DC1B6E"/>
    <w:rsid w:val="00DC6761"/>
    <w:rsid w:val="00DD6D1E"/>
    <w:rsid w:val="00DF42E4"/>
    <w:rsid w:val="00E04AB5"/>
    <w:rsid w:val="00E054D5"/>
    <w:rsid w:val="00E057F1"/>
    <w:rsid w:val="00E111A5"/>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57A72"/>
    <w:rsid w:val="00F60A20"/>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inespaciado">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Fuentedeprrafopredeter"/>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3A24F030-D0DA-4D0D-A319-7F99477BBD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681</Words>
  <Characters>3844</Characters>
  <Application>Microsoft Office Word</Application>
  <DocSecurity>0</DocSecurity>
  <Lines>32</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asesora - IT</vt:lpstr>
    </vt:vector>
  </TitlesOfParts>
  <Company>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Rocío Alayón Morell</cp:lastModifiedBy>
  <cp:revision>4</cp:revision>
  <cp:lastPrinted>2025-09-22T18:30:00Z</cp:lastPrinted>
  <dcterms:created xsi:type="dcterms:W3CDTF">2025-09-22T14:36:00Z</dcterms:created>
  <dcterms:modified xsi:type="dcterms:W3CDTF">2025-09-22T18:30:00Z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