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CB0251">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CB0251" w:rsidRDefault="00F13533" w:rsidP="00CB0251">
      <w:pPr>
        <w:jc w:val="center"/>
        <w:rPr>
          <w:rFonts w:ascii="Book Antiqua" w:hAnsi="Book Antiqua"/>
          <w:szCs w:val="24"/>
          <w:lang w:val="es-ES_tradnl"/>
        </w:rPr>
      </w:pPr>
    </w:p>
    <w:p w14:paraId="6AE3905C" w14:textId="10F9F10A" w:rsidR="00F13533" w:rsidRPr="004F6F8E" w:rsidRDefault="00F13533" w:rsidP="00CB0251">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proofErr w:type="spellStart"/>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proofErr w:type="spellEnd"/>
      <w:r w:rsidRPr="004F6F8E">
        <w:rPr>
          <w:rFonts w:ascii="Book Antiqua" w:hAnsi="Book Antiqua"/>
          <w:lang w:val="es-ES_tradnl"/>
        </w:rPr>
        <w:tab/>
        <w:t>Asamblea</w:t>
      </w:r>
      <w:r w:rsidRPr="004F6F8E">
        <w:rPr>
          <w:rFonts w:ascii="Book Antiqua" w:hAnsi="Book Antiqua"/>
          <w:lang w:val="es-ES_tradnl"/>
        </w:rPr>
        <w:tab/>
      </w:r>
      <w:r w:rsidR="00F70D3E">
        <w:rPr>
          <w:rFonts w:ascii="Book Antiqua" w:hAnsi="Book Antiqua"/>
          <w:lang w:val="es-ES_tradnl"/>
        </w:rPr>
        <w:t>2</w:t>
      </w:r>
      <w:r w:rsidR="00DE7377" w:rsidRPr="004F6F8E">
        <w:rPr>
          <w:rFonts w:ascii="Book Antiqua" w:hAnsi="Book Antiqua"/>
          <w:lang w:val="es-ES_tradnl"/>
        </w:rPr>
        <w:t xml:space="preserve"> </w:t>
      </w:r>
      <w:r w:rsidR="00F70D3E">
        <w:rPr>
          <w:rFonts w:ascii="Book Antiqua" w:hAnsi="Book Antiqua"/>
          <w:vertAlign w:val="superscript"/>
          <w:lang w:val="es-ES_tradnl"/>
        </w:rPr>
        <w:t>d</w:t>
      </w:r>
      <w:r w:rsidR="00DE7377" w:rsidRPr="004F6F8E">
        <w:rPr>
          <w:rFonts w:ascii="Book Antiqua" w:hAnsi="Book Antiqua"/>
          <w:vertAlign w:val="superscript"/>
          <w:lang w:val="es-ES_tradnl"/>
        </w:rPr>
        <w:t>a</w:t>
      </w:r>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CB0251">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CB0251">
      <w:pPr>
        <w:rPr>
          <w:rFonts w:ascii="Book Antiqua" w:hAnsi="Book Antiqua"/>
          <w:lang w:val="es-ES_tradnl"/>
        </w:rPr>
      </w:pPr>
    </w:p>
    <w:p w14:paraId="2BEF326C" w14:textId="77777777" w:rsidR="00F13533" w:rsidRDefault="00F13533" w:rsidP="00CB0251">
      <w:pPr>
        <w:jc w:val="center"/>
        <w:rPr>
          <w:rFonts w:ascii="Book Antiqua" w:hAnsi="Book Antiqua"/>
          <w:b/>
          <w:sz w:val="36"/>
          <w:lang w:val="es-ES_tradnl"/>
        </w:rPr>
      </w:pPr>
      <w:r w:rsidRPr="004F6F8E">
        <w:rPr>
          <w:rFonts w:ascii="Book Antiqua" w:hAnsi="Book Antiqua"/>
          <w:b/>
          <w:sz w:val="36"/>
          <w:lang w:val="es-ES_tradnl"/>
        </w:rPr>
        <w:t>CÁMARA DE REPRESENTANTES</w:t>
      </w:r>
    </w:p>
    <w:p w14:paraId="200B7913" w14:textId="77777777" w:rsidR="00CB0251" w:rsidRPr="00CB0251" w:rsidRDefault="00CB0251" w:rsidP="00CB0251">
      <w:pPr>
        <w:jc w:val="center"/>
        <w:rPr>
          <w:rFonts w:ascii="Book Antiqua" w:hAnsi="Book Antiqua"/>
          <w:b/>
          <w:szCs w:val="24"/>
          <w:lang w:val="es-ES_tradnl"/>
        </w:rPr>
      </w:pPr>
    </w:p>
    <w:p w14:paraId="279BFDBC" w14:textId="5BE68B99" w:rsidR="00F13533" w:rsidRDefault="00F13533" w:rsidP="00CB0251">
      <w:pPr>
        <w:jc w:val="center"/>
        <w:rPr>
          <w:rFonts w:ascii="Book Antiqua" w:hAnsi="Book Antiqua"/>
          <w:b/>
          <w:sz w:val="52"/>
          <w:lang w:val="es-ES_tradnl"/>
        </w:rPr>
      </w:pPr>
      <w:r w:rsidRPr="004F6F8E">
        <w:rPr>
          <w:rFonts w:ascii="Book Antiqua" w:hAnsi="Book Antiqua"/>
          <w:b/>
          <w:sz w:val="52"/>
          <w:lang w:val="es-ES_tradnl"/>
        </w:rPr>
        <w:t>P. de la C.</w:t>
      </w:r>
      <w:r w:rsidR="00CB0251">
        <w:rPr>
          <w:rFonts w:ascii="Book Antiqua" w:hAnsi="Book Antiqua"/>
          <w:b/>
          <w:sz w:val="52"/>
          <w:lang w:val="es-ES_tradnl"/>
        </w:rPr>
        <w:t xml:space="preserve"> </w:t>
      </w:r>
      <w:r w:rsidR="00D64FBC">
        <w:rPr>
          <w:rFonts w:ascii="Book Antiqua" w:hAnsi="Book Antiqua"/>
          <w:b/>
          <w:sz w:val="52"/>
          <w:lang w:val="es-ES_tradnl"/>
        </w:rPr>
        <w:t>888</w:t>
      </w:r>
    </w:p>
    <w:p w14:paraId="5BE04585" w14:textId="77777777" w:rsidR="00CB0251" w:rsidRPr="00CB0251" w:rsidRDefault="00CB0251" w:rsidP="00CB0251">
      <w:pPr>
        <w:jc w:val="center"/>
        <w:rPr>
          <w:rFonts w:ascii="Book Antiqua" w:hAnsi="Book Antiqua"/>
          <w:b/>
          <w:szCs w:val="24"/>
          <w:lang w:val="es-ES_tradnl"/>
        </w:rPr>
      </w:pPr>
    </w:p>
    <w:p w14:paraId="2661CC12" w14:textId="29DEB38B" w:rsidR="00F13533" w:rsidRDefault="009C2A4A" w:rsidP="00CB0251">
      <w:pPr>
        <w:jc w:val="center"/>
        <w:rPr>
          <w:rFonts w:ascii="Book Antiqua" w:hAnsi="Book Antiqua"/>
          <w:lang w:val="es-ES_tradnl"/>
        </w:rPr>
      </w:pPr>
      <w:r>
        <w:rPr>
          <w:rFonts w:ascii="Book Antiqua" w:hAnsi="Book Antiqua"/>
          <w:lang w:val="es-ES_tradnl"/>
        </w:rPr>
        <w:t>30</w:t>
      </w:r>
      <w:r w:rsidR="00F13533" w:rsidRPr="004F6F8E">
        <w:rPr>
          <w:rFonts w:ascii="Book Antiqua" w:hAnsi="Book Antiqua"/>
          <w:lang w:val="es-ES_tradnl"/>
        </w:rPr>
        <w:t xml:space="preserve"> DE </w:t>
      </w:r>
      <w:r w:rsidR="00475E14">
        <w:rPr>
          <w:rFonts w:ascii="Book Antiqua" w:hAnsi="Book Antiqua"/>
          <w:lang w:val="es-ES_tradnl"/>
        </w:rPr>
        <w:t>SEPTIEMBRE</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CB0251">
      <w:pPr>
        <w:jc w:val="center"/>
        <w:rPr>
          <w:rFonts w:ascii="Book Antiqua" w:hAnsi="Book Antiqua"/>
          <w:lang w:val="es-ES_tradnl"/>
        </w:rPr>
      </w:pPr>
    </w:p>
    <w:p w14:paraId="65EBA43E" w14:textId="77777777" w:rsidR="00BC73C8" w:rsidRDefault="00F13533" w:rsidP="00CB0251">
      <w:pPr>
        <w:jc w:val="center"/>
        <w:rPr>
          <w:rFonts w:ascii="Book Antiqua" w:hAnsi="Book Antiqua"/>
          <w:lang w:val="es-ES_tradnl"/>
        </w:rPr>
      </w:pPr>
      <w:r w:rsidRPr="004F6F8E">
        <w:rPr>
          <w:rFonts w:ascii="Book Antiqua" w:hAnsi="Book Antiqua"/>
          <w:lang w:val="es-ES_tradnl"/>
        </w:rPr>
        <w:t xml:space="preserve">Presentado por </w:t>
      </w:r>
      <w:r w:rsidR="00A6411C">
        <w:rPr>
          <w:rFonts w:ascii="Book Antiqua" w:hAnsi="Book Antiqua"/>
          <w:lang w:val="es-ES_tradnl"/>
        </w:rPr>
        <w:t>el</w:t>
      </w:r>
      <w:r w:rsidRPr="004F6F8E">
        <w:rPr>
          <w:rFonts w:ascii="Book Antiqua" w:hAnsi="Book Antiqua"/>
          <w:lang w:val="es-ES_tradnl"/>
        </w:rPr>
        <w:t xml:space="preserve"> representante</w:t>
      </w:r>
      <w:r w:rsidR="00A6411C">
        <w:rPr>
          <w:rFonts w:ascii="Book Antiqua" w:hAnsi="Book Antiqua"/>
          <w:lang w:val="es-ES_tradnl"/>
        </w:rPr>
        <w:t xml:space="preserv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A6411C">
        <w:rPr>
          <w:rFonts w:ascii="Book Antiqua" w:hAnsi="Book Antiqua"/>
          <w:lang w:val="es-ES_tradnl"/>
        </w:rPr>
        <w:t xml:space="preserve">; </w:t>
      </w:r>
    </w:p>
    <w:p w14:paraId="10DE9FEA" w14:textId="23935334" w:rsidR="00F13533" w:rsidRDefault="00A6411C" w:rsidP="00CB0251">
      <w:pPr>
        <w:jc w:val="center"/>
        <w:rPr>
          <w:rFonts w:ascii="Book Antiqua" w:hAnsi="Book Antiqua"/>
          <w:i/>
          <w:iCs/>
          <w:lang w:val="es-ES_tradnl"/>
        </w:rPr>
      </w:pPr>
      <w:r>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n</w:t>
      </w:r>
      <w:r w:rsidR="00034585" w:rsidRPr="00CB0251">
        <w:rPr>
          <w:rFonts w:ascii="Book Antiqua" w:hAnsi="Book Antiqua"/>
          <w:lang w:val="es-ES_tradnl"/>
        </w:rPr>
        <w:t xml:space="preserve"> y</w:t>
      </w:r>
      <w:r w:rsidR="00034585" w:rsidRPr="004F6F8E">
        <w:rPr>
          <w:rFonts w:ascii="Book Antiqua" w:hAnsi="Book Antiqua"/>
          <w:i/>
          <w:iCs/>
          <w:lang w:val="es-ES_tradnl"/>
        </w:rPr>
        <w:t xml:space="preserve"> Lebrón Robles</w:t>
      </w:r>
    </w:p>
    <w:p w14:paraId="08393C99" w14:textId="77777777" w:rsidR="00CB0251" w:rsidRPr="004F6F8E" w:rsidRDefault="00CB0251" w:rsidP="00CB0251">
      <w:pPr>
        <w:jc w:val="center"/>
        <w:rPr>
          <w:rFonts w:ascii="Book Antiqua" w:hAnsi="Book Antiqua"/>
          <w:i/>
          <w:iCs/>
          <w:lang w:val="es-ES_tradnl"/>
        </w:rPr>
      </w:pPr>
    </w:p>
    <w:p w14:paraId="47A99186" w14:textId="19B667DA" w:rsidR="00F13533" w:rsidRPr="004F6F8E" w:rsidRDefault="00F13533" w:rsidP="00CB0251">
      <w:pPr>
        <w:jc w:val="center"/>
        <w:rPr>
          <w:rFonts w:ascii="Book Antiqua" w:hAnsi="Book Antiqua"/>
          <w:lang w:val="es-ES_tradnl"/>
        </w:rPr>
      </w:pPr>
      <w:r w:rsidRPr="004F6F8E">
        <w:rPr>
          <w:rFonts w:ascii="Book Antiqua" w:hAnsi="Book Antiqua"/>
          <w:lang w:val="es-ES_tradnl"/>
        </w:rPr>
        <w:t xml:space="preserve">Referido a </w:t>
      </w:r>
      <w:r w:rsidR="0063706E">
        <w:rPr>
          <w:rFonts w:ascii="Book Antiqua" w:hAnsi="Book Antiqua"/>
          <w:lang w:val="es-ES_tradnl"/>
        </w:rPr>
        <w:t>las Comisiones de Gobierno; y de Seguridad Pública</w:t>
      </w:r>
    </w:p>
    <w:p w14:paraId="4F40A063" w14:textId="77777777" w:rsidR="00F13533" w:rsidRPr="004F6F8E" w:rsidRDefault="00F13533" w:rsidP="00CB0251">
      <w:pPr>
        <w:jc w:val="both"/>
        <w:rPr>
          <w:rFonts w:ascii="Book Antiqua" w:hAnsi="Book Antiqua"/>
          <w:lang w:val="es-ES_tradnl"/>
        </w:rPr>
      </w:pPr>
    </w:p>
    <w:p w14:paraId="7D55E694" w14:textId="77777777" w:rsidR="00F13533" w:rsidRPr="00DD2AA2" w:rsidRDefault="00F13533" w:rsidP="00CB0251">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CB0251">
      <w:pPr>
        <w:jc w:val="both"/>
        <w:rPr>
          <w:rFonts w:ascii="Book Antiqua" w:hAnsi="Book Antiqua"/>
          <w:lang w:val="es-ES_tradnl"/>
        </w:rPr>
      </w:pPr>
    </w:p>
    <w:p w14:paraId="1CEF8A88" w14:textId="2A7B4A41" w:rsidR="00F13533" w:rsidRDefault="00782D50" w:rsidP="0063706E">
      <w:pPr>
        <w:ind w:left="720" w:hanging="720"/>
        <w:jc w:val="both"/>
        <w:rPr>
          <w:rFonts w:ascii="Book Antiqua" w:hAnsi="Book Antiqua"/>
          <w:lang w:val="es-ES_tradnl"/>
        </w:rPr>
      </w:pPr>
      <w:r w:rsidRPr="00782D50">
        <w:rPr>
          <w:rFonts w:ascii="Book Antiqua" w:hAnsi="Book Antiqua"/>
          <w:lang w:val="es-ES_tradnl"/>
        </w:rPr>
        <w:t xml:space="preserve">Para </w:t>
      </w:r>
      <w:r w:rsidR="00E6035E" w:rsidRPr="00E6035E">
        <w:rPr>
          <w:rFonts w:ascii="Book Antiqua" w:hAnsi="Book Antiqua"/>
          <w:lang w:val="es-ES_tradnl"/>
        </w:rPr>
        <w:t>enmendar el Artículo 16 de la Ley 83-2025, denominada “Ley de la Policía de Puerto Rico”, con el fin de prohibirle a la Policía de Puerto Rico el proveer servicios de escolta, seguridad y protección a cualquier exfuncionario, incluyendo exgobernadores, salvo en las circunstancias excepcionales delimitadas en esta Ley; y para decretar otras disposiciones complementarias.</w:t>
      </w:r>
    </w:p>
    <w:p w14:paraId="2EA67E34" w14:textId="77777777" w:rsidR="00CB0251" w:rsidRPr="004F6F8E" w:rsidRDefault="00CB0251" w:rsidP="00CB0251">
      <w:pPr>
        <w:ind w:left="360" w:hanging="360"/>
        <w:jc w:val="both"/>
        <w:rPr>
          <w:rFonts w:ascii="Book Antiqua" w:hAnsi="Book Antiqua"/>
          <w:lang w:val="es-ES"/>
        </w:rPr>
      </w:pPr>
    </w:p>
    <w:p w14:paraId="2CA23802" w14:textId="016515A5" w:rsidR="00F13533" w:rsidRDefault="00F13533" w:rsidP="0063706E">
      <w:pPr>
        <w:jc w:val="center"/>
        <w:rPr>
          <w:rFonts w:ascii="Book Antiqua" w:hAnsi="Book Antiqua"/>
          <w:lang w:val="es-ES_tradnl"/>
        </w:rPr>
      </w:pPr>
      <w:r w:rsidRPr="004F6F8E">
        <w:rPr>
          <w:rFonts w:ascii="Book Antiqua" w:hAnsi="Book Antiqua"/>
          <w:lang w:val="es-ES_tradnl"/>
        </w:rPr>
        <w:t>EXPOSICIÓN DE MOTIVOS</w:t>
      </w:r>
    </w:p>
    <w:p w14:paraId="0C4CE150" w14:textId="77777777" w:rsidR="00CB0251" w:rsidRPr="004F6F8E" w:rsidRDefault="00CB0251" w:rsidP="00CB0251">
      <w:pPr>
        <w:ind w:firstLine="360"/>
        <w:jc w:val="center"/>
        <w:rPr>
          <w:rFonts w:ascii="Book Antiqua" w:hAnsi="Book Antiqua"/>
          <w:lang w:val="es-ES_tradnl"/>
        </w:rPr>
      </w:pPr>
    </w:p>
    <w:p w14:paraId="5DCDE8C5" w14:textId="01BE6492" w:rsidR="00CF3D6F" w:rsidRPr="00CF3D6F" w:rsidRDefault="0063706E" w:rsidP="00CB0251">
      <w:pPr>
        <w:ind w:firstLine="360"/>
        <w:jc w:val="both"/>
        <w:rPr>
          <w:rFonts w:ascii="Book Antiqua" w:hAnsi="Book Antiqua"/>
          <w:lang w:val="es-PR"/>
        </w:rPr>
      </w:pPr>
      <w:r>
        <w:rPr>
          <w:rFonts w:ascii="Book Antiqua" w:hAnsi="Book Antiqua"/>
          <w:lang w:val="es-419"/>
        </w:rPr>
        <w:tab/>
      </w:r>
      <w:r w:rsidR="00E6035E" w:rsidRPr="00E6035E">
        <w:rPr>
          <w:rFonts w:ascii="Book Antiqua" w:hAnsi="Book Antiqua"/>
          <w:lang w:val="es-419"/>
        </w:rPr>
        <w:t xml:space="preserve">Durante décadas, la erogación de fondos públicos para la provisión de servicios de seguridad particulares o escoltas a los exgobernadores ha sido objeto de controversia e insatisfacción en el país. Éste es un derecho que no tuvo su génesis en un mandato ley ni en la intención de la Asamblea Legislativa, sino en la opinión emitida por el Tribunal Supremo de Puerto Rico en el caso </w:t>
      </w:r>
      <w:r w:rsidR="00E6035E" w:rsidRPr="00E6035E">
        <w:rPr>
          <w:rFonts w:ascii="Book Antiqua" w:hAnsi="Book Antiqua"/>
          <w:i/>
          <w:iCs/>
          <w:lang w:val="es-419"/>
        </w:rPr>
        <w:t>Hernández Colón v. Policía de P.R.</w:t>
      </w:r>
      <w:r w:rsidR="00E6035E" w:rsidRPr="00E6035E">
        <w:rPr>
          <w:rFonts w:ascii="Book Antiqua" w:hAnsi="Book Antiqua"/>
          <w:lang w:val="es-419"/>
        </w:rPr>
        <w:t xml:space="preserve">, 177 D.P.R. 121 (2009). En ese caso, el foro adjudicativo </w:t>
      </w:r>
      <w:r w:rsidR="00E6035E" w:rsidRPr="00E6035E">
        <w:rPr>
          <w:rFonts w:ascii="Book Antiqua" w:hAnsi="Book Antiqua"/>
          <w:lang w:val="es-PR"/>
        </w:rPr>
        <w:t>no evaluó la validez de una ley, sino la directriz del Gobernador Aníbal Acevedo Vilá al Superintendente de la Policía en la que requería la suspensión de escoltas a los exgobernadores.</w:t>
      </w:r>
      <w:r w:rsidR="00E6035E" w:rsidRPr="00E6035E">
        <w:rPr>
          <w:rFonts w:ascii="Book Antiqua" w:hAnsi="Book Antiqua"/>
          <w:vertAlign w:val="superscript"/>
          <w:lang w:val="es-PR"/>
        </w:rPr>
        <w:footnoteReference w:id="1"/>
      </w:r>
      <w:r w:rsidR="00E6035E" w:rsidRPr="00E6035E">
        <w:rPr>
          <w:rFonts w:ascii="Book Antiqua" w:hAnsi="Book Antiqua"/>
          <w:lang w:val="es-PR"/>
        </w:rPr>
        <w:t xml:space="preserve"> En adelante, lo reconocido por la jurisprudencia se estatuyó parcialmente en las </w:t>
      </w:r>
      <w:r w:rsidR="00E6035E" w:rsidRPr="00E6035E">
        <w:rPr>
          <w:rFonts w:ascii="Book Antiqua" w:hAnsi="Book Antiqua"/>
          <w:lang w:val="es-419"/>
        </w:rPr>
        <w:t xml:space="preserve">leyes 20-2017 y 83-2025. Hoy, tras la extensión del derecho a recibir </w:t>
      </w:r>
      <w:r w:rsidR="00E6035E" w:rsidRPr="00E6035E">
        <w:rPr>
          <w:rFonts w:ascii="Book Antiqua" w:hAnsi="Book Antiqua"/>
          <w:lang w:val="es-ES_tradnl"/>
        </w:rPr>
        <w:t>servicios particulares de escolta, seguridad y protección a</w:t>
      </w:r>
      <w:r w:rsidR="00E6035E" w:rsidRPr="00E6035E">
        <w:rPr>
          <w:rFonts w:ascii="Book Antiqua" w:hAnsi="Book Antiqua"/>
          <w:i/>
          <w:iCs/>
          <w:lang w:val="es-ES_tradnl"/>
        </w:rPr>
        <w:t xml:space="preserve"> </w:t>
      </w:r>
      <w:r w:rsidR="00E6035E" w:rsidRPr="00E6035E">
        <w:rPr>
          <w:rFonts w:ascii="Book Antiqua" w:hAnsi="Book Antiqua"/>
          <w:lang w:val="es-419"/>
        </w:rPr>
        <w:t>una exgobernadora que resultó culpable de actos de corrupción en el foro federal –y encontrándose el país en quiebra– resurge entre la ciudadanía el interés de que la Asamblea Legislativa dé por terminado el despilfarro innecesario de fondos del erario a través de esa práctica. Así lo establece la Legislatura de Puerto Rico.</w:t>
      </w:r>
    </w:p>
    <w:p w14:paraId="7674B2AD" w14:textId="667EBB77" w:rsidR="00F13533" w:rsidRPr="004F6F8E" w:rsidRDefault="00F13533" w:rsidP="00CB0251">
      <w:pPr>
        <w:spacing w:line="480" w:lineRule="auto"/>
        <w:rPr>
          <w:rFonts w:ascii="Book Antiqua" w:hAnsi="Book Antiqua"/>
          <w:i/>
          <w:lang w:val="es-ES_tradnl"/>
        </w:rPr>
      </w:pPr>
      <w:r w:rsidRPr="004F6F8E">
        <w:rPr>
          <w:rFonts w:ascii="Book Antiqua" w:hAnsi="Book Antiqua"/>
          <w:i/>
          <w:lang w:val="es-ES_tradnl"/>
        </w:rPr>
        <w:lastRenderedPageBreak/>
        <w:t>DECRÉTASE POR LA ASAMBLEA LEGISLATIVA DE PUERTO RICO:</w:t>
      </w:r>
    </w:p>
    <w:p w14:paraId="75F7910E" w14:textId="77777777" w:rsidR="00F13533" w:rsidRPr="004F6F8E" w:rsidRDefault="00F13533" w:rsidP="00CB0251">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3827BA61" w14:textId="25DB9136" w:rsidR="00295652" w:rsidRPr="00712B50" w:rsidRDefault="00295652" w:rsidP="00CB0251">
      <w:pPr>
        <w:spacing w:line="480" w:lineRule="auto"/>
        <w:ind w:firstLine="720"/>
        <w:jc w:val="both"/>
        <w:rPr>
          <w:rFonts w:ascii="Book Antiqua" w:hAnsi="Book Antiqua"/>
          <w:szCs w:val="24"/>
          <w:lang w:val="es-ES_tradnl"/>
        </w:rPr>
      </w:pPr>
      <w:r w:rsidRPr="00712B50">
        <w:rPr>
          <w:rFonts w:ascii="Book Antiqua" w:hAnsi="Book Antiqua"/>
          <w:szCs w:val="24"/>
          <w:lang w:val="es-ES_tradnl"/>
        </w:rPr>
        <w:t>Sección 1.</w:t>
      </w:r>
      <w:r>
        <w:rPr>
          <w:rFonts w:ascii="Book Antiqua" w:hAnsi="Book Antiqua"/>
          <w:szCs w:val="24"/>
          <w:lang w:val="es-ES_tradnl"/>
        </w:rPr>
        <w:t xml:space="preserve"> </w:t>
      </w:r>
      <w:r w:rsidRPr="00712B50">
        <w:rPr>
          <w:rFonts w:ascii="Book Antiqua" w:hAnsi="Book Antiqua"/>
          <w:szCs w:val="24"/>
          <w:lang w:val="es-ES_tradnl"/>
        </w:rPr>
        <w:t xml:space="preserve">- Se </w:t>
      </w:r>
      <w:r w:rsidRPr="00712B50">
        <w:rPr>
          <w:rFonts w:ascii="Book Antiqua" w:hAnsi="Book Antiqua"/>
          <w:szCs w:val="24"/>
          <w:lang w:val="es-PR"/>
        </w:rPr>
        <w:t xml:space="preserve">enmienda el Artículo 16 de la </w:t>
      </w:r>
      <w:r w:rsidRPr="00712B50">
        <w:rPr>
          <w:rFonts w:ascii="Book Antiqua" w:hAnsi="Book Antiqua"/>
          <w:szCs w:val="24"/>
          <w:lang w:val="es-419"/>
        </w:rPr>
        <w:t>Ley 83-2025, denominada “Ley de la Policía de Puerto Rico”, para que lea como sigue:</w:t>
      </w:r>
    </w:p>
    <w:p w14:paraId="6725ED22" w14:textId="73A8645D" w:rsidR="00295652" w:rsidRPr="00712B50" w:rsidRDefault="00295652" w:rsidP="00CB0251">
      <w:pPr>
        <w:spacing w:line="480" w:lineRule="auto"/>
        <w:ind w:left="720" w:right="403" w:firstLine="720"/>
        <w:jc w:val="both"/>
        <w:rPr>
          <w:rFonts w:ascii="Book Antiqua" w:hAnsi="Book Antiqua"/>
          <w:szCs w:val="24"/>
          <w:lang w:val="es-419"/>
        </w:rPr>
      </w:pPr>
      <w:r w:rsidRPr="00712B50">
        <w:rPr>
          <w:rFonts w:ascii="Book Antiqua" w:hAnsi="Book Antiqua"/>
          <w:szCs w:val="24"/>
          <w:lang w:val="es-419"/>
        </w:rPr>
        <w:t>“Artículo 16.</w:t>
      </w:r>
      <w:r>
        <w:rPr>
          <w:rFonts w:ascii="Book Antiqua" w:hAnsi="Book Antiqua"/>
          <w:szCs w:val="24"/>
          <w:lang w:val="es-419"/>
        </w:rPr>
        <w:t xml:space="preserve"> </w:t>
      </w:r>
      <w:r w:rsidRPr="00712B50">
        <w:rPr>
          <w:rFonts w:ascii="Book Antiqua" w:hAnsi="Book Antiqua"/>
          <w:szCs w:val="24"/>
          <w:lang w:val="es-419"/>
        </w:rPr>
        <w:t xml:space="preserve">- Protección al Gobernador, Superintendente, </w:t>
      </w:r>
      <w:r w:rsidRPr="00712B50">
        <w:rPr>
          <w:rFonts w:ascii="Book Antiqua" w:hAnsi="Book Antiqua"/>
          <w:b/>
          <w:bCs/>
          <w:szCs w:val="24"/>
          <w:lang w:val="es-419"/>
        </w:rPr>
        <w:t>[Secretarios,]</w:t>
      </w:r>
      <w:r w:rsidRPr="00712B50">
        <w:rPr>
          <w:rFonts w:ascii="Book Antiqua" w:hAnsi="Book Antiqua"/>
          <w:szCs w:val="24"/>
          <w:lang w:val="es-419"/>
        </w:rPr>
        <w:t xml:space="preserve"> Funcionarios y Exfuncionarios.</w:t>
      </w:r>
    </w:p>
    <w:p w14:paraId="35071FA6" w14:textId="77777777" w:rsidR="00295652" w:rsidRPr="00712B50" w:rsidRDefault="00295652" w:rsidP="00CB0251">
      <w:pPr>
        <w:pStyle w:val="ListParagraph"/>
        <w:numPr>
          <w:ilvl w:val="0"/>
          <w:numId w:val="17"/>
        </w:numPr>
        <w:spacing w:line="480" w:lineRule="auto"/>
        <w:ind w:right="403"/>
        <w:jc w:val="both"/>
        <w:rPr>
          <w:rFonts w:ascii="Book Antiqua" w:hAnsi="Book Antiqua"/>
          <w:lang w:val="es-419"/>
        </w:rPr>
      </w:pPr>
      <w:r w:rsidRPr="00712B50">
        <w:rPr>
          <w:rFonts w:ascii="Book Antiqua" w:hAnsi="Book Antiqua"/>
          <w:lang w:val="es-419"/>
        </w:rPr>
        <w:t xml:space="preserve">La Policía de Puerto Rico tendrá la responsabilidad de proveer seguridad y protección al Gobernador de Puerto Rico y a su familia durante el término de su incumbencia. </w:t>
      </w:r>
      <w:r w:rsidRPr="00712B50">
        <w:rPr>
          <w:rFonts w:ascii="Book Antiqua" w:hAnsi="Book Antiqua"/>
          <w:i/>
          <w:iCs/>
          <w:lang w:val="es-ES_tradnl"/>
        </w:rPr>
        <w:t>Los servicios de escoltas, seguridad y protección provistos al Gobernador y a su familia cesarán de inmediato cuando el funcionario culmine su término o de alguna otra manera cese las funciones del cargo.</w:t>
      </w:r>
    </w:p>
    <w:p w14:paraId="6D55E52A" w14:textId="77777777" w:rsidR="00295652" w:rsidRPr="00712B50" w:rsidRDefault="00295652" w:rsidP="00CB0251">
      <w:pPr>
        <w:pStyle w:val="ListParagraph"/>
        <w:numPr>
          <w:ilvl w:val="0"/>
          <w:numId w:val="17"/>
        </w:numPr>
        <w:spacing w:line="480" w:lineRule="auto"/>
        <w:ind w:right="403"/>
        <w:jc w:val="both"/>
        <w:rPr>
          <w:rFonts w:ascii="Book Antiqua" w:hAnsi="Book Antiqua"/>
          <w:lang w:val="es-419"/>
        </w:rPr>
      </w:pPr>
      <w:r w:rsidRPr="00712B50">
        <w:rPr>
          <w:rFonts w:ascii="Book Antiqua" w:hAnsi="Book Antiqua"/>
          <w:lang w:val="es-419"/>
        </w:rPr>
        <w:t xml:space="preserve"> Además, tendrá la responsabilidad de proveer seguridad y protección al Superintendente y al Secretario del Departamento de Seguridad Pública durante el término de su incumbencia. </w:t>
      </w:r>
      <w:r w:rsidRPr="00712B50">
        <w:rPr>
          <w:rFonts w:ascii="Book Antiqua" w:hAnsi="Book Antiqua"/>
          <w:i/>
          <w:iCs/>
          <w:lang w:val="es-ES_tradnl"/>
        </w:rPr>
        <w:t>Los servicios de escoltas, seguridad y protección provistos a los funcionarios del Gobierno de Puerto Rico cesarán de inmediato cuando estos cesen las funciones de su cargo.</w:t>
      </w:r>
    </w:p>
    <w:p w14:paraId="13456F80" w14:textId="77777777" w:rsidR="00295652" w:rsidRPr="00712B50" w:rsidRDefault="00295652" w:rsidP="00CB0251">
      <w:pPr>
        <w:pStyle w:val="ListParagraph"/>
        <w:numPr>
          <w:ilvl w:val="0"/>
          <w:numId w:val="17"/>
        </w:numPr>
        <w:spacing w:line="480" w:lineRule="auto"/>
        <w:ind w:right="403"/>
        <w:jc w:val="both"/>
        <w:rPr>
          <w:rFonts w:ascii="Book Antiqua" w:hAnsi="Book Antiqua"/>
          <w:lang w:val="es-419"/>
        </w:rPr>
      </w:pPr>
      <w:r w:rsidRPr="00712B50">
        <w:rPr>
          <w:rFonts w:ascii="Book Antiqua" w:hAnsi="Book Antiqua"/>
          <w:i/>
          <w:iCs/>
          <w:lang w:val="es-ES_tradnl"/>
        </w:rPr>
        <w:t>Queda prohibido que la Policía de Puerto Rico provea servicios particulares de escolta, seguridad y protección a cualquier exfuncionario, incluidos los exgobernadores, excepto cuando:</w:t>
      </w:r>
    </w:p>
    <w:p w14:paraId="69D3430F" w14:textId="77777777" w:rsidR="00295652" w:rsidRPr="00712B50" w:rsidRDefault="00295652" w:rsidP="00CB0251">
      <w:pPr>
        <w:pStyle w:val="ListParagraph"/>
        <w:numPr>
          <w:ilvl w:val="0"/>
          <w:numId w:val="16"/>
        </w:numPr>
        <w:spacing w:line="480" w:lineRule="auto"/>
        <w:ind w:left="2160"/>
        <w:jc w:val="both"/>
        <w:rPr>
          <w:rFonts w:ascii="Book Antiqua" w:hAnsi="Book Antiqua"/>
          <w:i/>
          <w:iCs/>
          <w:lang w:val="es-ES_tradnl"/>
        </w:rPr>
      </w:pPr>
      <w:r w:rsidRPr="00712B50">
        <w:rPr>
          <w:rFonts w:ascii="Book Antiqua" w:hAnsi="Book Antiqua"/>
          <w:i/>
          <w:iCs/>
          <w:lang w:val="es-ES_tradnl"/>
        </w:rPr>
        <w:t>se encuentre en peligro la vida o seguridad del exfuncionario o la de su familia; o</w:t>
      </w:r>
    </w:p>
    <w:p w14:paraId="68C0942D" w14:textId="77777777" w:rsidR="00295652" w:rsidRPr="00712B50" w:rsidRDefault="00295652" w:rsidP="00CB0251">
      <w:pPr>
        <w:pStyle w:val="ListParagraph"/>
        <w:numPr>
          <w:ilvl w:val="0"/>
          <w:numId w:val="16"/>
        </w:numPr>
        <w:spacing w:line="480" w:lineRule="auto"/>
        <w:ind w:left="2160"/>
        <w:jc w:val="both"/>
        <w:rPr>
          <w:rFonts w:ascii="Book Antiqua" w:hAnsi="Book Antiqua"/>
          <w:i/>
          <w:iCs/>
          <w:lang w:val="es-ES_tradnl"/>
        </w:rPr>
      </w:pPr>
      <w:r w:rsidRPr="00712B50">
        <w:rPr>
          <w:rFonts w:ascii="Book Antiqua" w:hAnsi="Book Antiqua"/>
          <w:i/>
          <w:iCs/>
          <w:lang w:val="es-ES_tradnl"/>
        </w:rPr>
        <w:lastRenderedPageBreak/>
        <w:t>medie prueba que permita concluir razonablemente que su vida o seguridad o la de su familia podría encontrarse en peligro.</w:t>
      </w:r>
    </w:p>
    <w:p w14:paraId="3F017A9C" w14:textId="77777777" w:rsidR="00295652" w:rsidRPr="00712B50" w:rsidRDefault="00295652" w:rsidP="00CB0251">
      <w:pPr>
        <w:pStyle w:val="ListParagraph"/>
        <w:spacing w:line="480" w:lineRule="auto"/>
        <w:ind w:left="1800" w:right="403"/>
        <w:jc w:val="both"/>
        <w:rPr>
          <w:rFonts w:ascii="Book Antiqua" w:hAnsi="Book Antiqua"/>
          <w:lang w:val="es-419"/>
        </w:rPr>
      </w:pPr>
      <w:r w:rsidRPr="00712B50">
        <w:rPr>
          <w:rFonts w:ascii="Book Antiqua" w:hAnsi="Book Antiqua"/>
          <w:lang w:val="es-419"/>
        </w:rPr>
        <w:t>Aquellos funcionarios o exfuncionarios a quienes la Policía les provea servicio de escolta, seguridad y protección, sólo tendrán derecho a recibirlo en la jurisdicción o territorio de Puerto Rico, con excepción del Gobernador de Puerto Rico.</w:t>
      </w:r>
    </w:p>
    <w:p w14:paraId="36C97A9B" w14:textId="77777777" w:rsidR="00295652" w:rsidRPr="00712B50" w:rsidRDefault="00295652" w:rsidP="00CB0251">
      <w:pPr>
        <w:spacing w:line="480" w:lineRule="auto"/>
        <w:ind w:left="720" w:right="403" w:firstLine="720"/>
        <w:jc w:val="both"/>
        <w:rPr>
          <w:rFonts w:ascii="Book Antiqua" w:hAnsi="Book Antiqua"/>
          <w:i/>
          <w:iCs/>
          <w:lang w:val="es-ES_tradnl"/>
        </w:rPr>
      </w:pPr>
      <w:r w:rsidRPr="00712B50">
        <w:rPr>
          <w:rFonts w:ascii="Book Antiqua" w:hAnsi="Book Antiqua"/>
          <w:i/>
          <w:iCs/>
          <w:szCs w:val="24"/>
          <w:lang w:val="es-ES" w:eastAsia="x-none"/>
        </w:rPr>
        <w:t>La Policía de Puerto Rico tendrá la obligación de someter un informe anual a la Asamblea Legislativa, cada 1 de noviembre, sobre los gastos incurridos para proveer servicios de escolta, seguridad y protección a cualquier funcionario o exfuncionario, según las condiciones y prohibiciones dispuestas en este Artículo, que deberá incluir los fundamentos utilizados para la concesión de los servicios.</w:t>
      </w:r>
    </w:p>
    <w:p w14:paraId="6A714E2B" w14:textId="1BF9D336" w:rsidR="00295652" w:rsidRPr="00712B50" w:rsidRDefault="00295652" w:rsidP="00CB0251">
      <w:pPr>
        <w:spacing w:line="480" w:lineRule="auto"/>
        <w:ind w:firstLine="720"/>
        <w:jc w:val="both"/>
        <w:rPr>
          <w:rFonts w:ascii="Book Antiqua" w:hAnsi="Book Antiqua"/>
          <w:lang w:val="es-ES_tradnl"/>
        </w:rPr>
      </w:pPr>
      <w:r w:rsidRPr="00712B50">
        <w:rPr>
          <w:rFonts w:ascii="Book Antiqua" w:hAnsi="Book Antiqua"/>
          <w:szCs w:val="24"/>
          <w:lang w:val="es-ES_tradnl"/>
        </w:rPr>
        <w:t xml:space="preserve">Sección </w:t>
      </w:r>
      <w:r w:rsidRPr="00712B50">
        <w:rPr>
          <w:rFonts w:ascii="Book Antiqua" w:hAnsi="Book Antiqua"/>
          <w:lang w:val="es-ES_tradnl"/>
        </w:rPr>
        <w:t>2.</w:t>
      </w:r>
      <w:r>
        <w:rPr>
          <w:rFonts w:ascii="Book Antiqua" w:hAnsi="Book Antiqua"/>
          <w:lang w:val="es-ES_tradnl"/>
        </w:rPr>
        <w:t xml:space="preserve"> </w:t>
      </w:r>
      <w:r w:rsidRPr="00712B50">
        <w:rPr>
          <w:rFonts w:ascii="Book Antiqua" w:hAnsi="Book Antiqua"/>
          <w:lang w:val="es-ES_tradnl"/>
        </w:rPr>
        <w:t>- Retroactividad de la Ley.</w:t>
      </w:r>
    </w:p>
    <w:p w14:paraId="17D0BADD" w14:textId="77777777" w:rsidR="00295652" w:rsidRPr="008141B0" w:rsidRDefault="00295652" w:rsidP="00CB0251">
      <w:pPr>
        <w:spacing w:line="480" w:lineRule="auto"/>
        <w:ind w:firstLine="720"/>
        <w:jc w:val="both"/>
        <w:rPr>
          <w:rFonts w:ascii="Book Antiqua" w:hAnsi="Book Antiqua"/>
          <w:szCs w:val="24"/>
          <w:lang w:val="es-419"/>
        </w:rPr>
      </w:pPr>
      <w:r w:rsidRPr="00712B50">
        <w:rPr>
          <w:rFonts w:ascii="Book Antiqua" w:hAnsi="Book Antiqua"/>
          <w:lang w:val="es-ES_tradnl"/>
        </w:rPr>
        <w:t>Las</w:t>
      </w:r>
      <w:r w:rsidRPr="00712B50">
        <w:rPr>
          <w:rFonts w:ascii="Book Antiqua" w:hAnsi="Book Antiqua"/>
          <w:lang w:val="es-PR"/>
        </w:rPr>
        <w:t xml:space="preserve"> disposiciones de esta Ley </w:t>
      </w:r>
      <w:r w:rsidRPr="00712B50">
        <w:rPr>
          <w:rFonts w:ascii="Book Antiqua" w:hAnsi="Book Antiqua"/>
          <w:lang w:val="es-ES_tradnl"/>
        </w:rPr>
        <w:t xml:space="preserve">tendrán efectos </w:t>
      </w:r>
      <w:r>
        <w:rPr>
          <w:rFonts w:ascii="Book Antiqua" w:hAnsi="Book Antiqua"/>
          <w:lang w:val="es-ES_tradnl"/>
        </w:rPr>
        <w:t xml:space="preserve">prospectivos y </w:t>
      </w:r>
      <w:r w:rsidRPr="00712B50">
        <w:rPr>
          <w:rFonts w:ascii="Book Antiqua" w:hAnsi="Book Antiqua"/>
          <w:lang w:val="es-ES_tradnl"/>
        </w:rPr>
        <w:t>retroactivos</w:t>
      </w:r>
      <w:r>
        <w:rPr>
          <w:rFonts w:ascii="Book Antiqua" w:hAnsi="Book Antiqua"/>
          <w:lang w:val="es-ES_tradnl"/>
        </w:rPr>
        <w:t xml:space="preserve"> sobre todo exfuncionario sobre el cual se haya pronunciado un dictamen de culpabilidad de </w:t>
      </w:r>
      <w:r w:rsidRPr="00310486">
        <w:rPr>
          <w:rFonts w:ascii="Book Antiqua" w:hAnsi="Book Antiqua"/>
          <w:lang w:val="es-419"/>
        </w:rPr>
        <w:t xml:space="preserve">traición, soborno, otros delitos graves, </w:t>
      </w:r>
      <w:r>
        <w:rPr>
          <w:rFonts w:ascii="Book Antiqua" w:hAnsi="Book Antiqua"/>
          <w:lang w:val="es-419"/>
        </w:rPr>
        <w:t>cualquier</w:t>
      </w:r>
      <w:r w:rsidRPr="00310486">
        <w:rPr>
          <w:rFonts w:ascii="Book Antiqua" w:hAnsi="Book Antiqua"/>
          <w:lang w:val="es-419"/>
        </w:rPr>
        <w:t xml:space="preserve"> delito menos grave que implique depravación</w:t>
      </w:r>
      <w:r w:rsidRPr="00310486">
        <w:rPr>
          <w:rFonts w:ascii="Book Antiqua" w:hAnsi="Book Antiqua"/>
          <w:lang w:val="es-ES_tradnl"/>
        </w:rPr>
        <w:t xml:space="preserve"> </w:t>
      </w:r>
      <w:r>
        <w:rPr>
          <w:rFonts w:ascii="Book Antiqua" w:hAnsi="Book Antiqua"/>
          <w:lang w:val="es-ES_tradnl"/>
        </w:rPr>
        <w:t>o cualquier delito que, independientemente de su grado o gravedad, haya estado vinculado con las funciones del cargo</w:t>
      </w:r>
      <w:r w:rsidRPr="00712B50">
        <w:rPr>
          <w:rFonts w:ascii="Book Antiqua" w:hAnsi="Book Antiqua"/>
          <w:lang w:val="es-ES_tradnl"/>
        </w:rPr>
        <w:t>.</w:t>
      </w:r>
    </w:p>
    <w:p w14:paraId="3D9D71B3" w14:textId="59853FA9" w:rsidR="00295652" w:rsidRPr="00712B50" w:rsidRDefault="00295652" w:rsidP="00CB0251">
      <w:pPr>
        <w:spacing w:line="480" w:lineRule="auto"/>
        <w:ind w:firstLine="720"/>
        <w:jc w:val="both"/>
        <w:rPr>
          <w:rFonts w:ascii="Book Antiqua" w:hAnsi="Book Antiqua"/>
          <w:lang w:val="es-ES_tradnl"/>
        </w:rPr>
      </w:pPr>
      <w:r w:rsidRPr="00712B50">
        <w:rPr>
          <w:rFonts w:ascii="Book Antiqua" w:hAnsi="Book Antiqua"/>
          <w:szCs w:val="24"/>
          <w:lang w:val="es-ES_tradnl"/>
        </w:rPr>
        <w:t xml:space="preserve">Sección </w:t>
      </w:r>
      <w:r w:rsidRPr="00712B50">
        <w:rPr>
          <w:rFonts w:ascii="Book Antiqua" w:hAnsi="Book Antiqua"/>
          <w:lang w:val="es-ES_tradnl"/>
        </w:rPr>
        <w:t>3.</w:t>
      </w:r>
      <w:r>
        <w:rPr>
          <w:rFonts w:ascii="Book Antiqua" w:hAnsi="Book Antiqua"/>
          <w:lang w:val="es-ES_tradnl"/>
        </w:rPr>
        <w:t xml:space="preserve"> </w:t>
      </w:r>
      <w:r w:rsidRPr="00712B50">
        <w:rPr>
          <w:rFonts w:ascii="Book Antiqua" w:hAnsi="Book Antiqua"/>
          <w:lang w:val="es-ES_tradnl"/>
        </w:rPr>
        <w:t xml:space="preserve">- </w:t>
      </w:r>
      <w:r w:rsidRPr="00712B50">
        <w:rPr>
          <w:rFonts w:ascii="Book Antiqua" w:hAnsi="Book Antiqua"/>
          <w:lang w:val="es-PR"/>
        </w:rPr>
        <w:t xml:space="preserve">Cláusula de </w:t>
      </w:r>
      <w:r w:rsidRPr="00712B50">
        <w:rPr>
          <w:rFonts w:ascii="Book Antiqua" w:hAnsi="Book Antiqua"/>
          <w:lang w:val="es-ES_tradnl"/>
        </w:rPr>
        <w:t>supremacía.</w:t>
      </w:r>
    </w:p>
    <w:p w14:paraId="5C1FA975" w14:textId="77777777" w:rsidR="00295652" w:rsidRPr="00712B50" w:rsidRDefault="00295652" w:rsidP="00CB0251">
      <w:pPr>
        <w:pStyle w:val="sectext"/>
        <w:spacing w:line="480" w:lineRule="auto"/>
        <w:ind w:firstLine="720"/>
        <w:jc w:val="both"/>
        <w:rPr>
          <w:rFonts w:ascii="Book Antiqua" w:hAnsi="Book Antiqua"/>
          <w:lang w:val="es-ES_tradnl"/>
        </w:rPr>
      </w:pPr>
      <w:r w:rsidRPr="00712B50">
        <w:rPr>
          <w:rFonts w:ascii="Book Antiqua" w:hAnsi="Book Antiqua"/>
          <w:lang w:val="es-ES_tradnl"/>
        </w:rPr>
        <w:t>Las disposiciones de esta Ley prevalecerán sobre cualquier otra disposición de ley, reglamento o norma que no estuviere en armonía con ellas.</w:t>
      </w:r>
    </w:p>
    <w:p w14:paraId="45B4C7A5" w14:textId="651D2578" w:rsidR="00295652" w:rsidRPr="00712B50" w:rsidRDefault="00295652" w:rsidP="00CB0251">
      <w:pPr>
        <w:pStyle w:val="sectext"/>
        <w:spacing w:line="480" w:lineRule="auto"/>
        <w:ind w:firstLine="720"/>
        <w:jc w:val="both"/>
        <w:rPr>
          <w:rFonts w:ascii="Book Antiqua" w:hAnsi="Book Antiqua"/>
          <w:lang w:val="es-PR"/>
        </w:rPr>
      </w:pPr>
      <w:r w:rsidRPr="00712B50">
        <w:rPr>
          <w:rFonts w:ascii="Book Antiqua" w:hAnsi="Book Antiqua"/>
          <w:lang w:val="es-ES_tradnl"/>
        </w:rPr>
        <w:t>Sección 4</w:t>
      </w:r>
      <w:r w:rsidRPr="00712B50">
        <w:rPr>
          <w:rFonts w:ascii="Book Antiqua" w:hAnsi="Book Antiqua"/>
          <w:lang w:val="es-PR"/>
        </w:rPr>
        <w:t>.</w:t>
      </w:r>
      <w:r>
        <w:rPr>
          <w:rFonts w:ascii="Book Antiqua" w:hAnsi="Book Antiqua"/>
          <w:lang w:val="es-PR"/>
        </w:rPr>
        <w:t xml:space="preserve"> </w:t>
      </w:r>
      <w:r w:rsidRPr="00712B50">
        <w:rPr>
          <w:rFonts w:ascii="Book Antiqua" w:hAnsi="Book Antiqua"/>
          <w:lang w:val="es-PR"/>
        </w:rPr>
        <w:t>- Cláusula de separabilidad.</w:t>
      </w:r>
    </w:p>
    <w:p w14:paraId="435BCC20" w14:textId="77777777" w:rsidR="00295652" w:rsidRPr="00712B50" w:rsidRDefault="00295652" w:rsidP="00CB0251">
      <w:pPr>
        <w:pStyle w:val="sectext"/>
        <w:spacing w:line="480" w:lineRule="auto"/>
        <w:ind w:firstLine="720"/>
        <w:jc w:val="both"/>
        <w:rPr>
          <w:rFonts w:ascii="Book Antiqua" w:hAnsi="Book Antiqua"/>
          <w:lang w:val="es-PR"/>
        </w:rPr>
      </w:pPr>
      <w:r w:rsidRPr="00712B50">
        <w:rPr>
          <w:rFonts w:ascii="Book Antiqua" w:hAnsi="Book Antiqua"/>
          <w:lang w:val="es-PR"/>
        </w:rPr>
        <w:t xml:space="preserve">Si alguna de las disposiciones de esta Ley o su aplicación fuere declarada </w:t>
      </w:r>
      <w:r w:rsidRPr="00712B50">
        <w:rPr>
          <w:rFonts w:ascii="Book Antiqua" w:hAnsi="Book Antiqua"/>
          <w:lang w:val="es-PR"/>
        </w:rPr>
        <w:lastRenderedPageBreak/>
        <w:t xml:space="preserve">inconstitucional o nula, tal dictamen de invalidez o nulidad no afectará la </w:t>
      </w:r>
      <w:proofErr w:type="spellStart"/>
      <w:r w:rsidRPr="00712B50">
        <w:rPr>
          <w:rFonts w:ascii="Book Antiqua" w:hAnsi="Book Antiqua"/>
          <w:lang w:val="es-PR"/>
        </w:rPr>
        <w:t>ejecutabilidad</w:t>
      </w:r>
      <w:proofErr w:type="spellEnd"/>
      <w:r w:rsidRPr="00712B50">
        <w:rPr>
          <w:rFonts w:ascii="Book Antiqua" w:hAnsi="Book Antiqua"/>
          <w:lang w:val="es-PR"/>
        </w:rPr>
        <w:t xml:space="preserve"> y vigor de las restantes disposiciones que no hayan sido objeto de dictamen adverso.</w:t>
      </w:r>
    </w:p>
    <w:p w14:paraId="33B2B088" w14:textId="28C7B519" w:rsidR="00295652" w:rsidRPr="00712B50" w:rsidRDefault="00295652" w:rsidP="00CB0251">
      <w:pPr>
        <w:spacing w:line="480" w:lineRule="auto"/>
        <w:ind w:left="360" w:firstLine="360"/>
        <w:jc w:val="both"/>
        <w:rPr>
          <w:rFonts w:ascii="Book Antiqua" w:hAnsi="Book Antiqua"/>
          <w:szCs w:val="24"/>
          <w:lang w:val="es-PR"/>
        </w:rPr>
      </w:pPr>
      <w:r w:rsidRPr="00712B50">
        <w:rPr>
          <w:rFonts w:ascii="Book Antiqua" w:hAnsi="Book Antiqua"/>
          <w:szCs w:val="24"/>
          <w:lang w:val="es-ES_tradnl"/>
        </w:rPr>
        <w:t xml:space="preserve">Sección </w:t>
      </w:r>
      <w:r w:rsidRPr="00712B50">
        <w:rPr>
          <w:rFonts w:ascii="Book Antiqua" w:hAnsi="Book Antiqua"/>
          <w:szCs w:val="24"/>
          <w:lang w:val="es-PR"/>
        </w:rPr>
        <w:t>5.</w:t>
      </w:r>
      <w:r>
        <w:rPr>
          <w:rFonts w:ascii="Book Antiqua" w:hAnsi="Book Antiqua"/>
          <w:szCs w:val="24"/>
          <w:lang w:val="es-PR"/>
        </w:rPr>
        <w:t xml:space="preserve"> </w:t>
      </w:r>
      <w:r w:rsidRPr="00712B50">
        <w:rPr>
          <w:rFonts w:ascii="Book Antiqua" w:hAnsi="Book Antiqua"/>
          <w:szCs w:val="24"/>
          <w:lang w:val="es-PR"/>
        </w:rPr>
        <w:t xml:space="preserve">- </w:t>
      </w:r>
      <w:r w:rsidRPr="00712B50">
        <w:rPr>
          <w:rFonts w:ascii="Book Antiqua" w:hAnsi="Book Antiqua"/>
          <w:lang w:val="es-PR"/>
        </w:rPr>
        <w:t>Cláusula de v</w:t>
      </w:r>
      <w:r w:rsidRPr="00712B50">
        <w:rPr>
          <w:rFonts w:ascii="Book Antiqua" w:hAnsi="Book Antiqua"/>
          <w:szCs w:val="24"/>
          <w:lang w:val="es-PR"/>
        </w:rPr>
        <w:t>igencia.</w:t>
      </w:r>
    </w:p>
    <w:p w14:paraId="14DE6C7B" w14:textId="692B2121" w:rsidR="00173FD0" w:rsidRPr="00BC6728" w:rsidRDefault="00295652" w:rsidP="00CB0251">
      <w:pPr>
        <w:spacing w:line="480" w:lineRule="auto"/>
        <w:ind w:firstLine="360"/>
        <w:jc w:val="both"/>
        <w:rPr>
          <w:rFonts w:ascii="Book Antiqua" w:hAnsi="Book Antiqua"/>
          <w:lang w:val="es-ES"/>
        </w:rPr>
      </w:pPr>
      <w:r w:rsidRPr="00712B50">
        <w:rPr>
          <w:rFonts w:ascii="Book Antiqua" w:hAnsi="Book Antiqua"/>
          <w:szCs w:val="24"/>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A1401" w14:textId="77777777" w:rsidR="00EB0943" w:rsidRDefault="00EB0943">
      <w:r>
        <w:separator/>
      </w:r>
    </w:p>
  </w:endnote>
  <w:endnote w:type="continuationSeparator" w:id="0">
    <w:p w14:paraId="77FAB313" w14:textId="77777777" w:rsidR="00EB0943" w:rsidRDefault="00EB0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39EED" w14:textId="77777777" w:rsidR="00EB0943" w:rsidRDefault="00EB0943">
      <w:r>
        <w:separator/>
      </w:r>
    </w:p>
  </w:footnote>
  <w:footnote w:type="continuationSeparator" w:id="0">
    <w:p w14:paraId="0A19EE7E" w14:textId="77777777" w:rsidR="00EB0943" w:rsidRDefault="00EB0943">
      <w:r>
        <w:continuationSeparator/>
      </w:r>
    </w:p>
  </w:footnote>
  <w:footnote w:id="1">
    <w:p w14:paraId="4CF24A88" w14:textId="77777777" w:rsidR="00E6035E" w:rsidRPr="000B249B" w:rsidRDefault="00E6035E" w:rsidP="00E6035E">
      <w:pPr>
        <w:pStyle w:val="FootnoteText"/>
        <w:rPr>
          <w:rFonts w:ascii="Book Antiqua" w:hAnsi="Book Antiqua"/>
          <w:sz w:val="18"/>
          <w:szCs w:val="18"/>
          <w:lang w:val="es-PR"/>
        </w:rPr>
      </w:pPr>
      <w:r>
        <w:rPr>
          <w:rFonts w:ascii="Book Antiqua" w:hAnsi="Book Antiqua"/>
          <w:sz w:val="18"/>
          <w:szCs w:val="18"/>
          <w:lang w:val="es-PR"/>
        </w:rPr>
        <w:t xml:space="preserve">  </w:t>
      </w:r>
      <w:r w:rsidRPr="000B249B">
        <w:rPr>
          <w:rStyle w:val="FootnoteReference"/>
          <w:rFonts w:ascii="Book Antiqua" w:hAnsi="Book Antiqua"/>
          <w:sz w:val="18"/>
          <w:szCs w:val="18"/>
        </w:rPr>
        <w:footnoteRef/>
      </w:r>
      <w:r w:rsidRPr="000B249B">
        <w:rPr>
          <w:rFonts w:ascii="Book Antiqua" w:hAnsi="Book Antiqua"/>
          <w:sz w:val="18"/>
          <w:szCs w:val="18"/>
          <w:lang w:val="es-PR"/>
        </w:rPr>
        <w:t xml:space="preserve"> Orden OS-1-16-330 promulgada por el entonces Superintendente de la Policía, Toledo Dávila.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27371FEB"/>
    <w:multiLevelType w:val="hybridMultilevel"/>
    <w:tmpl w:val="95DCC53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AEC213E"/>
    <w:multiLevelType w:val="hybridMultilevel"/>
    <w:tmpl w:val="1ACA35FE"/>
    <w:lvl w:ilvl="0" w:tplc="6330AA5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E213625"/>
    <w:multiLevelType w:val="hybridMultilevel"/>
    <w:tmpl w:val="B5EC90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01A534A"/>
    <w:multiLevelType w:val="hybridMultilevel"/>
    <w:tmpl w:val="03481E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5"/>
  </w:num>
  <w:num w:numId="3" w16cid:durableId="1132467">
    <w:abstractNumId w:val="9"/>
  </w:num>
  <w:num w:numId="4" w16cid:durableId="702096654">
    <w:abstractNumId w:val="10"/>
  </w:num>
  <w:num w:numId="5" w16cid:durableId="496698076">
    <w:abstractNumId w:val="12"/>
  </w:num>
  <w:num w:numId="6" w16cid:durableId="1469207924">
    <w:abstractNumId w:val="2"/>
  </w:num>
  <w:num w:numId="7" w16cid:durableId="355935514">
    <w:abstractNumId w:val="4"/>
  </w:num>
  <w:num w:numId="8" w16cid:durableId="259021808">
    <w:abstractNumId w:val="1"/>
  </w:num>
  <w:num w:numId="9" w16cid:durableId="957763560">
    <w:abstractNumId w:val="16"/>
  </w:num>
  <w:num w:numId="10" w16cid:durableId="229004811">
    <w:abstractNumId w:val="7"/>
  </w:num>
  <w:num w:numId="11" w16cid:durableId="465707011">
    <w:abstractNumId w:val="11"/>
  </w:num>
  <w:num w:numId="12" w16cid:durableId="1678343964">
    <w:abstractNumId w:val="3"/>
  </w:num>
  <w:num w:numId="13" w16cid:durableId="1564757104">
    <w:abstractNumId w:val="6"/>
  </w:num>
  <w:num w:numId="14" w16cid:durableId="1118179234">
    <w:abstractNumId w:val="13"/>
  </w:num>
  <w:num w:numId="15" w16cid:durableId="58215114">
    <w:abstractNumId w:val="14"/>
  </w:num>
  <w:num w:numId="16" w16cid:durableId="304283779">
    <w:abstractNumId w:val="5"/>
  </w:num>
  <w:num w:numId="17" w16cid:durableId="21044980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5B23"/>
    <w:rsid w:val="00056024"/>
    <w:rsid w:val="0006369A"/>
    <w:rsid w:val="0006657F"/>
    <w:rsid w:val="00075607"/>
    <w:rsid w:val="00091706"/>
    <w:rsid w:val="00095AE1"/>
    <w:rsid w:val="000A6B6C"/>
    <w:rsid w:val="000B0DBB"/>
    <w:rsid w:val="000F2029"/>
    <w:rsid w:val="000F4204"/>
    <w:rsid w:val="0010351B"/>
    <w:rsid w:val="0011037A"/>
    <w:rsid w:val="00111E71"/>
    <w:rsid w:val="00126BCB"/>
    <w:rsid w:val="00127C6A"/>
    <w:rsid w:val="001363FE"/>
    <w:rsid w:val="001466C3"/>
    <w:rsid w:val="001531F9"/>
    <w:rsid w:val="00153D4C"/>
    <w:rsid w:val="0017132B"/>
    <w:rsid w:val="00173FD0"/>
    <w:rsid w:val="00192F82"/>
    <w:rsid w:val="001B7D57"/>
    <w:rsid w:val="001C006D"/>
    <w:rsid w:val="001D24BE"/>
    <w:rsid w:val="001D6A0D"/>
    <w:rsid w:val="001F4CA3"/>
    <w:rsid w:val="001F612A"/>
    <w:rsid w:val="00210371"/>
    <w:rsid w:val="00210E40"/>
    <w:rsid w:val="00211396"/>
    <w:rsid w:val="002205E2"/>
    <w:rsid w:val="00226AE6"/>
    <w:rsid w:val="00245B34"/>
    <w:rsid w:val="00251962"/>
    <w:rsid w:val="00263355"/>
    <w:rsid w:val="00273792"/>
    <w:rsid w:val="00274558"/>
    <w:rsid w:val="00276BD5"/>
    <w:rsid w:val="00295652"/>
    <w:rsid w:val="002A7882"/>
    <w:rsid w:val="002D1566"/>
    <w:rsid w:val="002D4AC8"/>
    <w:rsid w:val="002D55FA"/>
    <w:rsid w:val="002F0A85"/>
    <w:rsid w:val="003069A5"/>
    <w:rsid w:val="00312328"/>
    <w:rsid w:val="00320D78"/>
    <w:rsid w:val="003262FE"/>
    <w:rsid w:val="0034244A"/>
    <w:rsid w:val="00351F2D"/>
    <w:rsid w:val="00354692"/>
    <w:rsid w:val="00380FE5"/>
    <w:rsid w:val="003918AF"/>
    <w:rsid w:val="003924DD"/>
    <w:rsid w:val="00394FCB"/>
    <w:rsid w:val="003963F4"/>
    <w:rsid w:val="003B5254"/>
    <w:rsid w:val="003B75A6"/>
    <w:rsid w:val="003E1DFE"/>
    <w:rsid w:val="004061CA"/>
    <w:rsid w:val="004139BD"/>
    <w:rsid w:val="00415689"/>
    <w:rsid w:val="004440CB"/>
    <w:rsid w:val="00444D0D"/>
    <w:rsid w:val="0045085C"/>
    <w:rsid w:val="004548EA"/>
    <w:rsid w:val="004713D2"/>
    <w:rsid w:val="00475278"/>
    <w:rsid w:val="00475E14"/>
    <w:rsid w:val="00482039"/>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C65A3"/>
    <w:rsid w:val="005D79A1"/>
    <w:rsid w:val="005E0326"/>
    <w:rsid w:val="006104EC"/>
    <w:rsid w:val="006210DC"/>
    <w:rsid w:val="0063706E"/>
    <w:rsid w:val="0064349D"/>
    <w:rsid w:val="00643D93"/>
    <w:rsid w:val="00651FF1"/>
    <w:rsid w:val="00653EED"/>
    <w:rsid w:val="00685549"/>
    <w:rsid w:val="006A23E8"/>
    <w:rsid w:val="006B640E"/>
    <w:rsid w:val="006B7365"/>
    <w:rsid w:val="006C214B"/>
    <w:rsid w:val="006C2D81"/>
    <w:rsid w:val="006C7DF8"/>
    <w:rsid w:val="006D312A"/>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93AD7"/>
    <w:rsid w:val="008A0ACC"/>
    <w:rsid w:val="008B18B8"/>
    <w:rsid w:val="008C2489"/>
    <w:rsid w:val="008D2C7D"/>
    <w:rsid w:val="008D44C5"/>
    <w:rsid w:val="008E173A"/>
    <w:rsid w:val="008F3F61"/>
    <w:rsid w:val="009035B9"/>
    <w:rsid w:val="00923EC3"/>
    <w:rsid w:val="00924DCC"/>
    <w:rsid w:val="00931106"/>
    <w:rsid w:val="0093686F"/>
    <w:rsid w:val="00942FD4"/>
    <w:rsid w:val="00951997"/>
    <w:rsid w:val="0097693A"/>
    <w:rsid w:val="00990352"/>
    <w:rsid w:val="009A4ED9"/>
    <w:rsid w:val="009B4897"/>
    <w:rsid w:val="009B68F7"/>
    <w:rsid w:val="009C2A4A"/>
    <w:rsid w:val="009F35CF"/>
    <w:rsid w:val="00A03405"/>
    <w:rsid w:val="00A10B1E"/>
    <w:rsid w:val="00A12BB9"/>
    <w:rsid w:val="00A1528A"/>
    <w:rsid w:val="00A25B1B"/>
    <w:rsid w:val="00A33918"/>
    <w:rsid w:val="00A62B63"/>
    <w:rsid w:val="00A6411C"/>
    <w:rsid w:val="00A7629F"/>
    <w:rsid w:val="00A842B4"/>
    <w:rsid w:val="00A87FD3"/>
    <w:rsid w:val="00AA43B5"/>
    <w:rsid w:val="00AB248D"/>
    <w:rsid w:val="00AD2305"/>
    <w:rsid w:val="00AE36A9"/>
    <w:rsid w:val="00AF0CEE"/>
    <w:rsid w:val="00B2475B"/>
    <w:rsid w:val="00B3173A"/>
    <w:rsid w:val="00B335B4"/>
    <w:rsid w:val="00B453F4"/>
    <w:rsid w:val="00B51ED2"/>
    <w:rsid w:val="00B667AD"/>
    <w:rsid w:val="00B833A0"/>
    <w:rsid w:val="00B834FC"/>
    <w:rsid w:val="00B84C38"/>
    <w:rsid w:val="00B86C00"/>
    <w:rsid w:val="00B947F6"/>
    <w:rsid w:val="00BC5540"/>
    <w:rsid w:val="00BC6728"/>
    <w:rsid w:val="00BC73C8"/>
    <w:rsid w:val="00BF10EF"/>
    <w:rsid w:val="00BF16AA"/>
    <w:rsid w:val="00C078F8"/>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B0251"/>
    <w:rsid w:val="00CC0F45"/>
    <w:rsid w:val="00CC1C08"/>
    <w:rsid w:val="00CC49B0"/>
    <w:rsid w:val="00CD5D2B"/>
    <w:rsid w:val="00CF2B35"/>
    <w:rsid w:val="00CF3D6F"/>
    <w:rsid w:val="00CF7CF6"/>
    <w:rsid w:val="00D046E5"/>
    <w:rsid w:val="00D1295E"/>
    <w:rsid w:val="00D40CD7"/>
    <w:rsid w:val="00D417C2"/>
    <w:rsid w:val="00D429C3"/>
    <w:rsid w:val="00D56804"/>
    <w:rsid w:val="00D60936"/>
    <w:rsid w:val="00D64FBC"/>
    <w:rsid w:val="00D672A6"/>
    <w:rsid w:val="00D709EB"/>
    <w:rsid w:val="00D74714"/>
    <w:rsid w:val="00D82F3F"/>
    <w:rsid w:val="00D84426"/>
    <w:rsid w:val="00D90087"/>
    <w:rsid w:val="00D921C6"/>
    <w:rsid w:val="00D958C2"/>
    <w:rsid w:val="00DA454C"/>
    <w:rsid w:val="00DA735E"/>
    <w:rsid w:val="00DD0A78"/>
    <w:rsid w:val="00DD2AA2"/>
    <w:rsid w:val="00DE2C63"/>
    <w:rsid w:val="00DE56DE"/>
    <w:rsid w:val="00DE7377"/>
    <w:rsid w:val="00E04AB5"/>
    <w:rsid w:val="00E16745"/>
    <w:rsid w:val="00E50EEA"/>
    <w:rsid w:val="00E52F58"/>
    <w:rsid w:val="00E6035E"/>
    <w:rsid w:val="00E62E17"/>
    <w:rsid w:val="00E7058A"/>
    <w:rsid w:val="00EB0943"/>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6193B"/>
    <w:rsid w:val="00F70D3E"/>
    <w:rsid w:val="00F90D72"/>
    <w:rsid w:val="00F927AF"/>
    <w:rsid w:val="00FA7059"/>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775</Words>
  <Characters>4187</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7</cp:revision>
  <cp:lastPrinted>2025-09-30T18:36:00Z</cp:lastPrinted>
  <dcterms:created xsi:type="dcterms:W3CDTF">2025-09-30T16:37:00Z</dcterms:created>
  <dcterms:modified xsi:type="dcterms:W3CDTF">2025-09-30T19:53:00Z</dcterms:modified>
</cp:coreProperties>
</file>