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632FB" w14:textId="594367BC" w:rsidR="001C523A" w:rsidRPr="00C554FB" w:rsidRDefault="00C554FB" w:rsidP="001C523A">
      <w:pPr>
        <w:jc w:val="center"/>
        <w:rPr>
          <w:rFonts w:ascii="Book Antiqua" w:hAnsi="Book Antiqua"/>
          <w:sz w:val="28"/>
          <w:szCs w:val="36"/>
          <w:lang w:val="es-PR"/>
        </w:rPr>
      </w:pPr>
      <w:r>
        <w:rPr>
          <w:rFonts w:ascii="Book Antiqua" w:hAnsi="Book Antiqua"/>
          <w:sz w:val="28"/>
          <w:szCs w:val="36"/>
          <w:lang w:val="es-PR"/>
        </w:rPr>
        <w:t>GOBIERNO</w:t>
      </w:r>
      <w:r w:rsidR="001C523A" w:rsidRPr="00C554FB">
        <w:rPr>
          <w:rFonts w:ascii="Book Antiqua" w:hAnsi="Book Antiqua"/>
          <w:sz w:val="28"/>
          <w:szCs w:val="36"/>
          <w:lang w:val="es-PR"/>
        </w:rPr>
        <w:t xml:space="preserve"> DE PUERTO RICO</w:t>
      </w:r>
    </w:p>
    <w:p w14:paraId="03EE8E72" w14:textId="77777777" w:rsidR="001C523A" w:rsidRPr="00C554FB" w:rsidRDefault="001C523A" w:rsidP="001C523A">
      <w:pPr>
        <w:jc w:val="center"/>
        <w:rPr>
          <w:rFonts w:ascii="Book Antiqua" w:hAnsi="Book Antiqua"/>
          <w:lang w:val="es-PR"/>
        </w:rPr>
      </w:pPr>
    </w:p>
    <w:p w14:paraId="71DB54EC" w14:textId="5B9DE364" w:rsidR="001C523A" w:rsidRPr="00082539" w:rsidRDefault="001C523A" w:rsidP="001C523A">
      <w:pPr>
        <w:tabs>
          <w:tab w:val="left" w:pos="648"/>
          <w:tab w:val="left" w:pos="7848"/>
        </w:tabs>
        <w:rPr>
          <w:rFonts w:ascii="Book Antiqua" w:hAnsi="Book Antiqua"/>
          <w:lang w:val="es-ES"/>
        </w:rPr>
      </w:pPr>
      <w:r w:rsidRPr="00082539">
        <w:rPr>
          <w:rFonts w:ascii="Book Antiqua" w:hAnsi="Book Antiqua"/>
          <w:lang w:val="es-ES"/>
        </w:rPr>
        <w:t>20</w:t>
      </w:r>
      <w:r w:rsidRPr="00082539">
        <w:rPr>
          <w:rFonts w:ascii="Book Antiqua" w:hAnsi="Book Antiqua"/>
          <w:vertAlign w:val="superscript"/>
          <w:lang w:val="es-ES"/>
        </w:rPr>
        <w:t>ma</w:t>
      </w:r>
      <w:r w:rsidRPr="00082539">
        <w:rPr>
          <w:rFonts w:ascii="Book Antiqua" w:hAnsi="Book Antiqua"/>
          <w:lang w:val="es-ES"/>
        </w:rPr>
        <w:t xml:space="preserve"> Asamblea</w:t>
      </w:r>
      <w:r w:rsidRPr="00082539">
        <w:rPr>
          <w:rFonts w:ascii="Book Antiqua" w:hAnsi="Book Antiqua"/>
          <w:lang w:val="es-ES"/>
        </w:rPr>
        <w:tab/>
        <w:t>1</w:t>
      </w:r>
      <w:r w:rsidRPr="00082539">
        <w:rPr>
          <w:rFonts w:ascii="Book Antiqua" w:hAnsi="Book Antiqua"/>
          <w:vertAlign w:val="superscript"/>
          <w:lang w:val="es-ES"/>
        </w:rPr>
        <w:t>ra</w:t>
      </w:r>
      <w:r w:rsidRPr="00082539">
        <w:rPr>
          <w:rFonts w:ascii="Book Antiqua" w:hAnsi="Book Antiqua"/>
          <w:lang w:val="es-ES"/>
        </w:rPr>
        <w:t xml:space="preserve"> Sesión</w:t>
      </w:r>
    </w:p>
    <w:p w14:paraId="0655D3B4" w14:textId="77777777" w:rsidR="001C523A" w:rsidRPr="00082539" w:rsidRDefault="001C523A" w:rsidP="001C523A">
      <w:pPr>
        <w:tabs>
          <w:tab w:val="left" w:pos="648"/>
          <w:tab w:val="left" w:pos="7110"/>
        </w:tabs>
        <w:rPr>
          <w:rFonts w:ascii="Book Antiqua" w:hAnsi="Book Antiqua"/>
          <w:lang w:val="es-ES"/>
        </w:rPr>
      </w:pPr>
      <w:r w:rsidRPr="00082539">
        <w:rPr>
          <w:rFonts w:ascii="Book Antiqua" w:hAnsi="Book Antiqua"/>
          <w:lang w:val="es-ES"/>
        </w:rPr>
        <w:tab/>
        <w:t>Legislativa</w:t>
      </w:r>
      <w:r w:rsidRPr="00082539">
        <w:rPr>
          <w:rFonts w:ascii="Book Antiqua" w:hAnsi="Book Antiqua"/>
          <w:lang w:val="es-ES"/>
        </w:rPr>
        <w:tab/>
      </w:r>
      <w:r w:rsidRPr="00082539">
        <w:rPr>
          <w:rFonts w:ascii="Book Antiqua" w:hAnsi="Book Antiqua"/>
          <w:lang w:val="es-ES"/>
        </w:rPr>
        <w:tab/>
        <w:t xml:space="preserve">                  Ordinaria</w:t>
      </w:r>
    </w:p>
    <w:p w14:paraId="25A75E82" w14:textId="77777777" w:rsidR="001C523A" w:rsidRPr="00082539" w:rsidRDefault="001C523A" w:rsidP="001C523A">
      <w:pPr>
        <w:rPr>
          <w:rFonts w:ascii="Book Antiqua" w:hAnsi="Book Antiqua"/>
          <w:lang w:val="es-ES"/>
        </w:rPr>
      </w:pPr>
    </w:p>
    <w:p w14:paraId="20E16AF5" w14:textId="77777777" w:rsidR="001C523A" w:rsidRPr="00C554FB" w:rsidRDefault="001C523A" w:rsidP="001C523A">
      <w:pPr>
        <w:widowControl w:val="0"/>
        <w:suppressLineNumbers/>
        <w:jc w:val="center"/>
        <w:rPr>
          <w:rFonts w:ascii="Book Antiqua" w:eastAsia="Book Antiqua" w:hAnsi="Book Antiqua"/>
          <w:b/>
          <w:sz w:val="36"/>
          <w:szCs w:val="24"/>
          <w:lang w:val="es-PR"/>
        </w:rPr>
      </w:pPr>
      <w:r w:rsidRPr="00C554FB">
        <w:rPr>
          <w:rFonts w:ascii="Book Antiqua" w:hAnsi="Book Antiqua"/>
          <w:b/>
          <w:sz w:val="36"/>
          <w:szCs w:val="24"/>
          <w:lang w:val="es-PR"/>
        </w:rPr>
        <w:t>CÁMARA DE REPRESENTANTES</w:t>
      </w:r>
    </w:p>
    <w:p w14:paraId="02D108A8" w14:textId="77777777" w:rsidR="001C523A" w:rsidRPr="00C554FB" w:rsidRDefault="001C523A" w:rsidP="001C523A">
      <w:pPr>
        <w:widowControl w:val="0"/>
        <w:suppressLineNumbers/>
        <w:jc w:val="center"/>
        <w:rPr>
          <w:rFonts w:ascii="Book Antiqua" w:eastAsia="Book Antiqua" w:hAnsi="Book Antiqua" w:cs="Book Antiqua"/>
          <w:noProof/>
          <w:szCs w:val="24"/>
          <w:lang w:val="es-PR"/>
        </w:rPr>
      </w:pPr>
    </w:p>
    <w:p w14:paraId="2845CBBB" w14:textId="3EACFAB5" w:rsidR="001C523A" w:rsidRPr="00C554FB" w:rsidRDefault="001C523A" w:rsidP="001C523A">
      <w:pPr>
        <w:widowControl w:val="0"/>
        <w:suppressLineNumbers/>
        <w:jc w:val="center"/>
        <w:rPr>
          <w:rFonts w:ascii="Book Antiqua" w:eastAsia="Book Antiqua" w:hAnsi="Book Antiqua"/>
          <w:b/>
          <w:sz w:val="52"/>
          <w:szCs w:val="24"/>
          <w:lang w:val="es-PR"/>
        </w:rPr>
      </w:pPr>
      <w:r w:rsidRPr="00C554FB">
        <w:rPr>
          <w:rFonts w:ascii="Book Antiqua" w:hAnsi="Book Antiqua"/>
          <w:b/>
          <w:sz w:val="52"/>
          <w:szCs w:val="24"/>
          <w:lang w:val="es-PR"/>
        </w:rPr>
        <w:t xml:space="preserve">P. de la C. </w:t>
      </w:r>
      <w:r w:rsidR="00E730DD">
        <w:rPr>
          <w:rFonts w:ascii="Book Antiqua" w:hAnsi="Book Antiqua"/>
          <w:b/>
          <w:sz w:val="52"/>
          <w:szCs w:val="24"/>
          <w:lang w:val="es-PR"/>
        </w:rPr>
        <w:t>2</w:t>
      </w:r>
    </w:p>
    <w:p w14:paraId="18A58F58" w14:textId="77777777" w:rsidR="001C523A" w:rsidRPr="00C554FB" w:rsidRDefault="001C523A" w:rsidP="001C523A">
      <w:pPr>
        <w:widowControl w:val="0"/>
        <w:suppressLineNumbers/>
        <w:jc w:val="center"/>
        <w:rPr>
          <w:rFonts w:ascii="Book Antiqua" w:eastAsia="Book Antiqua" w:hAnsi="Book Antiqua" w:cs="Book Antiqua"/>
          <w:noProof/>
          <w:szCs w:val="24"/>
          <w:lang w:val="es-PR"/>
        </w:rPr>
      </w:pPr>
    </w:p>
    <w:p w14:paraId="2278D53F" w14:textId="51E7C26F" w:rsidR="001C523A" w:rsidRPr="00C554FB" w:rsidRDefault="00E730DD" w:rsidP="001C523A">
      <w:pPr>
        <w:widowControl w:val="0"/>
        <w:suppressLineNumbers/>
        <w:tabs>
          <w:tab w:val="left" w:pos="8186"/>
        </w:tabs>
        <w:jc w:val="center"/>
        <w:rPr>
          <w:rFonts w:ascii="Book Antiqua" w:eastAsia="Book Antiqua" w:hAnsi="Book Antiqua" w:cs="Book Antiqua"/>
          <w:noProof/>
          <w:szCs w:val="24"/>
          <w:lang w:val="es-PR"/>
        </w:rPr>
      </w:pPr>
      <w:r>
        <w:rPr>
          <w:rFonts w:ascii="Book Antiqua" w:hAnsi="Book Antiqua"/>
          <w:noProof/>
          <w:szCs w:val="24"/>
          <w:lang w:val="es-PR"/>
        </w:rPr>
        <w:t>2</w:t>
      </w:r>
      <w:r w:rsidR="001C523A" w:rsidRPr="00C554FB">
        <w:rPr>
          <w:rFonts w:ascii="Book Antiqua" w:hAnsi="Book Antiqua"/>
          <w:noProof/>
          <w:szCs w:val="24"/>
          <w:lang w:val="es-PR"/>
        </w:rPr>
        <w:t xml:space="preserve"> DE ENERO DE 2025</w:t>
      </w:r>
    </w:p>
    <w:p w14:paraId="1099A729" w14:textId="77777777" w:rsidR="001C523A" w:rsidRPr="00C554FB" w:rsidRDefault="001C523A" w:rsidP="001C523A">
      <w:pPr>
        <w:widowControl w:val="0"/>
        <w:suppressLineNumbers/>
        <w:jc w:val="center"/>
        <w:rPr>
          <w:rFonts w:ascii="Book Antiqua" w:eastAsia="Book Antiqua" w:hAnsi="Book Antiqua" w:cs="Book Antiqua"/>
          <w:i/>
          <w:iCs/>
          <w:noProof/>
          <w:szCs w:val="24"/>
          <w:lang w:val="es-PR"/>
        </w:rPr>
      </w:pPr>
    </w:p>
    <w:p w14:paraId="71AE7821" w14:textId="77777777" w:rsidR="001C523A" w:rsidRPr="00C554FB" w:rsidRDefault="001C523A" w:rsidP="001C523A">
      <w:pPr>
        <w:suppressLineNumbers/>
        <w:ind w:left="720" w:hanging="720"/>
        <w:jc w:val="center"/>
        <w:rPr>
          <w:rFonts w:ascii="Book Antiqua" w:hAnsi="Book Antiqua"/>
          <w:i/>
          <w:iCs/>
          <w:color w:val="1D2228"/>
          <w:szCs w:val="24"/>
          <w:shd w:val="clear" w:color="auto" w:fill="FFFFFF"/>
          <w:lang w:val="es-PR"/>
        </w:rPr>
      </w:pPr>
      <w:r w:rsidRPr="00C554FB">
        <w:rPr>
          <w:rFonts w:ascii="Book Antiqua" w:hAnsi="Book Antiqua"/>
          <w:color w:val="1D2228"/>
          <w:szCs w:val="24"/>
          <w:shd w:val="clear" w:color="auto" w:fill="FFFFFF"/>
          <w:lang w:val="es-PR"/>
        </w:rPr>
        <w:t xml:space="preserve">Presentado por el representante </w:t>
      </w:r>
      <w:r w:rsidRPr="00C554FB">
        <w:rPr>
          <w:rFonts w:ascii="Book Antiqua" w:hAnsi="Book Antiqua"/>
          <w:i/>
          <w:iCs/>
          <w:color w:val="1D2228"/>
          <w:szCs w:val="24"/>
          <w:shd w:val="clear" w:color="auto" w:fill="FFFFFF"/>
          <w:lang w:val="es-PR"/>
        </w:rPr>
        <w:t>Méndez Núñez</w:t>
      </w:r>
    </w:p>
    <w:p w14:paraId="4D437895" w14:textId="77777777" w:rsidR="001C523A" w:rsidRPr="00C554FB" w:rsidRDefault="001C523A" w:rsidP="001C523A">
      <w:pPr>
        <w:suppressLineNumbers/>
        <w:ind w:left="720" w:hanging="720"/>
        <w:jc w:val="center"/>
        <w:rPr>
          <w:rFonts w:ascii="Book Antiqua" w:hAnsi="Book Antiqua"/>
          <w:lang w:val="es-PR"/>
        </w:rPr>
      </w:pPr>
    </w:p>
    <w:p w14:paraId="3075C9DE" w14:textId="665CFFE2" w:rsidR="001C523A" w:rsidRPr="00C554FB" w:rsidRDefault="001C523A" w:rsidP="001C523A">
      <w:pPr>
        <w:suppressLineNumbers/>
        <w:ind w:left="720" w:hanging="720"/>
        <w:jc w:val="center"/>
        <w:rPr>
          <w:rFonts w:ascii="Book Antiqua" w:hAnsi="Book Antiqua"/>
          <w:lang w:val="es-PR"/>
        </w:rPr>
      </w:pPr>
      <w:r w:rsidRPr="00C554FB">
        <w:rPr>
          <w:rFonts w:ascii="Book Antiqua" w:hAnsi="Book Antiqua"/>
          <w:lang w:val="es-PR"/>
        </w:rPr>
        <w:t xml:space="preserve">Referido a </w:t>
      </w:r>
      <w:r w:rsidR="000C2F69">
        <w:rPr>
          <w:rFonts w:ascii="Book Antiqua" w:hAnsi="Book Antiqua"/>
          <w:lang w:val="es-PR"/>
        </w:rPr>
        <w:t>la Comisión de Salud</w:t>
      </w:r>
    </w:p>
    <w:p w14:paraId="05987397" w14:textId="77777777" w:rsidR="00D67A3B" w:rsidRDefault="00D67A3B" w:rsidP="00D67A3B">
      <w:pPr>
        <w:jc w:val="both"/>
        <w:rPr>
          <w:rFonts w:ascii="Book Antiqua" w:hAnsi="Book Antiqua"/>
          <w:lang w:val="es-ES_tradnl"/>
        </w:rPr>
      </w:pPr>
    </w:p>
    <w:p w14:paraId="449729CB" w14:textId="77777777" w:rsidR="00D67A3B" w:rsidRDefault="00D67A3B" w:rsidP="00D67A3B">
      <w:pPr>
        <w:jc w:val="center"/>
        <w:rPr>
          <w:rFonts w:ascii="Book Antiqua" w:hAnsi="Book Antiqua"/>
          <w:b/>
          <w:sz w:val="28"/>
          <w:lang w:val="es-ES_tradnl"/>
        </w:rPr>
      </w:pPr>
      <w:r>
        <w:rPr>
          <w:rFonts w:ascii="Book Antiqua" w:hAnsi="Book Antiqua"/>
          <w:b/>
          <w:sz w:val="28"/>
          <w:lang w:val="es-ES_tradnl"/>
        </w:rPr>
        <w:t>LEY</w:t>
      </w:r>
    </w:p>
    <w:p w14:paraId="762B2496" w14:textId="77777777" w:rsidR="00D67A3B" w:rsidRDefault="00D67A3B" w:rsidP="00D67A3B">
      <w:pPr>
        <w:jc w:val="both"/>
        <w:rPr>
          <w:rFonts w:ascii="Book Antiqua" w:hAnsi="Book Antiqua"/>
          <w:lang w:val="es-ES_tradnl"/>
        </w:rPr>
      </w:pPr>
    </w:p>
    <w:p w14:paraId="70279882" w14:textId="33FAA0B5" w:rsidR="00D67A3B" w:rsidRDefault="00D67A3B" w:rsidP="00D67A3B">
      <w:pPr>
        <w:ind w:left="360" w:hanging="360"/>
        <w:jc w:val="both"/>
        <w:rPr>
          <w:rFonts w:ascii="Book Antiqua" w:hAnsi="Book Antiqua"/>
          <w:lang w:val="es-ES_tradnl"/>
        </w:rPr>
      </w:pPr>
      <w:r>
        <w:rPr>
          <w:rFonts w:ascii="Book Antiqua" w:hAnsi="Book Antiqua"/>
          <w:lang w:val="es-ES_tradnl"/>
        </w:rPr>
        <w:t>Para</w:t>
      </w:r>
      <w:r w:rsidR="00865B5D">
        <w:rPr>
          <w:rFonts w:ascii="Book Antiqua" w:hAnsi="Book Antiqua"/>
          <w:lang w:val="es-ES_tradnl"/>
        </w:rPr>
        <w:t xml:space="preserve"> </w:t>
      </w:r>
      <w:r w:rsidR="00865B5D" w:rsidRPr="00A06364">
        <w:rPr>
          <w:rFonts w:ascii="Book Antiqua" w:hAnsi="Book Antiqua"/>
          <w:color w:val="000000"/>
          <w:lang w:val="es-PR"/>
        </w:rPr>
        <w:t>añadir los sub</w:t>
      </w:r>
      <w:r w:rsidR="00865B5D">
        <w:rPr>
          <w:rFonts w:ascii="Book Antiqua" w:hAnsi="Book Antiqua"/>
          <w:color w:val="000000"/>
          <w:lang w:val="es-PR"/>
        </w:rPr>
        <w:t xml:space="preserve"> </w:t>
      </w:r>
      <w:r w:rsidR="00865B5D" w:rsidRPr="00A06364">
        <w:rPr>
          <w:rFonts w:ascii="Book Antiqua" w:hAnsi="Book Antiqua"/>
          <w:color w:val="000000"/>
          <w:lang w:val="es-PR"/>
        </w:rPr>
        <w:t xml:space="preserve">incisos (t) y (u) a la Sección 2 del Artículo IV y enmendar la Sección 2 del Artículo VII </w:t>
      </w:r>
      <w:r w:rsidR="00865B5D" w:rsidRPr="00A06364">
        <w:rPr>
          <w:rFonts w:ascii="Book Antiqua" w:hAnsi="Book Antiqua"/>
          <w:lang w:val="es-PR"/>
        </w:rPr>
        <w:t xml:space="preserve">de la Ley 72-1993, según enmendada, conocida como “Ley de la Administración de Seguros de Salud de Puerto Rico”, a los fines de establecer nuevas funciones a </w:t>
      </w:r>
      <w:r w:rsidR="00865B5D" w:rsidRPr="00A06364">
        <w:rPr>
          <w:rFonts w:ascii="Book Antiqua" w:hAnsi="Book Antiqua"/>
          <w:szCs w:val="24"/>
          <w:lang w:val="es-PR"/>
        </w:rPr>
        <w:t>la Administración de Seguros de Salud de Puerto Rico</w:t>
      </w:r>
      <w:r w:rsidR="00865B5D" w:rsidRPr="00A06364" w:rsidDel="00453206">
        <w:rPr>
          <w:rFonts w:ascii="Book Antiqua" w:hAnsi="Book Antiqua"/>
          <w:lang w:val="es-PR"/>
        </w:rPr>
        <w:t xml:space="preserve"> </w:t>
      </w:r>
      <w:r w:rsidR="00865B5D" w:rsidRPr="00A06364">
        <w:rPr>
          <w:rFonts w:ascii="Book Antiqua" w:hAnsi="Book Antiqua"/>
          <w:lang w:val="es-PR"/>
        </w:rPr>
        <w:t>para promover y asegurar el acceso de los pacientes a los proveedores de servicios de salud para establecer que se implemente dentro del Plan Gubernamental un sistema uniforme y estandarizado de tarifas de compensación mínima para todos los proveedores participantes, incluyendo dentro de dicho sistema uniforme de compensación mínima el establecimiento de la tarifa de dispensación de medicamentos “</w:t>
      </w:r>
      <w:proofErr w:type="spellStart"/>
      <w:r w:rsidR="00865B5D" w:rsidRPr="00A06364">
        <w:rPr>
          <w:rFonts w:ascii="Book Antiqua" w:hAnsi="Book Antiqua"/>
          <w:i/>
          <w:iCs/>
          <w:lang w:val="es-PR"/>
        </w:rPr>
        <w:t>dispensing</w:t>
      </w:r>
      <w:proofErr w:type="spellEnd"/>
      <w:r w:rsidR="00865B5D" w:rsidRPr="00A06364">
        <w:rPr>
          <w:rFonts w:ascii="Book Antiqua" w:hAnsi="Book Antiqua"/>
          <w:i/>
          <w:iCs/>
          <w:lang w:val="es-PR"/>
        </w:rPr>
        <w:t xml:space="preserve"> fee</w:t>
      </w:r>
      <w:r w:rsidR="00865B5D" w:rsidRPr="00A06364">
        <w:rPr>
          <w:rFonts w:ascii="Book Antiqua" w:hAnsi="Book Antiqua"/>
          <w:lang w:val="es-PR"/>
        </w:rPr>
        <w:t xml:space="preserve">” en los servicios farmacéuticos; disponer sobre las tarifas de las pruebas o análisis clínicos realizados en los laboratorios y sobre las tarifas a pagar por los dispositivos médicos que sean cubiertos dentro del Plan de Salud Gubernamental; que será obligatoria para las aseguradoras y organizaciones de cuidado de la salud, </w:t>
      </w:r>
      <w:r w:rsidR="00865B5D" w:rsidRPr="00A06364">
        <w:rPr>
          <w:rFonts w:ascii="Book Antiqua" w:hAnsi="Book Antiqua" w:cs="Arial"/>
          <w:lang w:val="es-ES_tradnl"/>
        </w:rPr>
        <w:t xml:space="preserve">manejadores o administradores de beneficios de farmacia, terceros administradores o cualquier entidad a la que se le haya delegado por parte de la </w:t>
      </w:r>
      <w:r w:rsidR="00865B5D" w:rsidRPr="00A06364">
        <w:rPr>
          <w:rFonts w:ascii="Book Antiqua" w:hAnsi="Book Antiqua"/>
          <w:lang w:val="es-PR"/>
        </w:rPr>
        <w:t xml:space="preserve">aseguradora </w:t>
      </w:r>
      <w:proofErr w:type="spellStart"/>
      <w:r w:rsidR="00865B5D" w:rsidRPr="00A06364">
        <w:rPr>
          <w:rFonts w:ascii="Book Antiqua" w:hAnsi="Book Antiqua"/>
          <w:lang w:val="es-PR"/>
        </w:rPr>
        <w:t>o</w:t>
      </w:r>
      <w:proofErr w:type="spellEnd"/>
      <w:r w:rsidR="00865B5D" w:rsidRPr="00A06364">
        <w:rPr>
          <w:rFonts w:ascii="Book Antiqua" w:hAnsi="Book Antiqua"/>
          <w:lang w:val="es-PR"/>
        </w:rPr>
        <w:t xml:space="preserve"> organización de cuidado de la salud</w:t>
      </w:r>
      <w:r w:rsidR="00865B5D" w:rsidRPr="00A06364">
        <w:rPr>
          <w:rFonts w:ascii="Book Antiqua" w:hAnsi="Book Antiqua" w:cs="Arial"/>
          <w:lang w:val="es-ES_tradnl"/>
        </w:rPr>
        <w:t xml:space="preserve"> la administración o manejo de los servicios o beneficios dentro de</w:t>
      </w:r>
      <w:r w:rsidR="00865B5D" w:rsidRPr="00A06364">
        <w:rPr>
          <w:rFonts w:ascii="Book Antiqua" w:hAnsi="Book Antiqua"/>
          <w:lang w:val="es-PR"/>
        </w:rPr>
        <w:t xml:space="preserve"> sus procesos de contratación con dichos proveedores; </w:t>
      </w:r>
      <w:r w:rsidR="00865B5D" w:rsidRPr="00A06364">
        <w:rPr>
          <w:rFonts w:ascii="Book Antiqua" w:hAnsi="Book Antiqua"/>
          <w:szCs w:val="24"/>
          <w:lang w:val="es-PR"/>
        </w:rPr>
        <w:t>establecer categóricamente que dentro de los noventa (90) días al cierre de cada año fiscal, en donde cada asegurador tiene la obligación de someter a la Administración de Seguros de Salud un informe estadístico de sus actividades, según lo dispone dicha Sección, que una vez recopilada y analizada por la Administración, esta deberá someter dicho informe estadístico al Gobernador y a la Asamblea Legislativa;</w:t>
      </w:r>
      <w:r w:rsidR="00865B5D" w:rsidRPr="00A06364">
        <w:rPr>
          <w:rFonts w:ascii="Book Antiqua" w:hAnsi="Book Antiqua"/>
          <w:lang w:val="es-PR"/>
        </w:rPr>
        <w:t xml:space="preserve"> para facultar a la Administración de Seguros de Salud de Puerto Rico a establecer reglamentación para cumplir con los propósitos de esta Ley; y para otros fines relacionados</w:t>
      </w:r>
      <w:r w:rsidR="00395DC4">
        <w:rPr>
          <w:rFonts w:ascii="Book Antiqua" w:hAnsi="Book Antiqua"/>
          <w:lang w:val="es-ES_tradnl"/>
        </w:rPr>
        <w:t xml:space="preserve">. </w:t>
      </w:r>
    </w:p>
    <w:p w14:paraId="3A12A38B" w14:textId="77777777" w:rsidR="00D67A3B" w:rsidRDefault="00D67A3B" w:rsidP="00D67A3B">
      <w:pPr>
        <w:spacing w:before="120" w:after="120"/>
        <w:ind w:firstLine="360"/>
        <w:jc w:val="center"/>
        <w:rPr>
          <w:rFonts w:ascii="Book Antiqua" w:hAnsi="Book Antiqua"/>
          <w:lang w:val="es-ES_tradnl"/>
        </w:rPr>
      </w:pPr>
      <w:r>
        <w:rPr>
          <w:rFonts w:ascii="Book Antiqua" w:hAnsi="Book Antiqua"/>
          <w:lang w:val="es-ES_tradnl"/>
        </w:rPr>
        <w:lastRenderedPageBreak/>
        <w:t>EXPOSICIÓN DE MOTIVOS</w:t>
      </w:r>
    </w:p>
    <w:p w14:paraId="19BA385E" w14:textId="77777777" w:rsidR="00865B5D" w:rsidRPr="00865B5D" w:rsidRDefault="00865B5D" w:rsidP="00865B5D">
      <w:pPr>
        <w:spacing w:before="120" w:after="120"/>
        <w:ind w:firstLine="360"/>
        <w:jc w:val="both"/>
        <w:rPr>
          <w:rFonts w:ascii="Book Antiqua" w:hAnsi="Book Antiqua"/>
          <w:szCs w:val="24"/>
          <w:lang w:val="es-ES"/>
        </w:rPr>
      </w:pPr>
      <w:r w:rsidRPr="00865B5D">
        <w:rPr>
          <w:rFonts w:ascii="Book Antiqua" w:hAnsi="Book Antiqua"/>
          <w:szCs w:val="24"/>
          <w:lang w:val="es-ES"/>
        </w:rPr>
        <w:t xml:space="preserve">El Gobierno de Puerto Rico reconoce el derecho a la salud. Para hacer valer dicho derecho y poder facilitar el acceso a servicios de calidad a la población beneficiaria de los fondos Medicaid y sus programas, la Ley 72-1993, según enmendada, estableció la Administración de Seguros de Salud de Puerto Rico (en adelante “ASES”). </w:t>
      </w:r>
    </w:p>
    <w:p w14:paraId="6485E5D2" w14:textId="77777777" w:rsidR="00865B5D" w:rsidRPr="00865B5D" w:rsidRDefault="00865B5D" w:rsidP="00865B5D">
      <w:pPr>
        <w:spacing w:before="120" w:after="120"/>
        <w:ind w:firstLine="360"/>
        <w:jc w:val="both"/>
        <w:rPr>
          <w:rFonts w:ascii="Book Antiqua" w:hAnsi="Book Antiqua"/>
          <w:szCs w:val="24"/>
          <w:lang w:val="es-ES"/>
        </w:rPr>
      </w:pPr>
      <w:r w:rsidRPr="00865B5D">
        <w:rPr>
          <w:rFonts w:ascii="Book Antiqua" w:hAnsi="Book Antiqua"/>
          <w:szCs w:val="24"/>
          <w:lang w:val="es-ES"/>
        </w:rPr>
        <w:t xml:space="preserve">La creación de ASES es cónsona con los planes gubernamentales de manejo del programa Medicaid y el Programa de Seguro Médico para Niños (CHIP, por sus siglas en inglés).  Medicaid es un programa mediante el cual el Gobierno Federal aporta ayuda a Puerto Rico, los estados y territorios para pagar los gastos médicos de ciertos grupos de personas con bajos recursos.  Por su parte, CHIP se estableció para brindar nuevas oportunidades de cobertura médica a bajo costo a los niños de familias con ingresos demasiado altos para calificar para Medicaid, pero que no pueden pagar una cobertura privada. En Puerto Rico se opera como un programa de expansión de Medicaid financiado por el título XXI y cubre a niños de hasta 19 años con ingresos familiares de hasta el 266 por ciento del nivel de pobreza local. </w:t>
      </w:r>
    </w:p>
    <w:p w14:paraId="33831864" w14:textId="77777777" w:rsidR="00865B5D" w:rsidRPr="00865B5D" w:rsidRDefault="00865B5D" w:rsidP="00865B5D">
      <w:pPr>
        <w:spacing w:before="120" w:after="120"/>
        <w:ind w:firstLine="360"/>
        <w:jc w:val="both"/>
        <w:rPr>
          <w:rFonts w:ascii="Book Antiqua" w:hAnsi="Book Antiqua"/>
          <w:szCs w:val="24"/>
          <w:lang w:val="es-ES"/>
        </w:rPr>
      </w:pPr>
      <w:r w:rsidRPr="00865B5D">
        <w:rPr>
          <w:rFonts w:ascii="Book Antiqua" w:hAnsi="Book Antiqua"/>
          <w:szCs w:val="24"/>
          <w:lang w:val="es-ES"/>
        </w:rPr>
        <w:t xml:space="preserve">Un plan estatal de Medicaid y CHIP, acorde al Center </w:t>
      </w:r>
      <w:proofErr w:type="spellStart"/>
      <w:r w:rsidRPr="00865B5D">
        <w:rPr>
          <w:rFonts w:ascii="Book Antiqua" w:hAnsi="Book Antiqua"/>
          <w:szCs w:val="24"/>
          <w:lang w:val="es-ES"/>
        </w:rPr>
        <w:t>for</w:t>
      </w:r>
      <w:proofErr w:type="spellEnd"/>
      <w:r w:rsidRPr="00865B5D">
        <w:rPr>
          <w:rFonts w:ascii="Book Antiqua" w:hAnsi="Book Antiqua"/>
          <w:szCs w:val="24"/>
          <w:lang w:val="es-ES"/>
        </w:rPr>
        <w:t xml:space="preserve"> Medicare and Medicaid </w:t>
      </w:r>
      <w:proofErr w:type="spellStart"/>
      <w:r w:rsidRPr="00865B5D">
        <w:rPr>
          <w:rFonts w:ascii="Book Antiqua" w:hAnsi="Book Antiqua"/>
          <w:szCs w:val="24"/>
          <w:lang w:val="es-ES"/>
        </w:rPr>
        <w:t>Services</w:t>
      </w:r>
      <w:proofErr w:type="spellEnd"/>
      <w:r w:rsidRPr="00865B5D">
        <w:rPr>
          <w:rFonts w:ascii="Book Antiqua" w:hAnsi="Book Antiqua"/>
          <w:szCs w:val="24"/>
          <w:lang w:val="es-ES"/>
        </w:rPr>
        <w:t xml:space="preserve"> (o “CMS”, por sus siglas en inglés), “es un acuerdo entre un estado y el gobierno federal que describe cómo ese estado administra sus programas de Medicaid y CHIP.  Ofrece la seguridad de que un estado cumplirá con las reglas federales y puede reclamar fondos de contrapartida federales para las actividades de su programa.  El plan estatal establece los grupos de personas que se cubrirán, los servicios que se brindarán, las metodologías para los proveedores que se reembolsarán y las actividades administrativas que se están llevando a cabo en el estado”. </w:t>
      </w:r>
    </w:p>
    <w:p w14:paraId="35DC78D9" w14:textId="77777777" w:rsidR="00865B5D" w:rsidRPr="00865B5D" w:rsidRDefault="00865B5D" w:rsidP="00865B5D">
      <w:pPr>
        <w:spacing w:before="120" w:after="120"/>
        <w:ind w:firstLine="360"/>
        <w:jc w:val="both"/>
        <w:rPr>
          <w:rFonts w:ascii="Book Antiqua" w:hAnsi="Book Antiqua"/>
          <w:szCs w:val="24"/>
          <w:lang w:val="es-ES"/>
        </w:rPr>
      </w:pPr>
      <w:r w:rsidRPr="00865B5D">
        <w:rPr>
          <w:rFonts w:ascii="Book Antiqua" w:hAnsi="Book Antiqua"/>
          <w:szCs w:val="24"/>
          <w:lang w:val="es-ES"/>
        </w:rPr>
        <w:t>ASES tiene la responsabilidad de implantar, administrar y negociar, mediante contratos con aseguradores, organizaciones de servicios de salud y proveedores un sistema de seguros de salud que brinde a todos los residentes de Puerto Rico beneficiarios de Medicaid, CHIP y desde el 2006 los Medicare Platino, acceso a cuidados médico-hospitalarios de calidad, independientemente de la condición económica y capacidad de pago de quien los requiera. Desde el 1994, ASES ejerce las funciones antes mencionadas, cuando se implementó la llamada Reforma de Salud, hoy día Plan Vital.</w:t>
      </w:r>
    </w:p>
    <w:p w14:paraId="4E6D28F7" w14:textId="77777777" w:rsidR="00865B5D" w:rsidRPr="00865B5D" w:rsidRDefault="00865B5D" w:rsidP="00865B5D">
      <w:pPr>
        <w:spacing w:before="120" w:after="120"/>
        <w:ind w:firstLine="360"/>
        <w:jc w:val="both"/>
        <w:rPr>
          <w:rFonts w:ascii="Book Antiqua" w:hAnsi="Book Antiqua"/>
          <w:szCs w:val="24"/>
          <w:lang w:val="es-ES"/>
        </w:rPr>
      </w:pPr>
      <w:r w:rsidRPr="00865B5D">
        <w:rPr>
          <w:rFonts w:ascii="Book Antiqua" w:hAnsi="Book Antiqua"/>
          <w:szCs w:val="24"/>
          <w:lang w:val="es-ES"/>
        </w:rPr>
        <w:t xml:space="preserve">Dado lo dinámico del ambiente de los servicios de salud y el balance que debe haber entre los servicios de calidad y el manejo adecuado de los fondos, desde que se promulgó la Ley 72, supra, esta ha sido constantemente enmendada para hacerla una más efectiva y a tenor con los retos que conlleva el servir a dicha población.  </w:t>
      </w:r>
    </w:p>
    <w:p w14:paraId="657861A4" w14:textId="77777777" w:rsidR="00865B5D" w:rsidRPr="00865B5D" w:rsidRDefault="00865B5D" w:rsidP="00865B5D">
      <w:pPr>
        <w:spacing w:before="120" w:after="120"/>
        <w:ind w:firstLine="360"/>
        <w:jc w:val="both"/>
        <w:rPr>
          <w:rFonts w:ascii="Book Antiqua" w:hAnsi="Book Antiqua"/>
          <w:szCs w:val="24"/>
          <w:lang w:val="es-ES"/>
        </w:rPr>
      </w:pPr>
      <w:r w:rsidRPr="00865B5D">
        <w:rPr>
          <w:rFonts w:ascii="Book Antiqua" w:hAnsi="Book Antiqua"/>
          <w:szCs w:val="24"/>
          <w:lang w:val="es-ES"/>
        </w:rPr>
        <w:t xml:space="preserve">El Plan Vital administrado por ASES es el programa de seguros de salud de mayor cantidad de beneficiarios en el país, con alrededor de 1.5 millones de beneficiarios adscritos al programa acorde con CMS.  Al presente, dado el aumento de la población beneficiaria desde el 2017 por los desastres naturales y la pandemia que han aquejado a Puerto Rico, es menester y una necesidad el mantener una red de proveedores robusta y adecuada, para que los pacientes tengan acceso oportuno, apropiado y completo a dichas redes de proveedores.  Por los cambios y dinámicas del mercado, al presente existen </w:t>
      </w:r>
      <w:r w:rsidRPr="00865B5D">
        <w:rPr>
          <w:rFonts w:ascii="Book Antiqua" w:hAnsi="Book Antiqua"/>
          <w:szCs w:val="24"/>
          <w:lang w:val="es-ES"/>
        </w:rPr>
        <w:lastRenderedPageBreak/>
        <w:t>solamente cuatro (4) aseguradores bajo el Plan Vital y cuatro (4) bajo el Medicare Platino. La doctrina económica establece en general que, mientras menos participantes en el mercado, más concentrado este y mayor el riesgo de colusión, lo que daría al traste con uno de los pilares del Plan Vital que se basa en la competencia por mejores servicios y calidad entre las aseguradoras al ser estas organizaciones de cuidado dirigido (“</w:t>
      </w:r>
      <w:proofErr w:type="spellStart"/>
      <w:r w:rsidRPr="00865B5D">
        <w:rPr>
          <w:rFonts w:ascii="Book Antiqua" w:hAnsi="Book Antiqua"/>
          <w:szCs w:val="24"/>
          <w:lang w:val="es-ES"/>
        </w:rPr>
        <w:t>managed</w:t>
      </w:r>
      <w:proofErr w:type="spellEnd"/>
      <w:r w:rsidRPr="00865B5D">
        <w:rPr>
          <w:rFonts w:ascii="Book Antiqua" w:hAnsi="Book Antiqua"/>
          <w:szCs w:val="24"/>
          <w:lang w:val="es-ES"/>
        </w:rPr>
        <w:t xml:space="preserve"> care </w:t>
      </w:r>
      <w:proofErr w:type="spellStart"/>
      <w:r w:rsidRPr="00865B5D">
        <w:rPr>
          <w:rFonts w:ascii="Book Antiqua" w:hAnsi="Book Antiqua"/>
          <w:szCs w:val="24"/>
          <w:lang w:val="es-ES"/>
        </w:rPr>
        <w:t>organizations</w:t>
      </w:r>
      <w:proofErr w:type="spellEnd"/>
      <w:r w:rsidRPr="00865B5D">
        <w:rPr>
          <w:rFonts w:ascii="Book Antiqua" w:hAnsi="Book Antiqua"/>
          <w:szCs w:val="24"/>
          <w:lang w:val="es-ES"/>
        </w:rPr>
        <w:t>” o “</w:t>
      </w:r>
      <w:proofErr w:type="spellStart"/>
      <w:r w:rsidRPr="00865B5D">
        <w:rPr>
          <w:rFonts w:ascii="Book Antiqua" w:hAnsi="Book Antiqua"/>
          <w:szCs w:val="24"/>
          <w:lang w:val="es-ES"/>
        </w:rPr>
        <w:t>MCO’s</w:t>
      </w:r>
      <w:proofErr w:type="spellEnd"/>
      <w:r w:rsidRPr="00865B5D">
        <w:rPr>
          <w:rFonts w:ascii="Book Antiqua" w:hAnsi="Book Antiqua"/>
          <w:szCs w:val="24"/>
          <w:lang w:val="es-ES"/>
        </w:rPr>
        <w:t xml:space="preserve">”, en inglés).  A la vez que se buscan los beneficios y la </w:t>
      </w:r>
      <w:proofErr w:type="spellStart"/>
      <w:r w:rsidRPr="00865B5D">
        <w:rPr>
          <w:rFonts w:ascii="Book Antiqua" w:hAnsi="Book Antiqua"/>
          <w:szCs w:val="24"/>
          <w:lang w:val="es-ES"/>
        </w:rPr>
        <w:t>costo</w:t>
      </w:r>
      <w:proofErr w:type="spellEnd"/>
      <w:r w:rsidRPr="00865B5D">
        <w:rPr>
          <w:rFonts w:ascii="Book Antiqua" w:hAnsi="Book Antiqua"/>
          <w:szCs w:val="24"/>
          <w:lang w:val="es-ES"/>
        </w:rPr>
        <w:t>-efectividad de un programa de cuidado dirigido, es importante contar con acceso suficiente a la piedra angular del servicio de salud, los proveedores, y que sus condiciones sean unas adecuadas. Por tal razón, las funciones fiscalizadoras de ASES deben estar atemperadas a las condiciones dinámicas y los retos que presenta el cuidado de la población más vulnerable.</w:t>
      </w:r>
    </w:p>
    <w:p w14:paraId="2EAF2268" w14:textId="71914AB1" w:rsidR="00D66A23" w:rsidRPr="00633921" w:rsidRDefault="00865B5D" w:rsidP="00865B5D">
      <w:pPr>
        <w:spacing w:before="120" w:after="120"/>
        <w:ind w:firstLine="360"/>
        <w:jc w:val="both"/>
        <w:rPr>
          <w:rFonts w:ascii="Book Antiqua" w:hAnsi="Book Antiqua"/>
          <w:lang w:val="es-ES_tradnl"/>
        </w:rPr>
      </w:pPr>
      <w:r w:rsidRPr="00865B5D">
        <w:rPr>
          <w:rFonts w:ascii="Book Antiqua" w:hAnsi="Book Antiqua"/>
          <w:szCs w:val="24"/>
          <w:lang w:val="es-ES"/>
        </w:rPr>
        <w:t>En atención a lo anterior es pertinente que ASES pueda emitir directrices necesarias y apropiadas cuando lo entienda adecuado y así establecer un sistema uniforme y estandarizado de tarifas de compensación mínima para todos los proveedores participantes dentro de dicho Plan; incluyendo dentro de dicho sistema uniforme de compensación mínima el establecimiento de la tarifa de dispensación de medicamentos “</w:t>
      </w:r>
      <w:proofErr w:type="spellStart"/>
      <w:r w:rsidRPr="00865B5D">
        <w:rPr>
          <w:rFonts w:ascii="Book Antiqua" w:hAnsi="Book Antiqua"/>
          <w:szCs w:val="24"/>
          <w:lang w:val="es-ES"/>
        </w:rPr>
        <w:t>dispensing</w:t>
      </w:r>
      <w:proofErr w:type="spellEnd"/>
      <w:r w:rsidRPr="00865B5D">
        <w:rPr>
          <w:rFonts w:ascii="Book Antiqua" w:hAnsi="Book Antiqua"/>
          <w:szCs w:val="24"/>
          <w:lang w:val="es-ES"/>
        </w:rPr>
        <w:t xml:space="preserve"> fee” en los servicios farmacéuticos; sobre las tarifas de las pruebas o análisis clínicos realizados en los laboratorios y sobre las tarifas a pagar por los dispositivos médicos que sean cubiertos dentro del Plan de Salud Gubernamental; las cuales serán obligatorias para las aseguradoras, organizaciones de cuidado de la salud e intermediarios en sus procesos de contratación con dichos proveedores que compense de forma óptima los servicios médico-hospitalarios, servicios farmacéuticos, servicios de laboratorio y de apoyo rendidos a los beneficiarios del plan.  Además, se enmienda la Sección 2 del Artículo VII de la Ley 72-1993, según enmendada, titulado “Informes de las aseguradoras”, para establecer categóricamente que dentro de los noventa (90) días al cierre de cada año fiscal, en donde cada asegurador tiene la obligación de someter a la Administración de Seguros de Salud un informe estadístico de sus actividades; que una vez recopilada y analizada por la Administración, esta deberá someter dicho informe estadístico al Gobernador y a la Asamblea Legislativa.</w:t>
      </w:r>
      <w:r w:rsidR="00AA46B1">
        <w:rPr>
          <w:rFonts w:ascii="Book Antiqua" w:hAnsi="Book Antiqua"/>
          <w:lang w:val="es-ES_tradnl"/>
        </w:rPr>
        <w:t>.</w:t>
      </w:r>
    </w:p>
    <w:p w14:paraId="39AC1A72" w14:textId="0C2E0768" w:rsidR="00D67A3B" w:rsidRDefault="00D67A3B" w:rsidP="00E66A50">
      <w:pPr>
        <w:spacing w:before="240" w:line="480" w:lineRule="auto"/>
        <w:rPr>
          <w:rFonts w:ascii="Book Antiqua" w:hAnsi="Book Antiqua"/>
          <w:i/>
          <w:lang w:val="es-ES_tradnl"/>
        </w:rPr>
      </w:pPr>
      <w:r>
        <w:rPr>
          <w:rFonts w:ascii="Book Antiqua" w:hAnsi="Book Antiqua"/>
          <w:i/>
          <w:lang w:val="es-ES_tradnl"/>
        </w:rPr>
        <w:t>DECRÉTASE POR LA ASAMBLEA LEGISLATIVA DE PUERTO RICO:</w:t>
      </w:r>
    </w:p>
    <w:p w14:paraId="1A7F62D4" w14:textId="77777777" w:rsidR="00D67A3B" w:rsidRDefault="00D67A3B" w:rsidP="00D67A3B">
      <w:pPr>
        <w:spacing w:line="480" w:lineRule="auto"/>
        <w:jc w:val="both"/>
        <w:rPr>
          <w:rFonts w:ascii="Book Antiqua" w:hAnsi="Book Antiqua"/>
          <w:lang w:val="es-ES_tradnl"/>
        </w:rPr>
        <w:sectPr w:rsidR="00D67A3B">
          <w:headerReference w:type="default" r:id="rId8"/>
          <w:type w:val="continuous"/>
          <w:pgSz w:w="12240" w:h="15840" w:code="1"/>
          <w:pgMar w:top="1440" w:right="1440" w:bottom="1440" w:left="1440" w:header="720" w:footer="720" w:gutter="0"/>
          <w:cols w:space="720"/>
          <w:titlePg/>
        </w:sectPr>
      </w:pPr>
    </w:p>
    <w:p w14:paraId="169A7AA8" w14:textId="77777777" w:rsidR="00865B5D" w:rsidRPr="00865B5D" w:rsidRDefault="00865B5D" w:rsidP="00865B5D">
      <w:pPr>
        <w:spacing w:line="480" w:lineRule="auto"/>
        <w:ind w:firstLine="360"/>
        <w:jc w:val="both"/>
        <w:rPr>
          <w:rFonts w:ascii="Book Antiqua" w:hAnsi="Book Antiqua"/>
          <w:lang w:val="es-PR"/>
        </w:rPr>
      </w:pPr>
      <w:r w:rsidRPr="00865B5D">
        <w:rPr>
          <w:rFonts w:ascii="Book Antiqua" w:hAnsi="Book Antiqua"/>
          <w:lang w:val="es-PR"/>
        </w:rPr>
        <w:t xml:space="preserve">Sección 1.-Se añaden los </w:t>
      </w:r>
      <w:proofErr w:type="spellStart"/>
      <w:r w:rsidRPr="00865B5D">
        <w:rPr>
          <w:rFonts w:ascii="Book Antiqua" w:hAnsi="Book Antiqua"/>
          <w:lang w:val="es-PR"/>
        </w:rPr>
        <w:t>subincisos</w:t>
      </w:r>
      <w:proofErr w:type="spellEnd"/>
      <w:r w:rsidRPr="00865B5D">
        <w:rPr>
          <w:rFonts w:ascii="Book Antiqua" w:hAnsi="Book Antiqua"/>
          <w:lang w:val="es-PR"/>
        </w:rPr>
        <w:t xml:space="preserve"> (t) </w:t>
      </w:r>
      <w:r w:rsidRPr="00865B5D">
        <w:rPr>
          <w:rFonts w:ascii="Book Antiqua" w:hAnsi="Book Antiqua"/>
          <w:i/>
          <w:iCs/>
          <w:u w:val="single"/>
          <w:lang w:val="es-PR"/>
        </w:rPr>
        <w:t>y</w:t>
      </w:r>
      <w:r w:rsidRPr="00865B5D">
        <w:rPr>
          <w:rFonts w:ascii="Book Antiqua" w:hAnsi="Book Antiqua"/>
          <w:lang w:val="es-PR"/>
        </w:rPr>
        <w:t xml:space="preserve"> (u) a la Sección 2 del Artículo IV de la Ley 72-1993, según enmendada, para que lea como sigue:</w:t>
      </w:r>
    </w:p>
    <w:p w14:paraId="69674C6C" w14:textId="77777777" w:rsidR="00865B5D" w:rsidRPr="00865B5D" w:rsidRDefault="00865B5D" w:rsidP="00865B5D">
      <w:pPr>
        <w:spacing w:line="480" w:lineRule="auto"/>
        <w:ind w:firstLine="360"/>
        <w:jc w:val="center"/>
        <w:rPr>
          <w:rFonts w:ascii="Book Antiqua" w:hAnsi="Book Antiqua"/>
          <w:lang w:val="es-ES_tradnl"/>
        </w:rPr>
      </w:pPr>
      <w:r w:rsidRPr="00865B5D">
        <w:rPr>
          <w:rFonts w:ascii="Book Antiqua" w:hAnsi="Book Antiqua"/>
          <w:lang w:val="es-ES_tradnl"/>
        </w:rPr>
        <w:t>“ARTÍCULO IV. — ADMINISTRACIÓN DE SEGUROS DE SALUD DE PUERTO RICO.</w:t>
      </w:r>
    </w:p>
    <w:p w14:paraId="7ECF288F" w14:textId="77777777" w:rsidR="00865B5D" w:rsidRPr="00865B5D" w:rsidRDefault="00865B5D" w:rsidP="00865B5D">
      <w:pPr>
        <w:spacing w:line="480" w:lineRule="auto"/>
        <w:ind w:left="360" w:firstLine="360"/>
        <w:jc w:val="both"/>
        <w:rPr>
          <w:rFonts w:ascii="Book Antiqua" w:hAnsi="Book Antiqua"/>
          <w:lang w:val="es-ES_tradnl"/>
        </w:rPr>
      </w:pPr>
      <w:r w:rsidRPr="00865B5D">
        <w:rPr>
          <w:rFonts w:ascii="Book Antiqua" w:hAnsi="Book Antiqua"/>
          <w:lang w:val="es-ES_tradnl"/>
        </w:rPr>
        <w:t>Sección 1. — Creación.</w:t>
      </w:r>
    </w:p>
    <w:p w14:paraId="6D395AC7" w14:textId="77777777" w:rsidR="00865B5D" w:rsidRPr="00865B5D" w:rsidRDefault="00865B5D" w:rsidP="00865B5D">
      <w:pPr>
        <w:spacing w:line="480" w:lineRule="auto"/>
        <w:ind w:left="360" w:firstLine="360"/>
        <w:jc w:val="both"/>
        <w:rPr>
          <w:rFonts w:ascii="Book Antiqua" w:hAnsi="Book Antiqua"/>
          <w:lang w:val="es-ES_tradnl"/>
        </w:rPr>
      </w:pPr>
      <w:r w:rsidRPr="00865B5D">
        <w:rPr>
          <w:rFonts w:ascii="Book Antiqua" w:hAnsi="Book Antiqua"/>
          <w:lang w:val="es-ES_tradnl"/>
        </w:rPr>
        <w:t>….</w:t>
      </w:r>
    </w:p>
    <w:p w14:paraId="0F6306CA" w14:textId="77777777" w:rsidR="00865B5D" w:rsidRPr="00865B5D" w:rsidRDefault="00865B5D" w:rsidP="00865B5D">
      <w:pPr>
        <w:spacing w:line="480" w:lineRule="auto"/>
        <w:ind w:left="360" w:firstLine="360"/>
        <w:jc w:val="both"/>
        <w:rPr>
          <w:rFonts w:ascii="Book Antiqua" w:hAnsi="Book Antiqua"/>
          <w:lang w:val="es-PR"/>
        </w:rPr>
      </w:pPr>
      <w:r w:rsidRPr="00865B5D">
        <w:rPr>
          <w:rFonts w:ascii="Book Antiqua" w:hAnsi="Book Antiqua"/>
          <w:lang w:val="es-PR"/>
        </w:rPr>
        <w:lastRenderedPageBreak/>
        <w:t xml:space="preserve">Sección 2. — Propósitos, Funciones y Poderes: </w:t>
      </w:r>
    </w:p>
    <w:p w14:paraId="07489AC2" w14:textId="77777777" w:rsidR="00865B5D" w:rsidRPr="00865B5D" w:rsidRDefault="00865B5D" w:rsidP="00865B5D">
      <w:pPr>
        <w:spacing w:line="480" w:lineRule="auto"/>
        <w:ind w:left="360" w:firstLine="360"/>
        <w:jc w:val="both"/>
        <w:rPr>
          <w:rFonts w:ascii="Book Antiqua" w:hAnsi="Book Antiqua"/>
          <w:lang w:val="es-PR"/>
        </w:rPr>
      </w:pPr>
      <w:r w:rsidRPr="00865B5D">
        <w:rPr>
          <w:rFonts w:ascii="Book Antiqua" w:hAnsi="Book Antiqua"/>
          <w:lang w:val="es-PR"/>
        </w:rPr>
        <w:t xml:space="preserve">La Administración será el organismo gubernamental encargado de la implantación de las disposiciones de esta Ley. A esos fines, tendrá los siguientes poderes, funciones, que radicarán su Junta de </w:t>
      </w:r>
      <w:proofErr w:type="gramStart"/>
      <w:r w:rsidRPr="00865B5D">
        <w:rPr>
          <w:rFonts w:ascii="Book Antiqua" w:hAnsi="Book Antiqua"/>
          <w:lang w:val="es-PR"/>
        </w:rPr>
        <w:t>Directores</w:t>
      </w:r>
      <w:proofErr w:type="gramEnd"/>
      <w:r w:rsidRPr="00865B5D">
        <w:rPr>
          <w:rFonts w:ascii="Book Antiqua" w:hAnsi="Book Antiqua"/>
          <w:lang w:val="es-PR"/>
        </w:rPr>
        <w:t>:</w:t>
      </w:r>
    </w:p>
    <w:p w14:paraId="647FBB1D" w14:textId="77777777" w:rsidR="00865B5D" w:rsidRPr="00865B5D" w:rsidRDefault="00865B5D" w:rsidP="00865B5D">
      <w:pPr>
        <w:numPr>
          <w:ilvl w:val="0"/>
          <w:numId w:val="7"/>
        </w:numPr>
        <w:spacing w:line="480" w:lineRule="auto"/>
        <w:ind w:left="2160"/>
        <w:jc w:val="both"/>
        <w:rPr>
          <w:rFonts w:ascii="Book Antiqua" w:hAnsi="Book Antiqua"/>
          <w:lang w:val="es-PR"/>
        </w:rPr>
      </w:pPr>
      <w:r w:rsidRPr="00865B5D">
        <w:rPr>
          <w:rFonts w:ascii="Book Antiqua" w:hAnsi="Book Antiqua"/>
          <w:lang w:val="es-PR"/>
        </w:rPr>
        <w:t>Implantar planes de servicios médico-hospitalarios basados en seguros de salud.</w:t>
      </w:r>
    </w:p>
    <w:p w14:paraId="390DC6D0" w14:textId="77777777" w:rsidR="00865B5D" w:rsidRPr="00865B5D" w:rsidRDefault="00865B5D" w:rsidP="00865B5D">
      <w:pPr>
        <w:spacing w:line="480" w:lineRule="auto"/>
        <w:ind w:left="720" w:firstLine="720"/>
        <w:jc w:val="both"/>
        <w:rPr>
          <w:rFonts w:ascii="Book Antiqua" w:hAnsi="Book Antiqua"/>
          <w:lang w:val="es-PR"/>
        </w:rPr>
      </w:pPr>
      <w:r w:rsidRPr="00865B5D">
        <w:rPr>
          <w:rFonts w:ascii="Book Antiqua" w:hAnsi="Book Antiqua"/>
          <w:lang w:val="es-PR"/>
        </w:rPr>
        <w:t>…</w:t>
      </w:r>
    </w:p>
    <w:p w14:paraId="3440E34E" w14:textId="77777777" w:rsidR="00865B5D" w:rsidRPr="00865B5D" w:rsidRDefault="00865B5D" w:rsidP="00865B5D">
      <w:pPr>
        <w:spacing w:line="480" w:lineRule="auto"/>
        <w:ind w:left="1440"/>
        <w:jc w:val="both"/>
        <w:rPr>
          <w:rFonts w:ascii="Book Antiqua" w:hAnsi="Book Antiqua"/>
          <w:i/>
          <w:iCs/>
          <w:lang w:val="es-PR"/>
        </w:rPr>
      </w:pPr>
      <w:r w:rsidRPr="00865B5D">
        <w:rPr>
          <w:rFonts w:ascii="Book Antiqua" w:hAnsi="Book Antiqua"/>
          <w:lang w:val="es-PR"/>
        </w:rPr>
        <w:t xml:space="preserve">(t) </w:t>
      </w:r>
      <w:r w:rsidRPr="00865B5D">
        <w:rPr>
          <w:rFonts w:ascii="Book Antiqua" w:hAnsi="Book Antiqua"/>
          <w:lang w:val="es-PR"/>
        </w:rPr>
        <w:tab/>
      </w:r>
      <w:r w:rsidRPr="00865B5D">
        <w:rPr>
          <w:rFonts w:ascii="Book Antiqua" w:hAnsi="Book Antiqua"/>
          <w:i/>
          <w:iCs/>
          <w:lang w:val="es-PR"/>
        </w:rPr>
        <w:t>Establecer, de conformidad con las leyes y regulaciones federales aplicables, el Plan Estatal de Medicaid para Puerto Rico, y las leyes y reglamentos del Gobierno, un sistema uniforme y estandarizado de tarifas de compensación mínima para todos los proveedores participantes dentro de dicho Plan, incluyendo dentro de dicho sistema uniforme de compensación mínima el establecimiento de la tarifa de dispensación de medicamentos “</w:t>
      </w:r>
      <w:proofErr w:type="spellStart"/>
      <w:r w:rsidRPr="00865B5D">
        <w:rPr>
          <w:rFonts w:ascii="Book Antiqua" w:hAnsi="Book Antiqua"/>
          <w:i/>
          <w:iCs/>
          <w:lang w:val="es-PR"/>
        </w:rPr>
        <w:t>dispensing</w:t>
      </w:r>
      <w:proofErr w:type="spellEnd"/>
      <w:r w:rsidRPr="00865B5D">
        <w:rPr>
          <w:rFonts w:ascii="Book Antiqua" w:hAnsi="Book Antiqua"/>
          <w:i/>
          <w:iCs/>
          <w:lang w:val="es-PR"/>
        </w:rPr>
        <w:t xml:space="preserve"> fee” en los servicios farmacéuticos; sobre las tarifas de las pruebas o análisis clínicos realizados en los laboratorios y sobre las tarifas a pagar por los dispositivos médicos que sean cubiertos dentro del Plan de Salud Gubernamental; que será obligatoria para las aseguradoras y organizaciones de cuidado de la salud, </w:t>
      </w:r>
      <w:r w:rsidRPr="00865B5D">
        <w:rPr>
          <w:rFonts w:ascii="Book Antiqua" w:hAnsi="Book Antiqua"/>
          <w:i/>
          <w:iCs/>
          <w:lang w:val="es-ES_tradnl"/>
        </w:rPr>
        <w:t xml:space="preserve">manejadores o administradores de beneficios de farmacia, terceros administradores o cualquier entidad a la que se le haya delegado por parte de la </w:t>
      </w:r>
      <w:r w:rsidRPr="00865B5D">
        <w:rPr>
          <w:rFonts w:ascii="Book Antiqua" w:hAnsi="Book Antiqua"/>
          <w:i/>
          <w:iCs/>
          <w:lang w:val="es-PR"/>
        </w:rPr>
        <w:t xml:space="preserve">aseguradora </w:t>
      </w:r>
      <w:proofErr w:type="spellStart"/>
      <w:r w:rsidRPr="00865B5D">
        <w:rPr>
          <w:rFonts w:ascii="Book Antiqua" w:hAnsi="Book Antiqua"/>
          <w:i/>
          <w:iCs/>
          <w:lang w:val="es-PR"/>
        </w:rPr>
        <w:t>o</w:t>
      </w:r>
      <w:proofErr w:type="spellEnd"/>
      <w:r w:rsidRPr="00865B5D">
        <w:rPr>
          <w:rFonts w:ascii="Book Antiqua" w:hAnsi="Book Antiqua"/>
          <w:i/>
          <w:iCs/>
          <w:lang w:val="es-PR"/>
        </w:rPr>
        <w:t xml:space="preserve"> organización de cuidado de la salud</w:t>
      </w:r>
      <w:r w:rsidRPr="00865B5D">
        <w:rPr>
          <w:rFonts w:ascii="Book Antiqua" w:hAnsi="Book Antiqua"/>
          <w:i/>
          <w:iCs/>
          <w:lang w:val="es-ES_tradnl"/>
        </w:rPr>
        <w:t xml:space="preserve"> la administración o manejo de los servicios o beneficios dentro de</w:t>
      </w:r>
      <w:r w:rsidRPr="00865B5D">
        <w:rPr>
          <w:rFonts w:ascii="Book Antiqua" w:hAnsi="Book Antiqua"/>
          <w:i/>
          <w:iCs/>
          <w:lang w:val="es-PR"/>
        </w:rPr>
        <w:t xml:space="preserve"> en sus procesos de contratación con dichos proveedores.  Este sistema de tarifas de compensación mínima se realizará de conformidad con los principios actuariales y financieros </w:t>
      </w:r>
      <w:r w:rsidRPr="00865B5D">
        <w:rPr>
          <w:rFonts w:ascii="Book Antiqua" w:hAnsi="Book Antiqua"/>
          <w:i/>
          <w:iCs/>
          <w:lang w:val="es-PR"/>
        </w:rPr>
        <w:lastRenderedPageBreak/>
        <w:t>generalmente usados en los sectores de servicios de salud tanto local como nacional y a base a un estudio de costos del servicio o procedimiento para el cual se establecerá la tarifa de compensación mínima; provisto, que dicho sistema de tarifas de compensación mínima no tendrá el propósito de establecer tarifas específicas para la compensación de servicios de salud particulares, sino proveer los límites mínimos congruentes con la compensación apropiada a los proveedores, según determinado por la Administración a base de su peritaje y de las condiciones del mercado de servicios de salud generalmente aceptadas.  La Administración creará y adoptará los reglamentos, protocolos y metodología apropiados para fijar estas tarifas de compensación mínima, los cuales serán revisados de tiempo en tiempo para actualizar su contenido y congruencia con las condiciones del mercado.</w:t>
      </w:r>
    </w:p>
    <w:p w14:paraId="63170C1D" w14:textId="77777777" w:rsidR="00865B5D" w:rsidRPr="00865B5D" w:rsidRDefault="00865B5D" w:rsidP="00865B5D">
      <w:pPr>
        <w:spacing w:line="480" w:lineRule="auto"/>
        <w:ind w:left="1440"/>
        <w:jc w:val="both"/>
        <w:rPr>
          <w:rFonts w:ascii="Book Antiqua" w:hAnsi="Book Antiqua"/>
          <w:i/>
          <w:iCs/>
          <w:lang w:val="es-PR"/>
        </w:rPr>
      </w:pPr>
      <w:r w:rsidRPr="00865B5D">
        <w:rPr>
          <w:rFonts w:ascii="Book Antiqua" w:hAnsi="Book Antiqua"/>
          <w:i/>
          <w:iCs/>
          <w:lang w:val="es-PR"/>
        </w:rPr>
        <w:t xml:space="preserve">(u) </w:t>
      </w:r>
      <w:r w:rsidRPr="00865B5D">
        <w:rPr>
          <w:rFonts w:ascii="Book Antiqua" w:hAnsi="Book Antiqua"/>
          <w:i/>
          <w:iCs/>
          <w:lang w:val="es-PR"/>
        </w:rPr>
        <w:tab/>
        <w:t xml:space="preserve">La Administración, con el fin de garantizar la sana administración y transparencia financiera, podrá auditar, monitorear y fiscalizar todo lo relacionado a los acuerdos de compensación entre las aseguradoras, los </w:t>
      </w:r>
      <w:r w:rsidRPr="00865B5D">
        <w:rPr>
          <w:rFonts w:ascii="Book Antiqua" w:hAnsi="Book Antiqua"/>
          <w:i/>
          <w:iCs/>
          <w:lang w:val="es-ES_tradnl"/>
        </w:rPr>
        <w:t xml:space="preserve">manejadores o administradores de beneficios de farmacia, terceros administradores o cualquier entidad a la que se le haya delegado por parte de la </w:t>
      </w:r>
      <w:r w:rsidRPr="00865B5D">
        <w:rPr>
          <w:rFonts w:ascii="Book Antiqua" w:hAnsi="Book Antiqua"/>
          <w:i/>
          <w:iCs/>
          <w:lang w:val="es-PR"/>
        </w:rPr>
        <w:t>aseguradora organización de cuidado de la salud</w:t>
      </w:r>
      <w:r w:rsidRPr="00865B5D">
        <w:rPr>
          <w:rFonts w:ascii="Book Antiqua" w:hAnsi="Book Antiqua"/>
          <w:i/>
          <w:iCs/>
          <w:lang w:val="es-ES_tradnl"/>
        </w:rPr>
        <w:t xml:space="preserve"> la administración o manejo de dichos contratos</w:t>
      </w:r>
      <w:r w:rsidRPr="00865B5D">
        <w:rPr>
          <w:rFonts w:ascii="Book Antiqua" w:hAnsi="Book Antiqua"/>
          <w:i/>
          <w:iCs/>
          <w:lang w:val="es-PR"/>
        </w:rPr>
        <w:t xml:space="preserve"> y los proveedores de servicio, incluyendo, pero no limitado a, los pagos bajo capitación, por tarifa, distribución de riesgo, retenciones o incentivos hechos a los proveedores.  La capacidad de fiscalización, auditoría y monitoreo de la Administración, según lo dispuesto en este inciso, sobre las organizaciones de cuidado de salud o de sus intermediarios y sobre los proveedores no estará limitada por la relación contractual </w:t>
      </w:r>
      <w:r w:rsidRPr="00865B5D">
        <w:rPr>
          <w:rFonts w:ascii="Book Antiqua" w:hAnsi="Book Antiqua"/>
          <w:i/>
          <w:iCs/>
          <w:lang w:val="es-PR"/>
        </w:rPr>
        <w:lastRenderedPageBreak/>
        <w:t>que vincula el proveedor con la aseguradora o sus intermediarios, de manera que la Administración podrá directamente intervenir y administrar cualquier proceso de fiscalización con el fin de garantizar el cumplimiento de la sana administración y transparencia financiera, y de conformidad con las leyes y regulaciones federales aplicables, el Plan Estatal de Medicaid para Puerto Rico, y las leyes y reglamentos de Puerto Rico.”</w:t>
      </w:r>
    </w:p>
    <w:p w14:paraId="44169AE6" w14:textId="77777777" w:rsidR="00865B5D" w:rsidRPr="00865B5D" w:rsidRDefault="00865B5D" w:rsidP="00865B5D">
      <w:pPr>
        <w:spacing w:line="480" w:lineRule="auto"/>
        <w:ind w:firstLine="360"/>
        <w:jc w:val="both"/>
        <w:rPr>
          <w:rFonts w:ascii="Book Antiqua" w:hAnsi="Book Antiqua"/>
          <w:lang w:val="es-PR"/>
        </w:rPr>
      </w:pPr>
      <w:r w:rsidRPr="00865B5D">
        <w:rPr>
          <w:rFonts w:ascii="Book Antiqua" w:hAnsi="Book Antiqua"/>
          <w:lang w:val="es-PR"/>
        </w:rPr>
        <w:t>Sección 2.-Se enmienda la Sección 2 del Artículo VII de la Ley 72-1993, según enmendada, para que lea como sigue:</w:t>
      </w:r>
    </w:p>
    <w:p w14:paraId="0CB4EC03" w14:textId="77777777" w:rsidR="00865B5D" w:rsidRPr="00865B5D" w:rsidRDefault="00865B5D" w:rsidP="00865B5D">
      <w:pPr>
        <w:spacing w:line="480" w:lineRule="auto"/>
        <w:ind w:firstLine="360"/>
        <w:jc w:val="center"/>
        <w:rPr>
          <w:rFonts w:ascii="Book Antiqua" w:hAnsi="Book Antiqua"/>
          <w:lang w:val="es-PR"/>
        </w:rPr>
      </w:pPr>
      <w:r w:rsidRPr="00865B5D">
        <w:rPr>
          <w:rFonts w:ascii="Book Antiqua" w:hAnsi="Book Antiqua"/>
          <w:lang w:val="es-PR"/>
        </w:rPr>
        <w:t>“ARTÍCULO VII. — INFORMES</w:t>
      </w:r>
    </w:p>
    <w:p w14:paraId="05DBE390" w14:textId="77777777" w:rsidR="00865B5D" w:rsidRPr="00865B5D" w:rsidRDefault="00865B5D" w:rsidP="00865B5D">
      <w:pPr>
        <w:spacing w:line="480" w:lineRule="auto"/>
        <w:ind w:left="360" w:firstLine="360"/>
        <w:jc w:val="both"/>
        <w:rPr>
          <w:rFonts w:ascii="Book Antiqua" w:hAnsi="Book Antiqua"/>
          <w:lang w:val="es-PR"/>
        </w:rPr>
      </w:pPr>
      <w:r w:rsidRPr="00865B5D">
        <w:rPr>
          <w:rFonts w:ascii="Book Antiqua" w:hAnsi="Book Antiqua"/>
          <w:lang w:val="es-PR"/>
        </w:rPr>
        <w:t>…</w:t>
      </w:r>
    </w:p>
    <w:p w14:paraId="5AEC36FA" w14:textId="77777777" w:rsidR="00865B5D" w:rsidRPr="00865B5D" w:rsidRDefault="00865B5D" w:rsidP="00865B5D">
      <w:pPr>
        <w:spacing w:line="480" w:lineRule="auto"/>
        <w:ind w:left="360" w:firstLine="360"/>
        <w:jc w:val="both"/>
        <w:rPr>
          <w:rFonts w:ascii="Book Antiqua" w:hAnsi="Book Antiqua"/>
          <w:lang w:val="es-PR"/>
        </w:rPr>
      </w:pPr>
      <w:r w:rsidRPr="00865B5D">
        <w:rPr>
          <w:rFonts w:ascii="Book Antiqua" w:hAnsi="Book Antiqua"/>
          <w:lang w:val="es-PR"/>
        </w:rPr>
        <w:t xml:space="preserve">Sección 2. — Informes de las aseguradoras. </w:t>
      </w:r>
    </w:p>
    <w:p w14:paraId="05487F14" w14:textId="77777777" w:rsidR="00865B5D" w:rsidRPr="00865B5D" w:rsidRDefault="00865B5D" w:rsidP="00865B5D">
      <w:pPr>
        <w:spacing w:line="480" w:lineRule="auto"/>
        <w:ind w:left="720" w:firstLine="360"/>
        <w:jc w:val="both"/>
        <w:rPr>
          <w:rFonts w:ascii="Book Antiqua" w:hAnsi="Book Antiqua"/>
          <w:lang w:val="es-PR"/>
        </w:rPr>
      </w:pPr>
      <w:r w:rsidRPr="00865B5D">
        <w:rPr>
          <w:rFonts w:ascii="Book Antiqua" w:hAnsi="Book Antiqua"/>
          <w:lang w:val="es-PR"/>
        </w:rPr>
        <w:t xml:space="preserve">Dentro de los </w:t>
      </w:r>
      <w:r w:rsidRPr="00865B5D">
        <w:rPr>
          <w:rFonts w:ascii="Book Antiqua" w:hAnsi="Book Antiqua"/>
          <w:b/>
          <w:bCs/>
          <w:lang w:val="es-PR"/>
        </w:rPr>
        <w:t>[sesenta (60)]</w:t>
      </w:r>
      <w:r w:rsidRPr="00865B5D">
        <w:rPr>
          <w:rFonts w:ascii="Book Antiqua" w:hAnsi="Book Antiqua"/>
          <w:lang w:val="es-PR"/>
        </w:rPr>
        <w:t xml:space="preserve"> </w:t>
      </w:r>
      <w:r w:rsidRPr="00865B5D">
        <w:rPr>
          <w:rFonts w:ascii="Book Antiqua" w:hAnsi="Book Antiqua"/>
          <w:i/>
          <w:iCs/>
          <w:lang w:val="es-PR"/>
        </w:rPr>
        <w:t>noventa (90)</w:t>
      </w:r>
      <w:r w:rsidRPr="00865B5D">
        <w:rPr>
          <w:rFonts w:ascii="Book Antiqua" w:hAnsi="Book Antiqua"/>
          <w:lang w:val="es-PR"/>
        </w:rPr>
        <w:t xml:space="preserve"> días al cierre de cada año fiscal, cada asegurador someterá a la Administración un informe estadístico de sus actividades. Una vez recopilada y analizada por la Administración, </w:t>
      </w:r>
      <w:r w:rsidRPr="00865B5D">
        <w:rPr>
          <w:rFonts w:ascii="Book Antiqua" w:hAnsi="Book Antiqua"/>
          <w:b/>
          <w:bCs/>
          <w:lang w:val="es-PR"/>
        </w:rPr>
        <w:t>[ésta de requerírsele, deberá someterla]</w:t>
      </w:r>
      <w:r w:rsidRPr="00865B5D">
        <w:rPr>
          <w:rFonts w:ascii="Book Antiqua" w:hAnsi="Book Antiqua"/>
          <w:lang w:val="es-PR"/>
        </w:rPr>
        <w:t xml:space="preserve"> </w:t>
      </w:r>
      <w:r w:rsidRPr="00865B5D">
        <w:rPr>
          <w:rFonts w:ascii="Book Antiqua" w:hAnsi="Book Antiqua"/>
          <w:i/>
          <w:iCs/>
          <w:lang w:val="es-PR"/>
        </w:rPr>
        <w:t>esta deberá someter dicho informe estadístico</w:t>
      </w:r>
      <w:r w:rsidRPr="00865B5D">
        <w:rPr>
          <w:rFonts w:ascii="Book Antiqua" w:hAnsi="Book Antiqua"/>
          <w:lang w:val="es-PR"/>
        </w:rPr>
        <w:t xml:space="preserve"> al Gobernador y a la Asamblea Legislativa. Dicho informe estadístico deberá incluir, como mínimo, lo siguiente:</w:t>
      </w:r>
    </w:p>
    <w:p w14:paraId="32CC369E" w14:textId="77777777" w:rsidR="00865B5D" w:rsidRPr="00865B5D" w:rsidRDefault="00865B5D" w:rsidP="00865B5D">
      <w:pPr>
        <w:numPr>
          <w:ilvl w:val="0"/>
          <w:numId w:val="8"/>
        </w:numPr>
        <w:spacing w:line="480" w:lineRule="auto"/>
        <w:ind w:left="2160"/>
        <w:jc w:val="both"/>
        <w:rPr>
          <w:rFonts w:ascii="Book Antiqua" w:hAnsi="Book Antiqua"/>
          <w:lang w:val="es-PR"/>
        </w:rPr>
      </w:pPr>
      <w:r w:rsidRPr="00865B5D">
        <w:rPr>
          <w:rFonts w:ascii="Book Antiqua" w:hAnsi="Book Antiqua"/>
          <w:lang w:val="es-PR"/>
        </w:rPr>
        <w:t xml:space="preserve">… </w:t>
      </w:r>
    </w:p>
    <w:p w14:paraId="5099E95C" w14:textId="77777777" w:rsidR="00865B5D" w:rsidRPr="00865B5D" w:rsidRDefault="00865B5D" w:rsidP="00865B5D">
      <w:pPr>
        <w:numPr>
          <w:ilvl w:val="0"/>
          <w:numId w:val="8"/>
        </w:numPr>
        <w:spacing w:line="480" w:lineRule="auto"/>
        <w:ind w:left="2160"/>
        <w:jc w:val="both"/>
        <w:rPr>
          <w:rFonts w:ascii="Book Antiqua" w:hAnsi="Book Antiqua"/>
          <w:lang w:val="es-PR"/>
        </w:rPr>
      </w:pPr>
      <w:r w:rsidRPr="00865B5D">
        <w:rPr>
          <w:rFonts w:ascii="Book Antiqua" w:hAnsi="Book Antiqua"/>
          <w:lang w:val="es-PR"/>
        </w:rPr>
        <w:t>…</w:t>
      </w:r>
    </w:p>
    <w:p w14:paraId="2CACF7A8" w14:textId="77777777" w:rsidR="00865B5D" w:rsidRPr="00865B5D" w:rsidRDefault="00865B5D" w:rsidP="00865B5D">
      <w:pPr>
        <w:spacing w:line="480" w:lineRule="auto"/>
        <w:ind w:left="720" w:firstLine="720"/>
        <w:jc w:val="both"/>
        <w:rPr>
          <w:rFonts w:ascii="Book Antiqua" w:hAnsi="Book Antiqua"/>
          <w:lang w:val="es-PR"/>
        </w:rPr>
      </w:pPr>
      <w:r w:rsidRPr="00865B5D">
        <w:rPr>
          <w:rFonts w:ascii="Book Antiqua" w:hAnsi="Book Antiqua"/>
          <w:lang w:val="es-PR"/>
        </w:rPr>
        <w:t>…</w:t>
      </w:r>
    </w:p>
    <w:p w14:paraId="271D7276" w14:textId="77777777" w:rsidR="00865B5D" w:rsidRPr="00865B5D" w:rsidRDefault="00865B5D" w:rsidP="00865B5D">
      <w:pPr>
        <w:spacing w:line="480" w:lineRule="auto"/>
        <w:ind w:left="720" w:firstLine="720"/>
        <w:jc w:val="both"/>
        <w:rPr>
          <w:rFonts w:ascii="Book Antiqua" w:hAnsi="Book Antiqua"/>
          <w:lang w:val="es-PR"/>
        </w:rPr>
      </w:pPr>
      <w:r w:rsidRPr="00865B5D">
        <w:rPr>
          <w:rFonts w:ascii="Book Antiqua" w:hAnsi="Book Antiqua"/>
          <w:lang w:val="es-PR"/>
        </w:rPr>
        <w:t xml:space="preserve">(s) </w:t>
      </w:r>
      <w:r w:rsidRPr="00865B5D">
        <w:rPr>
          <w:rFonts w:ascii="Book Antiqua" w:hAnsi="Book Antiqua"/>
          <w:lang w:val="es-PR"/>
        </w:rPr>
        <w:tab/>
        <w:t>...</w:t>
      </w:r>
    </w:p>
    <w:p w14:paraId="79CFCAF1" w14:textId="77777777" w:rsidR="00865B5D" w:rsidRPr="00865B5D" w:rsidRDefault="00865B5D" w:rsidP="00865B5D">
      <w:pPr>
        <w:spacing w:line="480" w:lineRule="auto"/>
        <w:ind w:left="720" w:firstLine="360"/>
        <w:jc w:val="both"/>
        <w:rPr>
          <w:rFonts w:ascii="Book Antiqua" w:hAnsi="Book Antiqua"/>
          <w:lang w:val="es-PR"/>
        </w:rPr>
      </w:pPr>
      <w:r w:rsidRPr="00865B5D">
        <w:rPr>
          <w:rFonts w:ascii="Book Antiqua" w:hAnsi="Book Antiqua"/>
          <w:lang w:val="es-PR"/>
        </w:rPr>
        <w:lastRenderedPageBreak/>
        <w:t xml:space="preserve">Cualquier persona o aseguradora que se negare a brindar la información antes descrita, o rehusare producir cualquier documento que se le solicitare, incurrirá en un delito menos grave que aparejará una pena de no más de mil (1,000) dólares ni menos de cien (100) dólares o cárcel por no más de doce (12) meses ni menos de un (1) mes, o ambas penas. El </w:t>
      </w:r>
      <w:proofErr w:type="gramStart"/>
      <w:r w:rsidRPr="00865B5D">
        <w:rPr>
          <w:rFonts w:ascii="Book Antiqua" w:hAnsi="Book Antiqua"/>
          <w:lang w:val="es-PR"/>
        </w:rPr>
        <w:t>Director Ejecutivo</w:t>
      </w:r>
      <w:proofErr w:type="gramEnd"/>
      <w:r w:rsidRPr="00865B5D">
        <w:rPr>
          <w:rFonts w:ascii="Book Antiqua" w:hAnsi="Book Antiqua"/>
          <w:lang w:val="es-PR"/>
        </w:rPr>
        <w:t xml:space="preserve"> de la Administración podrá recurrir al Tribunal de Primera Instancia de Puerto Rico, Sala de San Juan, a fin de compeler la divulgación de la información solicitada.”</w:t>
      </w:r>
    </w:p>
    <w:p w14:paraId="06D6750A" w14:textId="77777777" w:rsidR="00865B5D" w:rsidRPr="00865B5D" w:rsidRDefault="00865B5D" w:rsidP="00865B5D">
      <w:pPr>
        <w:spacing w:line="480" w:lineRule="auto"/>
        <w:ind w:firstLine="360"/>
        <w:jc w:val="both"/>
        <w:rPr>
          <w:rFonts w:ascii="Book Antiqua" w:hAnsi="Book Antiqua"/>
          <w:lang w:val="es-PR"/>
        </w:rPr>
      </w:pPr>
      <w:r w:rsidRPr="00865B5D">
        <w:rPr>
          <w:rFonts w:ascii="Book Antiqua" w:hAnsi="Book Antiqua"/>
          <w:lang w:val="es-PR"/>
        </w:rPr>
        <w:t xml:space="preserve">Sección 3.-Reglamentación. </w:t>
      </w:r>
    </w:p>
    <w:p w14:paraId="08240CA2" w14:textId="77777777" w:rsidR="00865B5D" w:rsidRPr="00865B5D" w:rsidRDefault="00865B5D" w:rsidP="00865B5D">
      <w:pPr>
        <w:spacing w:line="480" w:lineRule="auto"/>
        <w:ind w:left="360" w:firstLine="360"/>
        <w:jc w:val="both"/>
        <w:rPr>
          <w:rFonts w:ascii="Book Antiqua" w:hAnsi="Book Antiqua"/>
          <w:lang w:val="es-PR"/>
        </w:rPr>
      </w:pPr>
      <w:r w:rsidRPr="00865B5D">
        <w:rPr>
          <w:rFonts w:ascii="Book Antiqua" w:hAnsi="Book Antiqua"/>
          <w:lang w:val="es-PR"/>
        </w:rPr>
        <w:t xml:space="preserve">Se ordena a la Administración de Seguros de Salud a tomar todas las medidas administrativas y reglamentarias necesarias a fin de lograr la efectiva consecución de lo dispuesto en esta Ley. </w:t>
      </w:r>
    </w:p>
    <w:p w14:paraId="6999E883" w14:textId="77777777" w:rsidR="00865B5D" w:rsidRPr="00865B5D" w:rsidRDefault="00865B5D" w:rsidP="00865B5D">
      <w:pPr>
        <w:spacing w:line="480" w:lineRule="auto"/>
        <w:ind w:firstLine="360"/>
        <w:jc w:val="both"/>
        <w:rPr>
          <w:rFonts w:ascii="Book Antiqua" w:hAnsi="Book Antiqua"/>
          <w:lang w:val="es-PR"/>
        </w:rPr>
      </w:pPr>
      <w:r w:rsidRPr="00865B5D">
        <w:rPr>
          <w:rFonts w:ascii="Book Antiqua" w:hAnsi="Book Antiqua"/>
          <w:lang w:val="es-PR"/>
        </w:rPr>
        <w:t>Sección 4.-Cláusula de Separabilidad</w:t>
      </w:r>
    </w:p>
    <w:p w14:paraId="6F97E797" w14:textId="77777777" w:rsidR="00865B5D" w:rsidRPr="00865B5D" w:rsidRDefault="00865B5D" w:rsidP="00865B5D">
      <w:pPr>
        <w:spacing w:line="480" w:lineRule="auto"/>
        <w:ind w:left="360" w:firstLine="360"/>
        <w:jc w:val="both"/>
        <w:rPr>
          <w:rFonts w:ascii="Book Antiqua" w:hAnsi="Book Antiqua"/>
          <w:lang w:val="es-PR"/>
        </w:rPr>
      </w:pPr>
      <w:r w:rsidRPr="00865B5D">
        <w:rPr>
          <w:rFonts w:ascii="Book Antiqua" w:hAnsi="Book Antiqua"/>
          <w:lang w:val="es-PR"/>
        </w:rPr>
        <w:t>Si cualquier parte de esta Ley fuere declarada inconstitucional por un tribunal competente, la sentencia a tal efecto dictada no afectará, perjudicará ni invalidará el resto de la Ley.  El efecto quedará limitado a la parte específica de la Ley que así hubiere sido declarada inconstitucional.</w:t>
      </w:r>
    </w:p>
    <w:p w14:paraId="5999DC87" w14:textId="77777777" w:rsidR="00865B5D" w:rsidRPr="00865B5D" w:rsidRDefault="00865B5D" w:rsidP="00865B5D">
      <w:pPr>
        <w:spacing w:line="480" w:lineRule="auto"/>
        <w:ind w:firstLine="360"/>
        <w:jc w:val="both"/>
        <w:rPr>
          <w:rFonts w:ascii="Book Antiqua" w:hAnsi="Book Antiqua"/>
          <w:lang w:val="es-PR"/>
        </w:rPr>
      </w:pPr>
      <w:r w:rsidRPr="00865B5D">
        <w:rPr>
          <w:rFonts w:ascii="Book Antiqua" w:hAnsi="Book Antiqua"/>
          <w:lang w:val="es-PR"/>
        </w:rPr>
        <w:t>Sección 5.-Vigencia</w:t>
      </w:r>
    </w:p>
    <w:p w14:paraId="77306F91" w14:textId="77777777" w:rsidR="00865B5D" w:rsidRPr="00865B5D" w:rsidRDefault="00865B5D" w:rsidP="00865B5D">
      <w:pPr>
        <w:spacing w:line="480" w:lineRule="auto"/>
        <w:ind w:left="360" w:firstLine="360"/>
        <w:jc w:val="both"/>
        <w:rPr>
          <w:rFonts w:ascii="Book Antiqua" w:hAnsi="Book Antiqua"/>
          <w:lang w:val="es-PR"/>
        </w:rPr>
      </w:pPr>
      <w:r w:rsidRPr="00865B5D">
        <w:rPr>
          <w:rFonts w:ascii="Book Antiqua" w:hAnsi="Book Antiqua"/>
          <w:lang w:val="es-PR"/>
        </w:rPr>
        <w:t>Esta Ley comenzará a regir inmediatamente después de su aprobación.</w:t>
      </w:r>
    </w:p>
    <w:sectPr w:rsidR="00865B5D" w:rsidRPr="00865B5D" w:rsidSect="00D67A3B">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2160CC" w14:textId="77777777" w:rsidR="007C2773" w:rsidRDefault="007C2773">
      <w:r>
        <w:separator/>
      </w:r>
    </w:p>
  </w:endnote>
  <w:endnote w:type="continuationSeparator" w:id="0">
    <w:p w14:paraId="1A8B93D7" w14:textId="77777777" w:rsidR="007C2773" w:rsidRDefault="007C2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D0CCF6" w14:textId="77777777" w:rsidR="007C2773" w:rsidRDefault="007C2773">
      <w:r>
        <w:separator/>
      </w:r>
    </w:p>
  </w:footnote>
  <w:footnote w:type="continuationSeparator" w:id="0">
    <w:p w14:paraId="7A25D49A" w14:textId="77777777" w:rsidR="007C2773" w:rsidRDefault="007C27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DC80E"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A3911">
      <w:rPr>
        <w:rStyle w:val="PageNumber"/>
        <w:noProof/>
      </w:rPr>
      <w:t>6</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6826FD"/>
    <w:multiLevelType w:val="hybridMultilevel"/>
    <w:tmpl w:val="57803B94"/>
    <w:lvl w:ilvl="0" w:tplc="8CA4EBF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42976A9"/>
    <w:multiLevelType w:val="hybridMultilevel"/>
    <w:tmpl w:val="E31C40EC"/>
    <w:lvl w:ilvl="0" w:tplc="B7DAB324">
      <w:start w:val="4"/>
      <w:numFmt w:val="lowerLetter"/>
      <w:lvlText w:val="(%1)"/>
      <w:lvlJc w:val="left"/>
      <w:pPr>
        <w:ind w:left="720" w:hanging="360"/>
      </w:pPr>
      <w:rPr>
        <w:rFonts w:ascii="Times New Roman" w:hAnsi="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CC519D4"/>
    <w:multiLevelType w:val="hybridMultilevel"/>
    <w:tmpl w:val="4AE6D8F0"/>
    <w:lvl w:ilvl="0" w:tplc="7B4EDCE2">
      <w:start w:val="1"/>
      <w:numFmt w:val="lowerLetter"/>
      <w:lvlText w:val="(%1)"/>
      <w:lvlJc w:val="left"/>
      <w:pPr>
        <w:ind w:left="1440" w:hanging="630"/>
      </w:pPr>
      <w:rPr>
        <w:rFonts w:hint="default"/>
      </w:rPr>
    </w:lvl>
    <w:lvl w:ilvl="1" w:tplc="540A0019" w:tentative="1">
      <w:start w:val="1"/>
      <w:numFmt w:val="lowerLetter"/>
      <w:lvlText w:val="%2."/>
      <w:lvlJc w:val="left"/>
      <w:pPr>
        <w:ind w:left="1890" w:hanging="360"/>
      </w:pPr>
    </w:lvl>
    <w:lvl w:ilvl="2" w:tplc="540A001B" w:tentative="1">
      <w:start w:val="1"/>
      <w:numFmt w:val="lowerRoman"/>
      <w:lvlText w:val="%3."/>
      <w:lvlJc w:val="right"/>
      <w:pPr>
        <w:ind w:left="2610" w:hanging="180"/>
      </w:pPr>
    </w:lvl>
    <w:lvl w:ilvl="3" w:tplc="540A000F" w:tentative="1">
      <w:start w:val="1"/>
      <w:numFmt w:val="decimal"/>
      <w:lvlText w:val="%4."/>
      <w:lvlJc w:val="left"/>
      <w:pPr>
        <w:ind w:left="3330" w:hanging="360"/>
      </w:pPr>
    </w:lvl>
    <w:lvl w:ilvl="4" w:tplc="540A0019" w:tentative="1">
      <w:start w:val="1"/>
      <w:numFmt w:val="lowerLetter"/>
      <w:lvlText w:val="%5."/>
      <w:lvlJc w:val="left"/>
      <w:pPr>
        <w:ind w:left="4050" w:hanging="360"/>
      </w:pPr>
    </w:lvl>
    <w:lvl w:ilvl="5" w:tplc="540A001B" w:tentative="1">
      <w:start w:val="1"/>
      <w:numFmt w:val="lowerRoman"/>
      <w:lvlText w:val="%6."/>
      <w:lvlJc w:val="right"/>
      <w:pPr>
        <w:ind w:left="4770" w:hanging="180"/>
      </w:pPr>
    </w:lvl>
    <w:lvl w:ilvl="6" w:tplc="540A000F" w:tentative="1">
      <w:start w:val="1"/>
      <w:numFmt w:val="decimal"/>
      <w:lvlText w:val="%7."/>
      <w:lvlJc w:val="left"/>
      <w:pPr>
        <w:ind w:left="5490" w:hanging="360"/>
      </w:pPr>
    </w:lvl>
    <w:lvl w:ilvl="7" w:tplc="540A0019" w:tentative="1">
      <w:start w:val="1"/>
      <w:numFmt w:val="lowerLetter"/>
      <w:lvlText w:val="%8."/>
      <w:lvlJc w:val="left"/>
      <w:pPr>
        <w:ind w:left="6210" w:hanging="360"/>
      </w:pPr>
    </w:lvl>
    <w:lvl w:ilvl="8" w:tplc="540A001B" w:tentative="1">
      <w:start w:val="1"/>
      <w:numFmt w:val="lowerRoman"/>
      <w:lvlText w:val="%9."/>
      <w:lvlJc w:val="right"/>
      <w:pPr>
        <w:ind w:left="6930" w:hanging="180"/>
      </w:pPr>
    </w:lvl>
  </w:abstractNum>
  <w:abstractNum w:abstractNumId="3" w15:restartNumberingAfterBreak="0">
    <w:nsid w:val="4A7D5C8F"/>
    <w:multiLevelType w:val="hybridMultilevel"/>
    <w:tmpl w:val="82FC6BA0"/>
    <w:lvl w:ilvl="0" w:tplc="81446E9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AFB51C8"/>
    <w:multiLevelType w:val="hybridMultilevel"/>
    <w:tmpl w:val="903E341A"/>
    <w:lvl w:ilvl="0" w:tplc="A8CAD352">
      <w:start w:val="1"/>
      <w:numFmt w:val="lowerLetter"/>
      <w:lvlText w:val="(%1)"/>
      <w:lvlJc w:val="left"/>
      <w:pPr>
        <w:ind w:left="720" w:hanging="360"/>
      </w:pPr>
      <w:rPr>
        <w:rFonts w:ascii="Times New Roman" w:hAnsi="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B204E88"/>
    <w:multiLevelType w:val="hybridMultilevel"/>
    <w:tmpl w:val="84203614"/>
    <w:lvl w:ilvl="0" w:tplc="4BD244E6">
      <w:start w:val="1"/>
      <w:numFmt w:val="lowerLetter"/>
      <w:lvlText w:val="(%1)"/>
      <w:lvlJc w:val="left"/>
      <w:pPr>
        <w:ind w:left="720" w:hanging="720"/>
      </w:pPr>
      <w:rPr>
        <w:rFonts w:hint="default"/>
      </w:rPr>
    </w:lvl>
    <w:lvl w:ilvl="1" w:tplc="540A0019" w:tentative="1">
      <w:start w:val="1"/>
      <w:numFmt w:val="lowerLetter"/>
      <w:lvlText w:val="%2."/>
      <w:lvlJc w:val="left"/>
      <w:pPr>
        <w:ind w:left="1080" w:hanging="360"/>
      </w:pPr>
    </w:lvl>
    <w:lvl w:ilvl="2" w:tplc="540A001B" w:tentative="1">
      <w:start w:val="1"/>
      <w:numFmt w:val="lowerRoman"/>
      <w:lvlText w:val="%3."/>
      <w:lvlJc w:val="right"/>
      <w:pPr>
        <w:ind w:left="1800" w:hanging="180"/>
      </w:pPr>
    </w:lvl>
    <w:lvl w:ilvl="3" w:tplc="540A000F" w:tentative="1">
      <w:start w:val="1"/>
      <w:numFmt w:val="decimal"/>
      <w:lvlText w:val="%4."/>
      <w:lvlJc w:val="left"/>
      <w:pPr>
        <w:ind w:left="2520" w:hanging="360"/>
      </w:pPr>
    </w:lvl>
    <w:lvl w:ilvl="4" w:tplc="540A0019" w:tentative="1">
      <w:start w:val="1"/>
      <w:numFmt w:val="lowerLetter"/>
      <w:lvlText w:val="%5."/>
      <w:lvlJc w:val="left"/>
      <w:pPr>
        <w:ind w:left="3240" w:hanging="360"/>
      </w:pPr>
    </w:lvl>
    <w:lvl w:ilvl="5" w:tplc="540A001B" w:tentative="1">
      <w:start w:val="1"/>
      <w:numFmt w:val="lowerRoman"/>
      <w:lvlText w:val="%6."/>
      <w:lvlJc w:val="right"/>
      <w:pPr>
        <w:ind w:left="3960" w:hanging="180"/>
      </w:pPr>
    </w:lvl>
    <w:lvl w:ilvl="6" w:tplc="540A000F" w:tentative="1">
      <w:start w:val="1"/>
      <w:numFmt w:val="decimal"/>
      <w:lvlText w:val="%7."/>
      <w:lvlJc w:val="left"/>
      <w:pPr>
        <w:ind w:left="4680" w:hanging="360"/>
      </w:pPr>
    </w:lvl>
    <w:lvl w:ilvl="7" w:tplc="540A0019" w:tentative="1">
      <w:start w:val="1"/>
      <w:numFmt w:val="lowerLetter"/>
      <w:lvlText w:val="%8."/>
      <w:lvlJc w:val="left"/>
      <w:pPr>
        <w:ind w:left="5400" w:hanging="360"/>
      </w:pPr>
    </w:lvl>
    <w:lvl w:ilvl="8" w:tplc="540A001B" w:tentative="1">
      <w:start w:val="1"/>
      <w:numFmt w:val="lowerRoman"/>
      <w:lvlText w:val="%9."/>
      <w:lvlJc w:val="right"/>
      <w:pPr>
        <w:ind w:left="6120" w:hanging="180"/>
      </w:pPr>
    </w:lvl>
  </w:abstractNum>
  <w:abstractNum w:abstractNumId="6" w15:restartNumberingAfterBreak="0">
    <w:nsid w:val="4C00544A"/>
    <w:multiLevelType w:val="hybridMultilevel"/>
    <w:tmpl w:val="17E4D1A6"/>
    <w:lvl w:ilvl="0" w:tplc="0B840556">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70734B35"/>
    <w:multiLevelType w:val="hybridMultilevel"/>
    <w:tmpl w:val="8312C27C"/>
    <w:lvl w:ilvl="0" w:tplc="360E020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124230903">
    <w:abstractNumId w:val="4"/>
  </w:num>
  <w:num w:numId="2" w16cid:durableId="1359889957">
    <w:abstractNumId w:val="0"/>
  </w:num>
  <w:num w:numId="3" w16cid:durableId="691539406">
    <w:abstractNumId w:val="3"/>
  </w:num>
  <w:num w:numId="4" w16cid:durableId="823349493">
    <w:abstractNumId w:val="7"/>
  </w:num>
  <w:num w:numId="5" w16cid:durableId="843593858">
    <w:abstractNumId w:val="6"/>
  </w:num>
  <w:num w:numId="6" w16cid:durableId="156966070">
    <w:abstractNumId w:val="1"/>
  </w:num>
  <w:num w:numId="7" w16cid:durableId="1977055124">
    <w:abstractNumId w:val="5"/>
  </w:num>
  <w:num w:numId="8" w16cid:durableId="7872850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D67A3B"/>
    <w:rsid w:val="0000055B"/>
    <w:rsid w:val="000174A9"/>
    <w:rsid w:val="00020BBB"/>
    <w:rsid w:val="00047475"/>
    <w:rsid w:val="0005293A"/>
    <w:rsid w:val="00056024"/>
    <w:rsid w:val="00061DD9"/>
    <w:rsid w:val="00072167"/>
    <w:rsid w:val="00082539"/>
    <w:rsid w:val="00095AE1"/>
    <w:rsid w:val="00096BDB"/>
    <w:rsid w:val="000A375B"/>
    <w:rsid w:val="000A6B6C"/>
    <w:rsid w:val="000B0DBB"/>
    <w:rsid w:val="000C2F69"/>
    <w:rsid w:val="000C48E0"/>
    <w:rsid w:val="000D6FE0"/>
    <w:rsid w:val="000D7335"/>
    <w:rsid w:val="000E2EE3"/>
    <w:rsid w:val="00111E71"/>
    <w:rsid w:val="00127C6A"/>
    <w:rsid w:val="00131487"/>
    <w:rsid w:val="001363FE"/>
    <w:rsid w:val="0017132B"/>
    <w:rsid w:val="0018593C"/>
    <w:rsid w:val="0019406A"/>
    <w:rsid w:val="001C523A"/>
    <w:rsid w:val="001F00CE"/>
    <w:rsid w:val="001F18E2"/>
    <w:rsid w:val="001F2FF8"/>
    <w:rsid w:val="001F4CA3"/>
    <w:rsid w:val="001F612A"/>
    <w:rsid w:val="0020203F"/>
    <w:rsid w:val="00203C74"/>
    <w:rsid w:val="00211396"/>
    <w:rsid w:val="00226AE6"/>
    <w:rsid w:val="00231B12"/>
    <w:rsid w:val="002353A1"/>
    <w:rsid w:val="00245416"/>
    <w:rsid w:val="00245B34"/>
    <w:rsid w:val="002522A3"/>
    <w:rsid w:val="00263355"/>
    <w:rsid w:val="00273792"/>
    <w:rsid w:val="00280654"/>
    <w:rsid w:val="00281EB6"/>
    <w:rsid w:val="002B0092"/>
    <w:rsid w:val="002C7670"/>
    <w:rsid w:val="002D4AC8"/>
    <w:rsid w:val="002E0C48"/>
    <w:rsid w:val="00301DA5"/>
    <w:rsid w:val="00306198"/>
    <w:rsid w:val="00320D78"/>
    <w:rsid w:val="00340317"/>
    <w:rsid w:val="00380FE5"/>
    <w:rsid w:val="003924DD"/>
    <w:rsid w:val="003942C0"/>
    <w:rsid w:val="00394FCB"/>
    <w:rsid w:val="00395DC4"/>
    <w:rsid w:val="003963F4"/>
    <w:rsid w:val="003B5254"/>
    <w:rsid w:val="003B75A6"/>
    <w:rsid w:val="003C55BB"/>
    <w:rsid w:val="003E11B3"/>
    <w:rsid w:val="003E77D2"/>
    <w:rsid w:val="004061CA"/>
    <w:rsid w:val="00415689"/>
    <w:rsid w:val="0043506C"/>
    <w:rsid w:val="004440CB"/>
    <w:rsid w:val="004713D2"/>
    <w:rsid w:val="00495E08"/>
    <w:rsid w:val="004B3A63"/>
    <w:rsid w:val="004D0320"/>
    <w:rsid w:val="004F4030"/>
    <w:rsid w:val="0051179D"/>
    <w:rsid w:val="00521639"/>
    <w:rsid w:val="00532BB7"/>
    <w:rsid w:val="005332E4"/>
    <w:rsid w:val="0053550C"/>
    <w:rsid w:val="00555018"/>
    <w:rsid w:val="00562CA2"/>
    <w:rsid w:val="005723DC"/>
    <w:rsid w:val="00575462"/>
    <w:rsid w:val="00584370"/>
    <w:rsid w:val="005A286A"/>
    <w:rsid w:val="005F26F0"/>
    <w:rsid w:val="00604534"/>
    <w:rsid w:val="006210DC"/>
    <w:rsid w:val="00633921"/>
    <w:rsid w:val="0064349D"/>
    <w:rsid w:val="006459AA"/>
    <w:rsid w:val="00645CAA"/>
    <w:rsid w:val="00651163"/>
    <w:rsid w:val="00685549"/>
    <w:rsid w:val="00686EFC"/>
    <w:rsid w:val="006A54B8"/>
    <w:rsid w:val="006B7365"/>
    <w:rsid w:val="006B7D88"/>
    <w:rsid w:val="006C2D81"/>
    <w:rsid w:val="006C7DF8"/>
    <w:rsid w:val="006F7098"/>
    <w:rsid w:val="007038F5"/>
    <w:rsid w:val="00706A0B"/>
    <w:rsid w:val="007268E1"/>
    <w:rsid w:val="00736A4F"/>
    <w:rsid w:val="00750FC8"/>
    <w:rsid w:val="007533D0"/>
    <w:rsid w:val="00755069"/>
    <w:rsid w:val="0078470E"/>
    <w:rsid w:val="007A3911"/>
    <w:rsid w:val="007B0660"/>
    <w:rsid w:val="007C2773"/>
    <w:rsid w:val="007D7D87"/>
    <w:rsid w:val="007E3868"/>
    <w:rsid w:val="0081187D"/>
    <w:rsid w:val="00820924"/>
    <w:rsid w:val="00820C41"/>
    <w:rsid w:val="00836E6E"/>
    <w:rsid w:val="00850256"/>
    <w:rsid w:val="00853932"/>
    <w:rsid w:val="00865B5D"/>
    <w:rsid w:val="00875F7B"/>
    <w:rsid w:val="008908E9"/>
    <w:rsid w:val="008C50EA"/>
    <w:rsid w:val="008E2C13"/>
    <w:rsid w:val="008E57CA"/>
    <w:rsid w:val="0093686F"/>
    <w:rsid w:val="00942FD4"/>
    <w:rsid w:val="0094598C"/>
    <w:rsid w:val="009514FA"/>
    <w:rsid w:val="00951997"/>
    <w:rsid w:val="00990352"/>
    <w:rsid w:val="009A037C"/>
    <w:rsid w:val="009A5CE0"/>
    <w:rsid w:val="009D2595"/>
    <w:rsid w:val="009F4FC7"/>
    <w:rsid w:val="009F5A1B"/>
    <w:rsid w:val="00A03405"/>
    <w:rsid w:val="00A1528A"/>
    <w:rsid w:val="00A33918"/>
    <w:rsid w:val="00A75C08"/>
    <w:rsid w:val="00A75E48"/>
    <w:rsid w:val="00A7629F"/>
    <w:rsid w:val="00A865EB"/>
    <w:rsid w:val="00AA23F7"/>
    <w:rsid w:val="00AA46B1"/>
    <w:rsid w:val="00AF0B96"/>
    <w:rsid w:val="00AF0CEE"/>
    <w:rsid w:val="00B17817"/>
    <w:rsid w:val="00B323FE"/>
    <w:rsid w:val="00B667AD"/>
    <w:rsid w:val="00B84C38"/>
    <w:rsid w:val="00B86C00"/>
    <w:rsid w:val="00B947F6"/>
    <w:rsid w:val="00B9518A"/>
    <w:rsid w:val="00BB1BBB"/>
    <w:rsid w:val="00BB7C42"/>
    <w:rsid w:val="00BC4D44"/>
    <w:rsid w:val="00BD0435"/>
    <w:rsid w:val="00BE45C3"/>
    <w:rsid w:val="00BF16AA"/>
    <w:rsid w:val="00C14432"/>
    <w:rsid w:val="00C2330C"/>
    <w:rsid w:val="00C354B8"/>
    <w:rsid w:val="00C418E1"/>
    <w:rsid w:val="00C43ADF"/>
    <w:rsid w:val="00C52517"/>
    <w:rsid w:val="00C554FB"/>
    <w:rsid w:val="00C57162"/>
    <w:rsid w:val="00C60715"/>
    <w:rsid w:val="00C60921"/>
    <w:rsid w:val="00C62936"/>
    <w:rsid w:val="00C653F2"/>
    <w:rsid w:val="00C66F4E"/>
    <w:rsid w:val="00C679E6"/>
    <w:rsid w:val="00C908F9"/>
    <w:rsid w:val="00CA0917"/>
    <w:rsid w:val="00CA1099"/>
    <w:rsid w:val="00CB5E46"/>
    <w:rsid w:val="00CB6F3A"/>
    <w:rsid w:val="00D35DD8"/>
    <w:rsid w:val="00D37AB9"/>
    <w:rsid w:val="00D417C2"/>
    <w:rsid w:val="00D444D7"/>
    <w:rsid w:val="00D60936"/>
    <w:rsid w:val="00D64B31"/>
    <w:rsid w:val="00D66A23"/>
    <w:rsid w:val="00D67A3B"/>
    <w:rsid w:val="00D709EB"/>
    <w:rsid w:val="00D74714"/>
    <w:rsid w:val="00D76E9B"/>
    <w:rsid w:val="00D77E5A"/>
    <w:rsid w:val="00D81989"/>
    <w:rsid w:val="00D82F3F"/>
    <w:rsid w:val="00D921C6"/>
    <w:rsid w:val="00D958C2"/>
    <w:rsid w:val="00DA6A21"/>
    <w:rsid w:val="00DC42D0"/>
    <w:rsid w:val="00DC7A8D"/>
    <w:rsid w:val="00DD7411"/>
    <w:rsid w:val="00E04AB5"/>
    <w:rsid w:val="00E36309"/>
    <w:rsid w:val="00E45DF3"/>
    <w:rsid w:val="00E50EEA"/>
    <w:rsid w:val="00E52F58"/>
    <w:rsid w:val="00E614E5"/>
    <w:rsid w:val="00E66A50"/>
    <w:rsid w:val="00E730DD"/>
    <w:rsid w:val="00E8057A"/>
    <w:rsid w:val="00EB0B1A"/>
    <w:rsid w:val="00EC26AA"/>
    <w:rsid w:val="00EC3CCF"/>
    <w:rsid w:val="00EC5D3B"/>
    <w:rsid w:val="00ED7A53"/>
    <w:rsid w:val="00EE4273"/>
    <w:rsid w:val="00EF7CC3"/>
    <w:rsid w:val="00F02004"/>
    <w:rsid w:val="00F02A23"/>
    <w:rsid w:val="00F042CB"/>
    <w:rsid w:val="00F60A20"/>
    <w:rsid w:val="00F90DA0"/>
    <w:rsid w:val="00F96942"/>
    <w:rsid w:val="00FA5716"/>
    <w:rsid w:val="00FC0A95"/>
    <w:rsid w:val="00FC3D9C"/>
    <w:rsid w:val="00FF0153"/>
    <w:rsid w:val="00FF0BB7"/>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E3B8D9"/>
  <w15:chartTrackingRefBased/>
  <w15:docId w15:val="{9C343881-F379-4A99-B8BC-59487A552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semiHidden/>
    <w:unhideWhenUsed/>
    <w:rsid w:val="002B0092"/>
    <w:rPr>
      <w:rFonts w:ascii="Segoe UI" w:hAnsi="Segoe UI" w:cs="Segoe UI"/>
      <w:sz w:val="18"/>
      <w:szCs w:val="18"/>
    </w:rPr>
  </w:style>
  <w:style w:type="paragraph" w:customStyle="1" w:styleId="Firmas">
    <w:name w:val="Firmas"/>
    <w:basedOn w:val="Normal"/>
    <w:pPr>
      <w:tabs>
        <w:tab w:val="center" w:pos="1440"/>
        <w:tab w:val="center" w:pos="7200"/>
      </w:tabs>
    </w:pPr>
    <w:rPr>
      <w:lang w:val="es-ES_tradnl"/>
    </w:rPr>
  </w:style>
  <w:style w:type="character" w:customStyle="1" w:styleId="BalloonTextChar">
    <w:name w:val="Balloon Text Char"/>
    <w:basedOn w:val="DefaultParagraphFont"/>
    <w:link w:val="BalloonText"/>
    <w:uiPriority w:val="99"/>
    <w:semiHidden/>
    <w:rsid w:val="002B0092"/>
    <w:rPr>
      <w:rFonts w:ascii="Segoe UI" w:hAnsi="Segoe UI" w:cs="Segoe UI"/>
      <w:sz w:val="18"/>
      <w:szCs w:val="18"/>
    </w:rPr>
  </w:style>
  <w:style w:type="paragraph" w:customStyle="1" w:styleId="Default">
    <w:name w:val="Default"/>
    <w:rsid w:val="000D7335"/>
    <w:pPr>
      <w:autoSpaceDE w:val="0"/>
      <w:autoSpaceDN w:val="0"/>
      <w:adjustRightInd w:val="0"/>
    </w:pPr>
    <w:rPr>
      <w:rFonts w:ascii="Arial" w:eastAsiaTheme="minorHAnsi" w:hAnsi="Arial" w:cs="Arial"/>
      <w:color w:val="000000"/>
      <w:sz w:val="24"/>
      <w:szCs w:val="24"/>
    </w:rPr>
  </w:style>
  <w:style w:type="paragraph" w:styleId="ListParagraph">
    <w:name w:val="List Paragraph"/>
    <w:basedOn w:val="Normal"/>
    <w:uiPriority w:val="34"/>
    <w:qFormat/>
    <w:rsid w:val="005754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2147</Words>
  <Characters>11575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Joel Sánchez Ayala</dc:creator>
  <cp:keywords/>
  <cp:lastModifiedBy>Bárbara Sierra Nieves</cp:lastModifiedBy>
  <cp:revision>4</cp:revision>
  <cp:lastPrinted>2022-10-25T14:01:00Z</cp:lastPrinted>
  <dcterms:created xsi:type="dcterms:W3CDTF">2025-01-02T14:09:00Z</dcterms:created>
  <dcterms:modified xsi:type="dcterms:W3CDTF">2025-01-08T18:49:00Z</dcterms:modified>
</cp:coreProperties>
</file>