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744A6" w14:textId="77777777" w:rsidR="00430F49" w:rsidRPr="001A6C90" w:rsidRDefault="00430F49" w:rsidP="00430F49">
      <w:pPr>
        <w:jc w:val="center"/>
        <w:rPr>
          <w:rFonts w:ascii="Book Antiqua" w:hAnsi="Book Antiqua"/>
          <w:sz w:val="28"/>
          <w:szCs w:val="28"/>
        </w:rPr>
      </w:pPr>
      <w:r w:rsidRPr="00A65E5B">
        <w:rPr>
          <w:rFonts w:ascii="Book Antiqua" w:hAnsi="Book Antiqua"/>
          <w:sz w:val="28"/>
          <w:szCs w:val="28"/>
        </w:rPr>
        <w:t>GOBIERNO</w:t>
      </w:r>
      <w:r w:rsidRPr="001A6C90">
        <w:rPr>
          <w:rFonts w:ascii="Book Antiqua" w:hAnsi="Book Antiqua"/>
          <w:sz w:val="28"/>
          <w:szCs w:val="28"/>
        </w:rPr>
        <w:t xml:space="preserve"> DE PUERTO RICO</w:t>
      </w:r>
    </w:p>
    <w:tbl>
      <w:tblPr>
        <w:tblW w:w="9540" w:type="dxa"/>
        <w:tblInd w:w="-90" w:type="dxa"/>
        <w:tblLook w:val="04A0" w:firstRow="1" w:lastRow="0" w:firstColumn="1" w:lastColumn="0" w:noHBand="0" w:noVBand="1"/>
      </w:tblPr>
      <w:tblGrid>
        <w:gridCol w:w="2243"/>
        <w:gridCol w:w="4098"/>
        <w:gridCol w:w="3199"/>
      </w:tblGrid>
      <w:tr w:rsidR="00430F49" w:rsidRPr="001A6C90" w14:paraId="47B62E59" w14:textId="77777777" w:rsidTr="00417D4D">
        <w:tc>
          <w:tcPr>
            <w:tcW w:w="2243" w:type="dxa"/>
            <w:shd w:val="clear" w:color="auto" w:fill="auto"/>
          </w:tcPr>
          <w:p w14:paraId="14B081F9" w14:textId="06F0D6F6" w:rsidR="00430F49" w:rsidRPr="001A6C90" w:rsidRDefault="00430F49" w:rsidP="00430F49">
            <w:pPr>
              <w:spacing w:after="0" w:line="240" w:lineRule="auto"/>
              <w:rPr>
                <w:rFonts w:ascii="Book Antiqua" w:hAnsi="Book Antiqua"/>
              </w:rPr>
            </w:pPr>
            <w:r>
              <w:rPr>
                <w:rFonts w:ascii="Book Antiqua" w:hAnsi="Book Antiqua"/>
              </w:rPr>
              <w:t xml:space="preserve">20 </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5276E055" w14:textId="77777777" w:rsidR="00430F49" w:rsidRPr="001A6C90" w:rsidRDefault="00430F49" w:rsidP="00430F49">
            <w:pPr>
              <w:spacing w:after="0" w:line="240" w:lineRule="auto"/>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35890388" w14:textId="77777777" w:rsidR="00430F49" w:rsidRPr="001A6C90" w:rsidRDefault="00430F49" w:rsidP="00430F49">
            <w:pPr>
              <w:spacing w:after="0" w:line="240" w:lineRule="auto"/>
              <w:jc w:val="center"/>
              <w:rPr>
                <w:rFonts w:ascii="Book Antiqua" w:hAnsi="Book Antiqua"/>
              </w:rPr>
            </w:pPr>
          </w:p>
          <w:p w14:paraId="64594C66" w14:textId="77777777" w:rsidR="00430F49" w:rsidRPr="001A6C90" w:rsidRDefault="00430F49" w:rsidP="00430F49">
            <w:pPr>
              <w:spacing w:after="0" w:line="240" w:lineRule="auto"/>
              <w:jc w:val="center"/>
              <w:rPr>
                <w:rFonts w:ascii="Book Antiqua" w:hAnsi="Book Antiqua"/>
              </w:rPr>
            </w:pPr>
          </w:p>
          <w:p w14:paraId="50D4D6A5" w14:textId="77777777" w:rsidR="00430F49" w:rsidRPr="001A6C90" w:rsidRDefault="00430F49" w:rsidP="00430F49">
            <w:pPr>
              <w:spacing w:after="0" w:line="240" w:lineRule="auto"/>
              <w:jc w:val="center"/>
              <w:rPr>
                <w:rFonts w:ascii="Book Antiqua" w:hAnsi="Book Antiqua"/>
              </w:rPr>
            </w:pPr>
          </w:p>
        </w:tc>
        <w:tc>
          <w:tcPr>
            <w:tcW w:w="3199" w:type="dxa"/>
            <w:shd w:val="clear" w:color="auto" w:fill="auto"/>
          </w:tcPr>
          <w:p w14:paraId="2155E576" w14:textId="77777777" w:rsidR="00430F49" w:rsidRDefault="00430F49" w:rsidP="00430F49">
            <w:pPr>
              <w:spacing w:after="0" w:line="240" w:lineRule="auto"/>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50D99F04" w14:textId="6E113628" w:rsidR="00430F49" w:rsidRPr="001A6C90" w:rsidRDefault="00430F49" w:rsidP="00430F49">
            <w:pPr>
              <w:spacing w:after="0" w:line="240" w:lineRule="auto"/>
              <w:ind w:left="1440"/>
              <w:jc w:val="center"/>
              <w:rPr>
                <w:rFonts w:ascii="Book Antiqua" w:hAnsi="Book Antiqua"/>
              </w:rPr>
            </w:pPr>
            <w:r>
              <w:rPr>
                <w:rFonts w:ascii="Book Antiqua" w:hAnsi="Book Antiqua"/>
              </w:rPr>
              <w:t>O</w:t>
            </w:r>
            <w:r w:rsidRPr="001A6C90">
              <w:rPr>
                <w:rFonts w:ascii="Book Antiqua" w:hAnsi="Book Antiqua"/>
              </w:rPr>
              <w:t>rdinaria</w:t>
            </w:r>
          </w:p>
        </w:tc>
      </w:tr>
    </w:tbl>
    <w:p w14:paraId="331CFAA1" w14:textId="77777777" w:rsidR="00430F49" w:rsidRPr="001A6C90" w:rsidRDefault="00430F49" w:rsidP="00430F49">
      <w:pPr>
        <w:jc w:val="center"/>
        <w:rPr>
          <w:rFonts w:ascii="Book Antiqua" w:hAnsi="Book Antiqua"/>
          <w:b/>
          <w:bCs/>
          <w:sz w:val="36"/>
          <w:szCs w:val="36"/>
        </w:rPr>
      </w:pPr>
      <w:r w:rsidRPr="001A6C90">
        <w:rPr>
          <w:rFonts w:ascii="Book Antiqua" w:hAnsi="Book Antiqua"/>
          <w:b/>
          <w:bCs/>
          <w:sz w:val="36"/>
          <w:szCs w:val="36"/>
        </w:rPr>
        <w:t>CÁMARA DE REPRESENTANTES</w:t>
      </w:r>
    </w:p>
    <w:p w14:paraId="7D5EAD91" w14:textId="172B03A7" w:rsidR="00430F49" w:rsidRPr="001A6C90" w:rsidRDefault="00430F49" w:rsidP="00430F49">
      <w:pPr>
        <w:jc w:val="center"/>
        <w:rPr>
          <w:rFonts w:ascii="Book Antiqua" w:hAnsi="Book Antiqua"/>
          <w:b/>
          <w:sz w:val="52"/>
        </w:rPr>
      </w:pPr>
      <w:r w:rsidRPr="001A6C90">
        <w:rPr>
          <w:rFonts w:ascii="Book Antiqua" w:hAnsi="Book Antiqua"/>
          <w:b/>
          <w:sz w:val="52"/>
        </w:rPr>
        <w:t xml:space="preserve">P. de la C. </w:t>
      </w:r>
      <w:r w:rsidR="00BE64EF">
        <w:rPr>
          <w:rFonts w:ascii="Book Antiqua" w:hAnsi="Book Antiqua"/>
          <w:b/>
          <w:sz w:val="52"/>
        </w:rPr>
        <w:t>3</w:t>
      </w:r>
    </w:p>
    <w:p w14:paraId="0893582D" w14:textId="435EC795" w:rsidR="00430F49" w:rsidRPr="00430F49" w:rsidRDefault="00BE64EF" w:rsidP="00430F49">
      <w:pPr>
        <w:jc w:val="center"/>
        <w:rPr>
          <w:rFonts w:ascii="Book Antiqua" w:hAnsi="Book Antiqua"/>
          <w:sz w:val="24"/>
          <w:szCs w:val="24"/>
        </w:rPr>
      </w:pPr>
      <w:r>
        <w:rPr>
          <w:rFonts w:ascii="Book Antiqua" w:hAnsi="Book Antiqua"/>
          <w:sz w:val="24"/>
          <w:szCs w:val="24"/>
        </w:rPr>
        <w:t xml:space="preserve">2 </w:t>
      </w:r>
      <w:r w:rsidR="00430F49" w:rsidRPr="00430F49">
        <w:rPr>
          <w:rFonts w:ascii="Book Antiqua" w:hAnsi="Book Antiqua"/>
          <w:sz w:val="24"/>
          <w:szCs w:val="24"/>
        </w:rPr>
        <w:t>DE ENERO DE 2025</w:t>
      </w:r>
    </w:p>
    <w:p w14:paraId="7F853700" w14:textId="77777777" w:rsidR="00430F49" w:rsidRPr="00430F49" w:rsidRDefault="00430F49" w:rsidP="00430F49">
      <w:pPr>
        <w:ind w:left="450" w:hanging="360"/>
        <w:jc w:val="center"/>
        <w:rPr>
          <w:rFonts w:ascii="Book Antiqua" w:hAnsi="Book Antiqua"/>
          <w:sz w:val="24"/>
          <w:szCs w:val="24"/>
        </w:rPr>
      </w:pPr>
      <w:r w:rsidRPr="00430F49">
        <w:rPr>
          <w:rFonts w:ascii="Book Antiqua" w:hAnsi="Book Antiqua"/>
          <w:color w:val="000000"/>
          <w:sz w:val="24"/>
          <w:szCs w:val="24"/>
        </w:rPr>
        <w:t xml:space="preserve">Presentado por el representante </w:t>
      </w:r>
      <w:r w:rsidRPr="00430F49">
        <w:rPr>
          <w:rFonts w:ascii="Book Antiqua" w:hAnsi="Book Antiqua"/>
          <w:i/>
          <w:iCs/>
          <w:color w:val="000000"/>
          <w:sz w:val="24"/>
          <w:szCs w:val="24"/>
        </w:rPr>
        <w:t>Méndez Núñez</w:t>
      </w:r>
    </w:p>
    <w:p w14:paraId="61371215" w14:textId="441DB65D" w:rsidR="00430F49" w:rsidRPr="00430F49" w:rsidRDefault="00430F49" w:rsidP="00430F49">
      <w:pPr>
        <w:jc w:val="center"/>
        <w:rPr>
          <w:rFonts w:ascii="Book Antiqua" w:hAnsi="Book Antiqua" w:cs="CG Times (W1)"/>
          <w:sz w:val="24"/>
          <w:szCs w:val="24"/>
        </w:rPr>
      </w:pPr>
      <w:r w:rsidRPr="00430F49">
        <w:rPr>
          <w:rFonts w:ascii="Book Antiqua" w:hAnsi="Book Antiqua" w:cs="CG Times (W1)"/>
          <w:sz w:val="24"/>
          <w:szCs w:val="24"/>
        </w:rPr>
        <w:t xml:space="preserve">Referido a </w:t>
      </w:r>
      <w:r w:rsidR="00D72552">
        <w:rPr>
          <w:rFonts w:ascii="Book Antiqua" w:hAnsi="Book Antiqua" w:cs="CG Times (W1)"/>
          <w:sz w:val="24"/>
          <w:szCs w:val="24"/>
        </w:rPr>
        <w:t xml:space="preserve">la Comisión </w:t>
      </w:r>
      <w:r w:rsidR="009C3810">
        <w:rPr>
          <w:rFonts w:ascii="Book Antiqua" w:hAnsi="Book Antiqua" w:cs="CG Times (W1)"/>
          <w:sz w:val="24"/>
          <w:szCs w:val="24"/>
        </w:rPr>
        <w:t>d</w:t>
      </w:r>
      <w:r w:rsidR="00D72552">
        <w:rPr>
          <w:rFonts w:ascii="Book Antiqua" w:hAnsi="Book Antiqua" w:cs="CG Times (W1)"/>
          <w:sz w:val="24"/>
          <w:szCs w:val="24"/>
        </w:rPr>
        <w:t>el Trabajo y Asuntos Laborales</w:t>
      </w:r>
    </w:p>
    <w:p w14:paraId="66291011" w14:textId="2091EE77" w:rsidR="00CF4A9A" w:rsidRPr="00C06B21" w:rsidRDefault="00CF4A9A" w:rsidP="00DB2669">
      <w:pPr>
        <w:suppressLineNumbers/>
        <w:spacing w:after="0" w:line="240" w:lineRule="auto"/>
        <w:jc w:val="center"/>
        <w:rPr>
          <w:rFonts w:ascii="Book Antiqua" w:hAnsi="Book Antiqua"/>
          <w:b/>
          <w:bCs/>
          <w:color w:val="000000" w:themeColor="text1"/>
          <w:sz w:val="28"/>
          <w:szCs w:val="28"/>
          <w:lang w:val="es-ES_tradnl"/>
        </w:rPr>
      </w:pPr>
      <w:r w:rsidRPr="00C06B21">
        <w:rPr>
          <w:rFonts w:ascii="Book Antiqua" w:hAnsi="Book Antiqua"/>
          <w:b/>
          <w:bCs/>
          <w:color w:val="000000" w:themeColor="text1"/>
          <w:sz w:val="28"/>
          <w:szCs w:val="28"/>
          <w:lang w:val="es-ES_tradnl"/>
        </w:rPr>
        <w:t>LEY</w:t>
      </w:r>
    </w:p>
    <w:p w14:paraId="197604A1" w14:textId="77777777" w:rsidR="00DB2669" w:rsidRPr="00C06B21" w:rsidRDefault="00DB2669" w:rsidP="00DB2669">
      <w:pPr>
        <w:suppressLineNumbers/>
        <w:spacing w:after="0" w:line="240" w:lineRule="auto"/>
        <w:jc w:val="center"/>
        <w:rPr>
          <w:rFonts w:ascii="Book Antiqua" w:hAnsi="Book Antiqua"/>
          <w:b/>
          <w:bCs/>
          <w:color w:val="000000" w:themeColor="text1"/>
          <w:sz w:val="28"/>
          <w:szCs w:val="28"/>
          <w:lang w:val="es-ES_tradnl"/>
        </w:rPr>
      </w:pPr>
    </w:p>
    <w:p w14:paraId="650F24DC" w14:textId="07F38BAB" w:rsidR="00CF4A9A" w:rsidRPr="00C06B21" w:rsidRDefault="00CF4A9A" w:rsidP="00DB2669">
      <w:pPr>
        <w:spacing w:after="0" w:line="240" w:lineRule="auto"/>
        <w:ind w:left="720" w:hanging="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Para enmendar las Secciones 4, 5 y 15 de la Ley Núm. 74 de 21 de junio de 1956, según enmendada, conocida como “Ley de Seguridad de Empleo de Puerto Rico”, a los fines de ampliar las medidas de fiscalización sobre los beneficios concedidos</w:t>
      </w:r>
      <w:r w:rsidR="009451AC" w:rsidRPr="00C06B21">
        <w:rPr>
          <w:rFonts w:ascii="Book Antiqua" w:hAnsi="Book Antiqua"/>
          <w:color w:val="000000" w:themeColor="text1"/>
          <w:sz w:val="24"/>
          <w:szCs w:val="24"/>
          <w:lang w:val="es-ES_tradnl"/>
        </w:rPr>
        <w:t xml:space="preserve"> por </w:t>
      </w:r>
      <w:r w:rsidR="009B2521" w:rsidRPr="00C06B21">
        <w:rPr>
          <w:rFonts w:ascii="Book Antiqua" w:hAnsi="Book Antiqua"/>
          <w:color w:val="000000" w:themeColor="text1"/>
          <w:sz w:val="24"/>
          <w:szCs w:val="24"/>
          <w:lang w:val="es-ES_tradnl"/>
        </w:rPr>
        <w:t xml:space="preserve">programas ordinarios de desempleo, programas de </w:t>
      </w:r>
      <w:r w:rsidR="00186F74" w:rsidRPr="00C06B21">
        <w:rPr>
          <w:rFonts w:ascii="Book Antiqua" w:hAnsi="Book Antiqua"/>
          <w:color w:val="000000" w:themeColor="text1"/>
          <w:sz w:val="24"/>
          <w:szCs w:val="24"/>
          <w:lang w:val="es-ES_tradnl"/>
        </w:rPr>
        <w:t>emergencia</w:t>
      </w:r>
      <w:r w:rsidR="009B2521" w:rsidRPr="00C06B21">
        <w:rPr>
          <w:rFonts w:ascii="Book Antiqua" w:hAnsi="Book Antiqua"/>
          <w:color w:val="000000" w:themeColor="text1"/>
          <w:sz w:val="24"/>
          <w:szCs w:val="24"/>
          <w:lang w:val="es-ES_tradnl"/>
        </w:rPr>
        <w:t xml:space="preserve"> o análogos</w:t>
      </w:r>
      <w:r w:rsidRPr="00C06B21">
        <w:rPr>
          <w:rFonts w:ascii="Book Antiqua" w:hAnsi="Book Antiqua"/>
          <w:color w:val="000000" w:themeColor="text1"/>
          <w:sz w:val="24"/>
          <w:szCs w:val="24"/>
          <w:lang w:val="es-ES_tradnl"/>
        </w:rPr>
        <w:t xml:space="preserve">, así como establecer un debido proceso de ley específico y puntual sobre la autoridad que tiene el Departamento del Trabajo y Recursos Humanos para notificar tanto al Departamento de Hacienda de Puerto Rico como al Servicio de Rentas Internas Federal sobre alguna deuda que surja por motivos de recobro de beneficios concedidos; y para otros fines relacionados. </w:t>
      </w:r>
    </w:p>
    <w:p w14:paraId="358587B0" w14:textId="77777777" w:rsidR="00CF4A9A" w:rsidRPr="00C06B21" w:rsidRDefault="00CF4A9A" w:rsidP="00DB2669">
      <w:pPr>
        <w:spacing w:after="0" w:line="240" w:lineRule="auto"/>
        <w:ind w:left="720" w:hanging="720"/>
        <w:jc w:val="both"/>
        <w:rPr>
          <w:rFonts w:ascii="Book Antiqua" w:hAnsi="Book Antiqua"/>
          <w:color w:val="000000" w:themeColor="text1"/>
          <w:lang w:val="es-ES_tradnl"/>
        </w:rPr>
      </w:pPr>
    </w:p>
    <w:p w14:paraId="5EB336B0" w14:textId="70BE72F5" w:rsidR="00CF4A9A" w:rsidRPr="00C06B21" w:rsidRDefault="00CF4A9A" w:rsidP="00DB2669">
      <w:pPr>
        <w:spacing w:after="0" w:line="240" w:lineRule="auto"/>
        <w:ind w:firstLine="360"/>
        <w:jc w:val="center"/>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EXPOSICIÓN DE MOTIVOS</w:t>
      </w:r>
    </w:p>
    <w:p w14:paraId="554D0D33" w14:textId="77777777" w:rsidR="00DB2669" w:rsidRPr="00C06B21" w:rsidRDefault="00DB2669" w:rsidP="00DB2669">
      <w:pPr>
        <w:spacing w:after="0" w:line="240" w:lineRule="auto"/>
        <w:ind w:firstLine="360"/>
        <w:jc w:val="center"/>
        <w:rPr>
          <w:rFonts w:ascii="Book Antiqua" w:hAnsi="Book Antiqua"/>
          <w:b/>
          <w:bCs/>
          <w:color w:val="000000" w:themeColor="text1"/>
          <w:sz w:val="24"/>
          <w:szCs w:val="24"/>
          <w:lang w:val="es-ES_tradnl"/>
        </w:rPr>
      </w:pPr>
    </w:p>
    <w:p w14:paraId="47472DE5" w14:textId="345E8EB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El Departamento del Trabajo y Recursos Humanos (DTRH), </w:t>
      </w:r>
      <w:r w:rsidR="00AD38B2" w:rsidRPr="00C06B21">
        <w:rPr>
          <w:rFonts w:ascii="Book Antiqua" w:hAnsi="Book Antiqua"/>
          <w:color w:val="000000" w:themeColor="text1"/>
          <w:sz w:val="24"/>
          <w:szCs w:val="24"/>
          <w:lang w:val="es-ES_tradnl"/>
        </w:rPr>
        <w:t xml:space="preserve">es </w:t>
      </w:r>
      <w:r w:rsidRPr="00C06B21">
        <w:rPr>
          <w:rFonts w:ascii="Book Antiqua" w:hAnsi="Book Antiqua"/>
          <w:color w:val="000000" w:themeColor="text1"/>
          <w:sz w:val="24"/>
          <w:szCs w:val="24"/>
          <w:lang w:val="es-ES_tradnl"/>
        </w:rPr>
        <w:t xml:space="preserve">una agencia creada bajo la Sección 6 del Artículo IV de la Constitución de Puerto Rico, </w:t>
      </w:r>
      <w:r w:rsidR="00AD38B2" w:rsidRPr="00C06B21">
        <w:rPr>
          <w:rFonts w:ascii="Book Antiqua" w:hAnsi="Book Antiqua"/>
          <w:color w:val="000000" w:themeColor="text1"/>
          <w:sz w:val="24"/>
          <w:szCs w:val="24"/>
          <w:lang w:val="es-ES_tradnl"/>
        </w:rPr>
        <w:t xml:space="preserve">que </w:t>
      </w:r>
      <w:r w:rsidRPr="00C06B21">
        <w:rPr>
          <w:rFonts w:ascii="Book Antiqua" w:hAnsi="Book Antiqua"/>
          <w:color w:val="000000" w:themeColor="text1"/>
          <w:sz w:val="24"/>
          <w:szCs w:val="24"/>
          <w:lang w:val="es-ES_tradnl"/>
        </w:rPr>
        <w:t>tiene como parte de su deber ministerial ofrecer los servicios de seguro por desempleo y servicio de empleo de acuerdo con las leyes y reglamentaciones del Gobierno Federal.  Mediante este</w:t>
      </w:r>
      <w:r w:rsidR="009451AC" w:rsidRPr="00C06B21">
        <w:rPr>
          <w:rFonts w:ascii="Book Antiqua" w:hAnsi="Book Antiqua"/>
          <w:color w:val="000000" w:themeColor="text1"/>
          <w:sz w:val="24"/>
          <w:szCs w:val="24"/>
          <w:lang w:val="es-ES_tradnl"/>
        </w:rPr>
        <w:t xml:space="preserve"> programa de </w:t>
      </w:r>
      <w:r w:rsidR="00177A78" w:rsidRPr="00C06B21">
        <w:rPr>
          <w:rFonts w:ascii="Book Antiqua" w:hAnsi="Book Antiqua"/>
          <w:color w:val="000000" w:themeColor="text1"/>
          <w:sz w:val="24"/>
          <w:szCs w:val="24"/>
          <w:lang w:val="es-ES_tradnl"/>
        </w:rPr>
        <w:t>seguro por desempleo</w:t>
      </w:r>
      <w:r w:rsidRPr="00C06B21">
        <w:rPr>
          <w:rFonts w:ascii="Book Antiqua" w:hAnsi="Book Antiqua"/>
          <w:color w:val="000000" w:themeColor="text1"/>
          <w:sz w:val="24"/>
          <w:szCs w:val="24"/>
          <w:lang w:val="es-ES_tradnl"/>
        </w:rPr>
        <w:t>, los reclamantes obtienen un ingreso bisemanal cuando certifiquen que están desempleados por causas ajenas a su voluntad y que están aptos y disponibles para trabajar, según dispone la legislación federal aplicable.</w:t>
      </w:r>
      <w:r w:rsidR="00F220F4" w:rsidRPr="00C06B21">
        <w:rPr>
          <w:rFonts w:ascii="Book Antiqua" w:hAnsi="Book Antiqua"/>
          <w:color w:val="000000" w:themeColor="text1"/>
          <w:sz w:val="24"/>
          <w:szCs w:val="24"/>
          <w:lang w:val="es-ES_tradnl"/>
        </w:rPr>
        <w:t xml:space="preserve"> </w:t>
      </w:r>
      <w:r w:rsidRPr="00C06B21">
        <w:rPr>
          <w:rFonts w:ascii="Book Antiqua" w:hAnsi="Book Antiqua"/>
          <w:color w:val="000000" w:themeColor="text1"/>
          <w:sz w:val="24"/>
          <w:szCs w:val="24"/>
          <w:lang w:val="es-ES_tradnl"/>
        </w:rPr>
        <w:t xml:space="preserve"> Los fondos para el pago de los beneficios regulares que otorga este programa provienen de las contribuciones pagadas por los patronos sobre los salarios pagados a sus empleados.</w:t>
      </w:r>
    </w:p>
    <w:p w14:paraId="12B66CAF"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7B742D18" w14:textId="62AB78AB" w:rsidR="00CF4A9A" w:rsidRPr="00C06B21" w:rsidRDefault="00CF4A9A" w:rsidP="00DB2669">
      <w:pPr>
        <w:pStyle w:val="FootnoteText"/>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Además de este programa</w:t>
      </w:r>
      <w:r w:rsidR="009451AC" w:rsidRPr="00C06B21">
        <w:rPr>
          <w:rFonts w:ascii="Book Antiqua" w:hAnsi="Book Antiqua"/>
          <w:color w:val="000000" w:themeColor="text1"/>
          <w:sz w:val="24"/>
          <w:szCs w:val="24"/>
          <w:lang w:val="es-ES_tradnl"/>
        </w:rPr>
        <w:t xml:space="preserve"> de seguro por desempleo</w:t>
      </w:r>
      <w:r w:rsidRPr="00C06B21">
        <w:rPr>
          <w:rFonts w:ascii="Book Antiqua" w:hAnsi="Book Antiqua"/>
          <w:color w:val="000000" w:themeColor="text1"/>
          <w:sz w:val="24"/>
          <w:szCs w:val="24"/>
          <w:lang w:val="es-ES_tradnl"/>
        </w:rPr>
        <w:t xml:space="preserve">, al DTRH se le ha delegado la administración de programas de emergencia, tales como los de reciente creación mediante la legislación federal </w:t>
      </w:r>
      <w:r w:rsidRPr="00C06B21">
        <w:rPr>
          <w:rFonts w:ascii="Book Antiqua" w:hAnsi="Book Antiqua"/>
          <w:i/>
          <w:iCs/>
          <w:color w:val="000000" w:themeColor="text1"/>
          <w:sz w:val="24"/>
          <w:szCs w:val="24"/>
          <w:lang w:val="es-ES_tradnl"/>
        </w:rPr>
        <w:t xml:space="preserve">“Coronavirus Aid, </w:t>
      </w:r>
      <w:proofErr w:type="spellStart"/>
      <w:r w:rsidRPr="00C06B21">
        <w:rPr>
          <w:rFonts w:ascii="Book Antiqua" w:hAnsi="Book Antiqua"/>
          <w:i/>
          <w:iCs/>
          <w:color w:val="000000" w:themeColor="text1"/>
          <w:sz w:val="24"/>
          <w:szCs w:val="24"/>
          <w:lang w:val="es-ES_tradnl"/>
        </w:rPr>
        <w:t>Relief</w:t>
      </w:r>
      <w:proofErr w:type="spellEnd"/>
      <w:r w:rsidRPr="00C06B21">
        <w:rPr>
          <w:rFonts w:ascii="Book Antiqua" w:hAnsi="Book Antiqua"/>
          <w:i/>
          <w:iCs/>
          <w:color w:val="000000" w:themeColor="text1"/>
          <w:sz w:val="24"/>
          <w:szCs w:val="24"/>
          <w:lang w:val="es-ES_tradnl"/>
        </w:rPr>
        <w:t xml:space="preserve">, and </w:t>
      </w:r>
      <w:proofErr w:type="spellStart"/>
      <w:r w:rsidRPr="00C06B21">
        <w:rPr>
          <w:rFonts w:ascii="Book Antiqua" w:hAnsi="Book Antiqua"/>
          <w:i/>
          <w:iCs/>
          <w:color w:val="000000" w:themeColor="text1"/>
          <w:sz w:val="24"/>
          <w:szCs w:val="24"/>
          <w:lang w:val="es-ES_tradnl"/>
        </w:rPr>
        <w:t>Economic</w:t>
      </w:r>
      <w:proofErr w:type="spellEnd"/>
      <w:r w:rsidRPr="00C06B21">
        <w:rPr>
          <w:rFonts w:ascii="Book Antiqua" w:hAnsi="Book Antiqua"/>
          <w:i/>
          <w:iCs/>
          <w:color w:val="000000" w:themeColor="text1"/>
          <w:sz w:val="24"/>
          <w:szCs w:val="24"/>
          <w:lang w:val="es-ES_tradnl"/>
        </w:rPr>
        <w:t xml:space="preserve"> Security </w:t>
      </w:r>
      <w:proofErr w:type="spellStart"/>
      <w:r w:rsidRPr="00C06B21">
        <w:rPr>
          <w:rFonts w:ascii="Book Antiqua" w:hAnsi="Book Antiqua"/>
          <w:i/>
          <w:iCs/>
          <w:color w:val="000000" w:themeColor="text1"/>
          <w:sz w:val="24"/>
          <w:szCs w:val="24"/>
          <w:lang w:val="es-ES_tradnl"/>
        </w:rPr>
        <w:t>Act</w:t>
      </w:r>
      <w:proofErr w:type="spellEnd"/>
      <w:r w:rsidRPr="00C06B21">
        <w:rPr>
          <w:rFonts w:ascii="Book Antiqua" w:hAnsi="Book Antiqua"/>
          <w:i/>
          <w:iCs/>
          <w:color w:val="000000" w:themeColor="text1"/>
          <w:sz w:val="24"/>
          <w:szCs w:val="24"/>
          <w:lang w:val="es-ES_tradnl"/>
        </w:rPr>
        <w:t>”</w:t>
      </w:r>
      <w:r w:rsidRPr="00C06B21">
        <w:rPr>
          <w:rFonts w:ascii="Book Antiqua" w:hAnsi="Book Antiqua"/>
          <w:color w:val="000000" w:themeColor="text1"/>
          <w:sz w:val="24"/>
          <w:szCs w:val="24"/>
          <w:lang w:val="es-ES_tradnl"/>
        </w:rPr>
        <w:t>,</w:t>
      </w:r>
      <w:r w:rsidR="00F220F4" w:rsidRPr="00C06B21">
        <w:rPr>
          <w:rFonts w:ascii="Book Antiqua" w:hAnsi="Book Antiqua"/>
          <w:color w:val="000000" w:themeColor="text1"/>
          <w:sz w:val="24"/>
          <w:szCs w:val="24"/>
          <w:lang w:val="es-ES_tradnl"/>
        </w:rPr>
        <w:t xml:space="preserve"> </w:t>
      </w:r>
      <w:r w:rsidRPr="00C06B21">
        <w:rPr>
          <w:rFonts w:ascii="Book Antiqua" w:hAnsi="Book Antiqua"/>
          <w:color w:val="000000" w:themeColor="text1"/>
          <w:sz w:val="24"/>
          <w:szCs w:val="24"/>
          <w:lang w:val="es-ES_tradnl"/>
        </w:rPr>
        <w:t>Ley</w:t>
      </w:r>
      <w:r w:rsidR="00F220F4" w:rsidRPr="00C06B21">
        <w:rPr>
          <w:rFonts w:ascii="Book Antiqua" w:hAnsi="Book Antiqua"/>
          <w:color w:val="000000" w:themeColor="text1"/>
          <w:sz w:val="24"/>
          <w:szCs w:val="24"/>
          <w:lang w:val="es-ES_tradnl"/>
        </w:rPr>
        <w:t xml:space="preserve"> </w:t>
      </w:r>
      <w:r w:rsidRPr="00C06B21">
        <w:rPr>
          <w:rFonts w:ascii="Book Antiqua" w:hAnsi="Book Antiqua"/>
          <w:color w:val="000000" w:themeColor="text1"/>
          <w:sz w:val="24"/>
          <w:szCs w:val="24"/>
          <w:lang w:val="es-ES_tradnl"/>
        </w:rPr>
        <w:lastRenderedPageBreak/>
        <w:t>Pública Núm. 116-136 (Ley CARES), la cual estableció asistencias adicionales, tanto a empleados como a cuentapropistas, para paliar el impacto que representaron las medidas tomadas para atajar la pandemia a causa del coronavirus (COVID-19).  Cabe destacar que estos programas no son noveles.</w:t>
      </w:r>
      <w:r w:rsidR="009451AC" w:rsidRPr="00C06B21">
        <w:rPr>
          <w:rFonts w:ascii="Book Antiqua" w:hAnsi="Book Antiqua"/>
          <w:color w:val="000000" w:themeColor="text1"/>
          <w:sz w:val="24"/>
          <w:szCs w:val="24"/>
          <w:lang w:val="es-ES_tradnl"/>
        </w:rPr>
        <w:t xml:space="preserve"> </w:t>
      </w:r>
      <w:r w:rsidRPr="00C06B21">
        <w:rPr>
          <w:rFonts w:ascii="Book Antiqua" w:hAnsi="Book Antiqua"/>
          <w:color w:val="000000" w:themeColor="text1"/>
          <w:sz w:val="24"/>
          <w:szCs w:val="24"/>
          <w:lang w:val="es-ES_tradnl"/>
        </w:rPr>
        <w:t xml:space="preserve"> Recordemos que, durante la emergencia en nuestra </w:t>
      </w:r>
      <w:r w:rsidR="009451AC" w:rsidRPr="00C06B21">
        <w:rPr>
          <w:rFonts w:ascii="Book Antiqua" w:hAnsi="Book Antiqua"/>
          <w:color w:val="000000" w:themeColor="text1"/>
          <w:sz w:val="24"/>
          <w:szCs w:val="24"/>
          <w:lang w:val="es-ES_tradnl"/>
        </w:rPr>
        <w:t>I</w:t>
      </w:r>
      <w:r w:rsidRPr="00C06B21">
        <w:rPr>
          <w:rFonts w:ascii="Book Antiqua" w:hAnsi="Book Antiqua"/>
          <w:color w:val="000000" w:themeColor="text1"/>
          <w:sz w:val="24"/>
          <w:szCs w:val="24"/>
          <w:lang w:val="es-ES_tradnl"/>
        </w:rPr>
        <w:t xml:space="preserve">sla causada por el Huracán María, se activaron ciertos programas de asistencia, a tenor con el programa federal de </w:t>
      </w:r>
      <w:r w:rsidRPr="00C06B21">
        <w:rPr>
          <w:rFonts w:ascii="Book Antiqua" w:hAnsi="Book Antiqua"/>
          <w:i/>
          <w:iCs/>
          <w:color w:val="000000" w:themeColor="text1"/>
          <w:sz w:val="24"/>
          <w:szCs w:val="24"/>
          <w:lang w:val="es-ES_tradnl"/>
        </w:rPr>
        <w:t>“</w:t>
      </w:r>
      <w:proofErr w:type="spellStart"/>
      <w:r w:rsidRPr="00C06B21">
        <w:rPr>
          <w:rFonts w:ascii="Book Antiqua" w:hAnsi="Book Antiqua"/>
          <w:i/>
          <w:iCs/>
          <w:color w:val="000000" w:themeColor="text1"/>
          <w:sz w:val="24"/>
          <w:szCs w:val="24"/>
          <w:lang w:val="es-ES_tradnl"/>
        </w:rPr>
        <w:t>Disaster</w:t>
      </w:r>
      <w:proofErr w:type="spellEnd"/>
      <w:r w:rsidRPr="00C06B21">
        <w:rPr>
          <w:rFonts w:ascii="Book Antiqua" w:hAnsi="Book Antiqua"/>
          <w:i/>
          <w:iCs/>
          <w:color w:val="000000" w:themeColor="text1"/>
          <w:sz w:val="24"/>
          <w:szCs w:val="24"/>
          <w:lang w:val="es-ES_tradnl"/>
        </w:rPr>
        <w:t xml:space="preserve"> </w:t>
      </w:r>
      <w:proofErr w:type="spellStart"/>
      <w:r w:rsidRPr="00C06B21">
        <w:rPr>
          <w:rFonts w:ascii="Book Antiqua" w:hAnsi="Book Antiqua"/>
          <w:i/>
          <w:iCs/>
          <w:color w:val="000000" w:themeColor="text1"/>
          <w:sz w:val="24"/>
          <w:szCs w:val="24"/>
          <w:lang w:val="es-ES_tradnl"/>
        </w:rPr>
        <w:t>Unemployment</w:t>
      </w:r>
      <w:proofErr w:type="spellEnd"/>
      <w:r w:rsidRPr="00C06B21">
        <w:rPr>
          <w:rFonts w:ascii="Book Antiqua" w:hAnsi="Book Antiqua"/>
          <w:i/>
          <w:iCs/>
          <w:color w:val="000000" w:themeColor="text1"/>
          <w:sz w:val="24"/>
          <w:szCs w:val="24"/>
          <w:lang w:val="es-ES_tradnl"/>
        </w:rPr>
        <w:t xml:space="preserve"> </w:t>
      </w:r>
      <w:proofErr w:type="spellStart"/>
      <w:r w:rsidRPr="00C06B21">
        <w:rPr>
          <w:rFonts w:ascii="Book Antiqua" w:hAnsi="Book Antiqua"/>
          <w:i/>
          <w:iCs/>
          <w:color w:val="000000" w:themeColor="text1"/>
          <w:sz w:val="24"/>
          <w:szCs w:val="24"/>
          <w:lang w:val="es-ES_tradnl"/>
        </w:rPr>
        <w:t>Assistance</w:t>
      </w:r>
      <w:proofErr w:type="spellEnd"/>
      <w:r w:rsidRPr="00C06B21">
        <w:rPr>
          <w:rFonts w:ascii="Book Antiqua" w:hAnsi="Book Antiqua"/>
          <w:i/>
          <w:iCs/>
          <w:color w:val="000000" w:themeColor="text1"/>
          <w:sz w:val="24"/>
          <w:szCs w:val="24"/>
          <w:lang w:val="es-ES_tradnl"/>
        </w:rPr>
        <w:t>”</w:t>
      </w:r>
      <w:r w:rsidRPr="00C06B21">
        <w:rPr>
          <w:rFonts w:ascii="Book Antiqua" w:hAnsi="Book Antiqua"/>
          <w:color w:val="000000" w:themeColor="text1"/>
          <w:sz w:val="24"/>
          <w:szCs w:val="24"/>
          <w:lang w:val="es-ES_tradnl"/>
        </w:rPr>
        <w:t>.  Estos programas se nutren de fondos federales, para los cuales el DTRH tiene una función como custodio y administrador de los mismos.</w:t>
      </w:r>
    </w:p>
    <w:p w14:paraId="32F2E269" w14:textId="77777777" w:rsidR="00CF4A9A" w:rsidRPr="00C06B21" w:rsidRDefault="00CF4A9A" w:rsidP="00DB2669">
      <w:pPr>
        <w:pStyle w:val="FootnoteText"/>
        <w:jc w:val="both"/>
        <w:rPr>
          <w:rFonts w:ascii="Book Antiqua" w:hAnsi="Book Antiqua"/>
          <w:color w:val="000000" w:themeColor="text1"/>
          <w:sz w:val="24"/>
          <w:szCs w:val="24"/>
          <w:lang w:val="es-ES_tradnl"/>
        </w:rPr>
      </w:pPr>
    </w:p>
    <w:p w14:paraId="2AE4B72E" w14:textId="77777777" w:rsidR="00CF4A9A" w:rsidRPr="00C06B21" w:rsidRDefault="00CF4A9A" w:rsidP="00DB2669">
      <w:pPr>
        <w:pStyle w:val="FootnoteText"/>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En síntesis, ya sea en los programas ordinarios de desempleo, así como en los programas de emergencia, la responsabilidad que ostenta el DRTH al administrar éstos le impone un deber de fiscalizar los mismos para asegurarse que la asistencia sea recibida por aquellos reclamantes con reclamaciones legítimas.  Aun cuando partimos de la premisa que todo reclamante debe llevar a cabo gestiones certeras y reales, el DRTH debe tomar todas las medidas necesarias para asegurar que la utilización de los programas no se preste para solicitudes fraudulentas.  El DTRH tiene un deber ministerial de velar por los fondos que son desembolsados, sin importar si éstos son de naturaleza estatal o federal.    </w:t>
      </w:r>
    </w:p>
    <w:p w14:paraId="23541BCE" w14:textId="77777777" w:rsidR="00CF4A9A" w:rsidRPr="00C06B21" w:rsidRDefault="00CF4A9A" w:rsidP="00DB2669">
      <w:pPr>
        <w:pStyle w:val="FootnoteText"/>
        <w:jc w:val="both"/>
        <w:rPr>
          <w:rFonts w:ascii="Book Antiqua" w:hAnsi="Book Antiqua"/>
          <w:color w:val="000000" w:themeColor="text1"/>
          <w:sz w:val="24"/>
          <w:szCs w:val="24"/>
          <w:lang w:val="es-ES_tradnl"/>
        </w:rPr>
      </w:pPr>
    </w:p>
    <w:p w14:paraId="6CBB7B3C" w14:textId="77777777" w:rsidR="00CF4A9A" w:rsidRPr="00C06B21" w:rsidRDefault="00CF4A9A" w:rsidP="00DB2669">
      <w:pPr>
        <w:pStyle w:val="FootnoteText"/>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La legislación vigente limita drásticamente el término que tiene el DTRH para llevar a cabo el proceso de fiscalización.  Debido a que el DTRH tiene el deber de ser diligente en sus procesos, nuestro estado de derecho no debe atarle de manos para que, por un alto volumen de solicitudes, no pueda concluir sus investigaciones a tiempo, de modo que pueda evitar efectivamente el desembolso de fondos a reclamantes que, brindando información falsa u ocultando información, soliciten acceso a los diversos programas manejados por el Departamento.  Ello cobra mayor relevancia en estos momentos históricos, cuando los programas federales creados por razón de la pandemia del COVID-19 sumaron cientos de miles de reclamaciones que debieron ser trabajadas con el limitado tiempo y poco personal con el que cuenta el DTRH.</w:t>
      </w:r>
    </w:p>
    <w:p w14:paraId="6F739EFC"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41A722DB"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Actualmente, la Ley permite que el DTRH pueda reconsiderar una determinación de concesión de beneficios hasta dos (2) años a partir de la fecha de cada semana pagada.  De igual modo, tiene cinco (5) años para realizar la gestión de cobro.  Con la experiencia adquirida en el reciente programa de asistencia, no ha sido sino hasta el final del mencionado programa que el DTRH ha tenido acceso a información que pudiera resultar en la concesión de beneficios solicitados de manera fraudulenta.  Ello, no por falta de diligencia, sino por la forma en que fue aprobada la Ley CARES, la cual sufrió enmiendas durante el transcurso de su vigencia para ir afinando los detalles de su aplicación.  De la forma en que está estructurada la ley, el término de prescripción pudiera impedir que se realice una fiscalización adecuada, evitando que se pueda someter al reclamante que proveyó información u ocultó información de manera fraudulenta a un proceso administrativo de recobro. </w:t>
      </w:r>
    </w:p>
    <w:p w14:paraId="43F10865"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p>
    <w:p w14:paraId="10DBE68F"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lastRenderedPageBreak/>
        <w:t xml:space="preserve">Con esta medida, se amplía el término que tiene el DTRH para llevar a cabo una fiscalización adecuada y se limita el acceso a los beneficios a aquellos que realicen su reclamación de forma fraudulenta.  La presente medida no pretende afectar al reclamante honesto que realiza su reclamación con información veraz, sino extender el proceso para que se pueda realizar una abarcadora investigación en aquellas reclamaciones que se llevaron a cabo bajo información fraudulenta u omisión de información adecuada.  </w:t>
      </w:r>
    </w:p>
    <w:p w14:paraId="5F28A396"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35188EB4" w14:textId="4857A526"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Como cuestión de hecho, nuestra jurisdicción cuenta con uno de los términos prescriptivos más cortos en comparación con los estados de Estados Unidos.  Sólo cuatro (4) estados tienen términos prescriptivos inferiores al nuestro, cinco (5) estados mantienen nuestro mismo término, trece (13) estados cuentan con términos más extensos que el nuestro y veintinueve (29) estados, así como Washington DC, no tienen término prescriptivo para acciones de recobro en casos de fraude. </w:t>
      </w:r>
    </w:p>
    <w:p w14:paraId="0A2767BC"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24C350B2"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Esta Asamblea Legislativa promueve una gobernanza ágil.  No obstante, ello no debe ser óbice para que un término prescriptivo corto impida al DTRH fiscalizar los beneficios concedidos, considerando las instancias extraordinarias en las que el DTRH recibe un volumen significativamente alto de casos en comparación con el personal disponible para atender éstos.  El reclamante que presentó su información fraudulenta u omitió información debe ser responsable ante las agencias pertinentes, a tenor con sus acciones u omisiones.  En aquellos casos en que se determine que un reclamante solicitó ciertos beneficios a los que no tenía derecho, debe, sin menoscabo de cualquier acción criminal, estar sujeto a la devolución del cobro indebido que, en su día, se determine.</w:t>
      </w:r>
    </w:p>
    <w:p w14:paraId="73FB7562"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10D31DB3"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El DTRH, como custodio y administrador de los fondos que recibe, tiene la obligación ante el Gobierno Federal de hacer una proyección de fraude y devolver los fondos distribuidos al que el reclamante no tuviera derecho.  De este modo, el DTRH tiene el deber de ser responsable con sus acciones de cobro ante el Gobierno Federal.  Así las cosas, resulta medular que el Departamento cuente con un proceso adecuado para recobrar dichos pagos indebidos, y que estos balances no afecten los fondos operacionales con los que cuente.</w:t>
      </w:r>
    </w:p>
    <w:p w14:paraId="0E27217D"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0E3C7A80"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Al presente, cualquier reclamante con un cobro indebido tiene una obligación ante el DTRH, para el cual debe devolver los fondos recibidos de forma inmediata o mediante el establecimiento de un plan de pagos.  Para aquellos reclamantes que son empleados gubernamentales o contratistas de gobierno, existe un proceso de cobro adicional, el cual permite la retención de salario o de pagos por servicios.  Sin embargo, si el reclamante no se encuentra dentro de estas categorías, las opciones para el cobro del cobro indebido son mucho más limitadas.</w:t>
      </w:r>
    </w:p>
    <w:p w14:paraId="41343BEB"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0BEB81CA" w14:textId="5B50BA82"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Dentro de las medidas de fiscalización que se promueven mediante esta Ley, se permite que el DTRH, luego del debido proceso de ley, pueda notificar, tanto al Departamento de Hacienda de Puerto Rico como al Servicio de Rentas Internas Federal </w:t>
      </w:r>
      <w:r w:rsidRPr="00C06B21">
        <w:rPr>
          <w:rFonts w:ascii="Book Antiqua" w:hAnsi="Book Antiqua"/>
          <w:color w:val="000000" w:themeColor="text1"/>
          <w:sz w:val="24"/>
          <w:szCs w:val="24"/>
          <w:lang w:val="es-ES_tradnl"/>
        </w:rPr>
        <w:lastRenderedPageBreak/>
        <w:t xml:space="preserve">de algún balance de cobro indebido que tenga algún reclamante, de modo que dichas agencias puedan retener, a favor del DTRH, </w:t>
      </w:r>
      <w:r w:rsidR="001F74CE" w:rsidRPr="00850CB4">
        <w:rPr>
          <w:rFonts w:ascii="Book Antiqua" w:hAnsi="Book Antiqua"/>
          <w:color w:val="000000" w:themeColor="text1"/>
          <w:sz w:val="24"/>
          <w:szCs w:val="24"/>
          <w:lang w:val="es-ES_tradnl"/>
        </w:rPr>
        <w:t>hasta un máximo del cincuenta por ciento (50%) anual del</w:t>
      </w:r>
      <w:r w:rsidRPr="00C06B21">
        <w:rPr>
          <w:rFonts w:ascii="Book Antiqua" w:hAnsi="Book Antiqua"/>
          <w:color w:val="000000" w:themeColor="text1"/>
          <w:sz w:val="24"/>
          <w:szCs w:val="24"/>
          <w:lang w:val="es-ES_tradnl"/>
        </w:rPr>
        <w:t xml:space="preserve"> reintegro contributivo a favor del reclamante para el saldo del cobro indebido.  Para ello, se establece un proceso robusto que permita al reclamante impugnar oportunamente el aludido cobro indebido previo a la notificación a las referidas agencias.  </w:t>
      </w:r>
    </w:p>
    <w:p w14:paraId="64DEC692"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5174C4FA"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Este tratamiento no resulta novel tanto en nuestra jurisdicción como en la jurisdicción federal.  En Puerto Rico, existe un procedimiento a favor de la Administración de Sustento de Menores similar al que aquí se establece.  Aunque con fines distintos, no es menos cierto que la obligación del manejo de fondos federales reviste de tal importancia y responsabilidad frente al reclamante que solicitó los beneficios de forma fraudulenta, siempre que se cumpla con la máxima constitucional del cumplimiento del debido proceso de ley.  A nivel federal, existe el </w:t>
      </w:r>
      <w:r w:rsidRPr="00C06B21">
        <w:rPr>
          <w:rFonts w:ascii="Book Antiqua" w:hAnsi="Book Antiqua"/>
          <w:i/>
          <w:iCs/>
          <w:color w:val="000000" w:themeColor="text1"/>
          <w:sz w:val="24"/>
          <w:szCs w:val="24"/>
          <w:lang w:val="es-ES_tradnl"/>
        </w:rPr>
        <w:t xml:space="preserve">Federal Offset </w:t>
      </w:r>
      <w:proofErr w:type="spellStart"/>
      <w:r w:rsidRPr="00C06B21">
        <w:rPr>
          <w:rFonts w:ascii="Book Antiqua" w:hAnsi="Book Antiqua"/>
          <w:i/>
          <w:iCs/>
          <w:color w:val="000000" w:themeColor="text1"/>
          <w:sz w:val="24"/>
          <w:szCs w:val="24"/>
          <w:lang w:val="es-ES_tradnl"/>
        </w:rPr>
        <w:t>Program</w:t>
      </w:r>
      <w:proofErr w:type="spellEnd"/>
      <w:r w:rsidRPr="00C06B21">
        <w:rPr>
          <w:rFonts w:ascii="Book Antiqua" w:hAnsi="Book Antiqua"/>
          <w:color w:val="000000" w:themeColor="text1"/>
          <w:sz w:val="24"/>
          <w:szCs w:val="24"/>
          <w:lang w:val="es-ES_tradnl"/>
        </w:rPr>
        <w:t xml:space="preserve">, para el cual las agencias gubernamentales notifican alguna deuda que tenga un individuo, de modo que el Servicio de Rentas Internas Federal retenga, luego de su debido proceso de ley y en cumplimiento con los requisitos del programa, cualquier deuda contributiva a favor de éste.  </w:t>
      </w:r>
    </w:p>
    <w:p w14:paraId="78C4905A" w14:textId="77777777" w:rsidR="00CF4A9A" w:rsidRPr="00C06B21" w:rsidRDefault="00CF4A9A" w:rsidP="00DB2669">
      <w:pPr>
        <w:pStyle w:val="NormalWeb"/>
        <w:spacing w:before="0" w:beforeAutospacing="0" w:after="0" w:afterAutospacing="0"/>
        <w:ind w:firstLine="720"/>
        <w:jc w:val="both"/>
        <w:rPr>
          <w:rFonts w:ascii="Book Antiqua" w:hAnsi="Book Antiqua"/>
          <w:color w:val="000000" w:themeColor="text1"/>
          <w:lang w:val="es-ES_tradnl"/>
        </w:rPr>
      </w:pPr>
    </w:p>
    <w:p w14:paraId="07B580EB" w14:textId="3EAC7300" w:rsidR="00CF4A9A" w:rsidRPr="00C06B21" w:rsidRDefault="00CF4A9A" w:rsidP="00DB2669">
      <w:pPr>
        <w:pStyle w:val="NormalWeb"/>
        <w:spacing w:before="0" w:beforeAutospacing="0" w:after="0" w:afterAutospacing="0"/>
        <w:ind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Por último, la legislación vigente contiene limitaciones sobre imposiciones y actuaciones administrativas o judiciales que, a nuestro juicio, pueden resultar en una intromisión indebida de las funciones que puede llevar tanto el DTRH como las agencias de ley y orden.  Por lo tanto, mediante esta Ley, se separa el aspecto administrativo del penal, de modo que el DTRH pueda llevar a cabo las funciones administrativas que le fueron conferidas y, por otro lado, protege la discreción de las agencias de ley y orden para que éstas puedan ejecutar adecuadamente las funciones que le han sido delegadas, sin sujeción a limitaciones que laceren su jurisdicción en el campo penal. </w:t>
      </w:r>
    </w:p>
    <w:p w14:paraId="41DB90E3"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p>
    <w:p w14:paraId="591F5F88" w14:textId="27E2C63B"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 xml:space="preserve">A tenor con lo anterior, esta Asamblea Legislativa se asegura de que una de nuestras agencias constitucionales pueda responsablemente cumplir con su deber ministerial en la fiscalización de los fondos que recibe para los distintos programas de beneficios de desempleo.  Con ello, llevamos un mensaje claro y preciso de que somos ciudadanos de ley y orden, y, como tal, nos debemos comportar en cada una de nuestras acciones.  De este modo, aquellos reclamantes que solicitan los beneficios de desempleo a sabiendas de que no cualifican para éstos, no podrán utilizar el subterfugio del término reducido para deshacerse de su responsabilidad frente al DTRH.  </w:t>
      </w:r>
    </w:p>
    <w:p w14:paraId="23A0CC09" w14:textId="77777777" w:rsidR="00CF4A9A" w:rsidRPr="00C06B21" w:rsidRDefault="00CF4A9A" w:rsidP="00DB2669">
      <w:pPr>
        <w:shd w:val="clear" w:color="auto" w:fill="FFFFFF"/>
        <w:spacing w:after="0" w:line="240" w:lineRule="auto"/>
        <w:jc w:val="both"/>
        <w:rPr>
          <w:rFonts w:ascii="Book Antiqua" w:hAnsi="Book Antiqua"/>
          <w:color w:val="000000" w:themeColor="text1"/>
          <w:sz w:val="24"/>
          <w:szCs w:val="24"/>
          <w:lang w:val="es-ES_tradnl"/>
        </w:rPr>
      </w:pPr>
    </w:p>
    <w:p w14:paraId="6AC030C3" w14:textId="77777777" w:rsidR="00CF4A9A" w:rsidRPr="00C06B21" w:rsidRDefault="00CF4A9A" w:rsidP="00DB2669">
      <w:pPr>
        <w:shd w:val="clear" w:color="auto" w:fill="FFFFFF"/>
        <w:spacing w:after="0" w:line="24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Esta Asamblea Legislativa no claudicará en su esfuerzo de que todo reclamante que tenga derecho a algún beneficio pueda acceder a éstos.  No obstante, dicha solicitud debe realizarse solamente por aquéllos que así lo ejecuten de manera legal.</w:t>
      </w:r>
    </w:p>
    <w:p w14:paraId="587CF6DC" w14:textId="77777777" w:rsidR="00CF4A9A" w:rsidRPr="00C06B21" w:rsidRDefault="00CF4A9A" w:rsidP="00DB2669">
      <w:pPr>
        <w:shd w:val="clear" w:color="auto" w:fill="FFFFFF" w:themeFill="background1"/>
        <w:spacing w:after="0" w:line="240" w:lineRule="auto"/>
        <w:jc w:val="both"/>
        <w:rPr>
          <w:rFonts w:ascii="Book Antiqua" w:eastAsia="Times New Roman" w:hAnsi="Book Antiqua"/>
          <w:i/>
          <w:iCs/>
          <w:color w:val="000000" w:themeColor="text1"/>
          <w:sz w:val="24"/>
          <w:szCs w:val="24"/>
          <w:lang w:val="es-ES_tradnl"/>
        </w:rPr>
      </w:pPr>
    </w:p>
    <w:p w14:paraId="4D172D96" w14:textId="5BFA2A1D" w:rsidR="00CF4A9A" w:rsidRPr="00C06B21" w:rsidRDefault="00CF4A9A" w:rsidP="00DB2669">
      <w:pPr>
        <w:shd w:val="clear" w:color="auto" w:fill="FFFFFF" w:themeFill="background1"/>
        <w:spacing w:after="0" w:line="480" w:lineRule="auto"/>
        <w:jc w:val="both"/>
        <w:rPr>
          <w:rFonts w:ascii="Book Antiqua" w:eastAsia="Times New Roman" w:hAnsi="Book Antiqua"/>
          <w:color w:val="000000" w:themeColor="text1"/>
          <w:sz w:val="24"/>
          <w:szCs w:val="24"/>
          <w:lang w:val="es-ES_tradnl"/>
        </w:rPr>
      </w:pPr>
      <w:r w:rsidRPr="00C06B21">
        <w:rPr>
          <w:rFonts w:ascii="Book Antiqua" w:eastAsia="Times New Roman" w:hAnsi="Book Antiqua"/>
          <w:i/>
          <w:iCs/>
          <w:color w:val="000000" w:themeColor="text1"/>
          <w:sz w:val="24"/>
          <w:szCs w:val="24"/>
          <w:lang w:val="es-ES_tradnl"/>
        </w:rPr>
        <w:t xml:space="preserve">DECRÉTASE POR LA ASAMBLEA LEGISLATIVA DE PUERTO RICO: </w:t>
      </w:r>
    </w:p>
    <w:p w14:paraId="0D3CC144" w14:textId="77777777" w:rsidR="00CF4A9A" w:rsidRPr="00C06B21" w:rsidRDefault="00CF4A9A" w:rsidP="00CF4A9A">
      <w:pPr>
        <w:shd w:val="clear" w:color="auto" w:fill="FFFFFF" w:themeFill="background1"/>
        <w:spacing w:after="0" w:line="480" w:lineRule="auto"/>
        <w:ind w:firstLine="720"/>
        <w:jc w:val="both"/>
        <w:rPr>
          <w:rFonts w:ascii="Book Antiqua" w:eastAsia="Times New Roman" w:hAnsi="Book Antiqua"/>
          <w:color w:val="000000" w:themeColor="text1"/>
          <w:sz w:val="24"/>
          <w:szCs w:val="24"/>
          <w:lang w:val="es-ES_tradnl"/>
        </w:rPr>
        <w:sectPr w:rsidR="00CF4A9A" w:rsidRPr="00C06B21" w:rsidSect="00BD2021">
          <w:headerReference w:type="default" r:id="rId7"/>
          <w:footerReference w:type="default" r:id="rId8"/>
          <w:pgSz w:w="12240" w:h="15840"/>
          <w:pgMar w:top="1440" w:right="1440" w:bottom="1440" w:left="1440" w:header="720" w:footer="720" w:gutter="0"/>
          <w:cols w:space="720"/>
          <w:titlePg/>
          <w:docGrid w:linePitch="360"/>
        </w:sectPr>
      </w:pPr>
    </w:p>
    <w:p w14:paraId="3E5F364A" w14:textId="007E6B52"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Artículo 1. - Se enmienda la Sección 4 de la Ley Núm. 74 de 21 de junio de 1956, </w:t>
      </w:r>
      <w:r w:rsidRPr="00C06B21">
        <w:rPr>
          <w:rFonts w:ascii="Book Antiqua" w:hAnsi="Book Antiqua"/>
          <w:color w:val="000000" w:themeColor="text1"/>
          <w:lang w:val="es-ES_tradnl"/>
        </w:rPr>
        <w:lastRenderedPageBreak/>
        <w:t>según enmendada, conocida como “Ley de Seguridad de Empleo de Puerto Rico”, para que</w:t>
      </w:r>
      <w:r w:rsidR="00AB3F19" w:rsidRPr="00C06B21">
        <w:rPr>
          <w:rFonts w:ascii="Book Antiqua" w:hAnsi="Book Antiqua"/>
          <w:color w:val="000000" w:themeColor="text1"/>
          <w:lang w:val="es-ES_tradnl"/>
        </w:rPr>
        <w:t xml:space="preserve"> se</w:t>
      </w:r>
      <w:r w:rsidRPr="00C06B21">
        <w:rPr>
          <w:rFonts w:ascii="Book Antiqua" w:hAnsi="Book Antiqua"/>
          <w:color w:val="000000" w:themeColor="text1"/>
          <w:lang w:val="es-ES_tradnl"/>
        </w:rPr>
        <w:t xml:space="preserve"> lea como sigue:</w:t>
      </w:r>
    </w:p>
    <w:p w14:paraId="6AC5DF35" w14:textId="6ACD4F04" w:rsidR="00C06B21" w:rsidRPr="00850CB4" w:rsidRDefault="00624804" w:rsidP="00850CB4">
      <w:pPr>
        <w:pStyle w:val="BodyText"/>
        <w:spacing w:line="480" w:lineRule="auto"/>
        <w:ind w:left="0" w:firstLine="720"/>
        <w:jc w:val="center"/>
        <w:rPr>
          <w:rFonts w:ascii="Book Antiqua" w:hAnsi="Book Antiqua"/>
          <w:color w:val="000000" w:themeColor="text1"/>
          <w:lang w:val="es-ES_tradnl"/>
        </w:rPr>
      </w:pPr>
      <w:r w:rsidRPr="00850CB4">
        <w:rPr>
          <w:rFonts w:ascii="Book Antiqua" w:hAnsi="Book Antiqua"/>
          <w:color w:val="000000" w:themeColor="text1"/>
          <w:lang w:val="es-ES_tradnl"/>
        </w:rPr>
        <w:t>“</w:t>
      </w:r>
      <w:r w:rsidR="00C06B21" w:rsidRPr="00850CB4">
        <w:rPr>
          <w:rFonts w:ascii="Book Antiqua" w:hAnsi="Book Antiqua"/>
          <w:color w:val="000000" w:themeColor="text1"/>
          <w:lang w:val="es-ES_tradnl"/>
        </w:rPr>
        <w:t>SECCIÓN 4. – CONDICIONES PARA RECIBIR BENEFICIO</w:t>
      </w:r>
    </w:p>
    <w:p w14:paraId="7CB6577F" w14:textId="6921AFDF" w:rsidR="00C06B21" w:rsidRPr="00850CB4" w:rsidRDefault="00C06B21" w:rsidP="00C06B21">
      <w:pPr>
        <w:pStyle w:val="BodyText"/>
        <w:spacing w:line="480" w:lineRule="auto"/>
        <w:ind w:left="0" w:firstLine="720"/>
        <w:jc w:val="both"/>
        <w:rPr>
          <w:rFonts w:ascii="Book Antiqua" w:hAnsi="Book Antiqua"/>
          <w:color w:val="000000" w:themeColor="text1"/>
          <w:lang w:val="es-ES_tradnl"/>
        </w:rPr>
      </w:pPr>
      <w:r w:rsidRPr="00850CB4">
        <w:rPr>
          <w:rFonts w:ascii="Book Antiqua" w:hAnsi="Book Antiqua"/>
          <w:color w:val="000000" w:themeColor="text1"/>
          <w:lang w:val="es-ES_tradnl"/>
        </w:rPr>
        <w:t>Sección 4.</w:t>
      </w:r>
    </w:p>
    <w:p w14:paraId="1285E54F" w14:textId="77777777" w:rsidR="003120AA" w:rsidRPr="00C06B21" w:rsidRDefault="003120AA" w:rsidP="00CF4A9A">
      <w:pPr>
        <w:pStyle w:val="BodyText"/>
        <w:numPr>
          <w:ilvl w:val="0"/>
          <w:numId w:val="5"/>
        </w:numPr>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Elegibilidad para beneficios</w:t>
      </w:r>
    </w:p>
    <w:p w14:paraId="100B6A82" w14:textId="22DDDC65" w:rsidR="00CF4A9A" w:rsidRPr="00C06B21" w:rsidRDefault="003120AA" w:rsidP="003120AA">
      <w:pPr>
        <w:pStyle w:val="BodyText"/>
        <w:numPr>
          <w:ilvl w:val="0"/>
          <w:numId w:val="8"/>
        </w:numPr>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67952F8F" w14:textId="2CD23BDE" w:rsidR="003120AA" w:rsidRPr="00C06B21" w:rsidRDefault="003120AA" w:rsidP="00235EE9">
      <w:pPr>
        <w:pStyle w:val="BodyText"/>
        <w:spacing w:line="480" w:lineRule="auto"/>
        <w:ind w:left="108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2101C037" w14:textId="77777777" w:rsidR="00CF4A9A" w:rsidRPr="00C06B21" w:rsidRDefault="00CF4A9A" w:rsidP="00CF4A9A">
      <w:pPr>
        <w:pStyle w:val="BodyText"/>
        <w:numPr>
          <w:ilvl w:val="0"/>
          <w:numId w:val="5"/>
        </w:numPr>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Descalificaciones. - …</w:t>
      </w:r>
    </w:p>
    <w:p w14:paraId="5B37C04A" w14:textId="77777777" w:rsidR="00CF4A9A" w:rsidRPr="00C06B21" w:rsidRDefault="00CF4A9A" w:rsidP="00CF4A9A">
      <w:pPr>
        <w:pStyle w:val="BodyText"/>
        <w:numPr>
          <w:ilvl w:val="0"/>
          <w:numId w:val="6"/>
        </w:numPr>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04D8CD93" w14:textId="77777777" w:rsidR="00CF4A9A" w:rsidRPr="00C06B21" w:rsidRDefault="00CF4A9A" w:rsidP="00CF4A9A">
      <w:pPr>
        <w:pStyle w:val="BodyText"/>
        <w:spacing w:line="480" w:lineRule="auto"/>
        <w:ind w:left="108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0C532918" w14:textId="77777777" w:rsidR="00CF4A9A" w:rsidRPr="00C06B21" w:rsidRDefault="00CF4A9A" w:rsidP="00CF4A9A">
      <w:pPr>
        <w:pStyle w:val="BodyText"/>
        <w:spacing w:line="480" w:lineRule="auto"/>
        <w:ind w:left="108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(7) dentro de los </w:t>
      </w:r>
      <w:r w:rsidRPr="00C06B21">
        <w:rPr>
          <w:rFonts w:ascii="Book Antiqua" w:hAnsi="Book Antiqua"/>
          <w:b/>
          <w:bCs/>
          <w:color w:val="000000" w:themeColor="text1"/>
          <w:lang w:val="es-ES_tradnl"/>
        </w:rPr>
        <w:t>[veinticuatro (24)]</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sesenta</w:t>
      </w:r>
      <w:r w:rsidRPr="00C06B21">
        <w:rPr>
          <w:rFonts w:ascii="Book Antiqua" w:hAnsi="Book Antiqua"/>
          <w:color w:val="000000" w:themeColor="text1"/>
          <w:lang w:val="es-ES_tradnl"/>
        </w:rPr>
        <w:t xml:space="preserve"> </w:t>
      </w:r>
      <w:r w:rsidRPr="00C06B21">
        <w:rPr>
          <w:rFonts w:ascii="Book Antiqua" w:hAnsi="Book Antiqua"/>
          <w:i/>
          <w:color w:val="000000" w:themeColor="text1"/>
          <w:lang w:val="es-ES_tradnl"/>
        </w:rPr>
        <w:t>(</w:t>
      </w:r>
      <w:r w:rsidRPr="00C06B21">
        <w:rPr>
          <w:rFonts w:ascii="Book Antiqua" w:hAnsi="Book Antiqua"/>
          <w:i/>
          <w:iCs/>
          <w:color w:val="000000" w:themeColor="text1"/>
          <w:lang w:val="es-ES_tradnl"/>
        </w:rPr>
        <w:t>60)</w:t>
      </w:r>
      <w:r w:rsidRPr="00C06B21">
        <w:rPr>
          <w:rFonts w:ascii="Book Antiqua" w:hAnsi="Book Antiqua"/>
          <w:color w:val="000000" w:themeColor="text1"/>
          <w:lang w:val="es-ES_tradnl"/>
        </w:rPr>
        <w:t xml:space="preserve"> meses naturales que inmediatamente precedan a dicha semana y con intención de cometer fraude para obtener beneficios que no fueren pagaderos bajo esta ley, hubiere hecho alguna falsa declaración o representación sobre un hecho material a sabiendas de que la misma era falsa o que a sabiendas hubiere ocultado algún hecho material con el propósito de obtener o aumentar los beneficios bajo esta ley, en cuyo caso será descalificado por la semana en que el Director haga una determinación a este respecto y por las cincuenta y dos (52) semanas inmediatamente subsiguientes a dicha semana </w:t>
      </w:r>
      <w:r w:rsidRPr="00C06B21">
        <w:rPr>
          <w:rFonts w:ascii="Book Antiqua" w:hAnsi="Book Antiqua"/>
          <w:b/>
          <w:bCs/>
          <w:color w:val="000000" w:themeColor="text1"/>
          <w:lang w:val="es-ES_tradnl"/>
        </w:rPr>
        <w:t>[.Disponiéndose, sin embargo, que no se impondrá descalificación alguna por este motivo a un reclamante contra quien se hubiere incoado un procedimiento criminal bajo la Sección 15(a) de esta ley]</w:t>
      </w:r>
      <w:r w:rsidRPr="00C06B21">
        <w:rPr>
          <w:rFonts w:ascii="Book Antiqua" w:hAnsi="Book Antiqua"/>
          <w:color w:val="000000" w:themeColor="text1"/>
          <w:lang w:val="es-ES_tradnl"/>
        </w:rPr>
        <w:t>;</w:t>
      </w:r>
    </w:p>
    <w:p w14:paraId="6D5C2308" w14:textId="0051AEAE" w:rsidR="00CF4A9A" w:rsidRPr="00C06B21" w:rsidRDefault="00624804" w:rsidP="00CF4A9A">
      <w:pPr>
        <w:pStyle w:val="BodyText"/>
        <w:spacing w:line="480" w:lineRule="auto"/>
        <w:ind w:left="1080"/>
        <w:jc w:val="both"/>
        <w:rPr>
          <w:rFonts w:ascii="Book Antiqua" w:hAnsi="Book Antiqua"/>
          <w:color w:val="000000" w:themeColor="text1"/>
          <w:lang w:val="es-ES_tradnl"/>
        </w:rPr>
      </w:pPr>
      <w:r w:rsidRPr="00C06B21">
        <w:rPr>
          <w:rFonts w:ascii="Book Antiqua" w:hAnsi="Book Antiqua"/>
          <w:color w:val="000000" w:themeColor="text1"/>
          <w:lang w:val="es-ES_tradnl"/>
        </w:rPr>
        <w:lastRenderedPageBreak/>
        <w:t xml:space="preserve">(8) </w:t>
      </w:r>
      <w:r w:rsidR="00CF4A9A" w:rsidRPr="00C06B21">
        <w:rPr>
          <w:rFonts w:ascii="Book Antiqua" w:hAnsi="Book Antiqua"/>
          <w:color w:val="000000" w:themeColor="text1"/>
          <w:lang w:val="es-ES_tradnl"/>
        </w:rPr>
        <w:t>…</w:t>
      </w:r>
    </w:p>
    <w:p w14:paraId="58A6F02C" w14:textId="387470A4" w:rsidR="00624804" w:rsidRPr="00C06B21" w:rsidRDefault="00624804" w:rsidP="00CF4A9A">
      <w:pPr>
        <w:pStyle w:val="BodyText"/>
        <w:spacing w:line="480" w:lineRule="auto"/>
        <w:ind w:left="108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02B8D548" w14:textId="77777777" w:rsidR="00CF4A9A" w:rsidRPr="00C06B21" w:rsidRDefault="00CF4A9A" w:rsidP="00CF4A9A">
      <w:pPr>
        <w:pStyle w:val="BodyText"/>
        <w:spacing w:line="480" w:lineRule="auto"/>
        <w:ind w:left="1080"/>
        <w:jc w:val="both"/>
        <w:rPr>
          <w:rFonts w:ascii="Book Antiqua" w:hAnsi="Book Antiqua"/>
          <w:i/>
          <w:color w:val="000000" w:themeColor="text1"/>
          <w:lang w:val="es-ES_tradnl"/>
        </w:rPr>
      </w:pPr>
      <w:r w:rsidRPr="00C06B21">
        <w:rPr>
          <w:rFonts w:ascii="Book Antiqua" w:hAnsi="Book Antiqua"/>
          <w:i/>
          <w:color w:val="000000" w:themeColor="text1"/>
          <w:lang w:val="es-ES_tradnl"/>
        </w:rPr>
        <w:t>(15) Se des</w:t>
      </w:r>
      <w:r w:rsidRPr="00C06B21">
        <w:rPr>
          <w:rFonts w:ascii="Book Antiqua" w:hAnsi="Book Antiqua"/>
          <w:bCs/>
          <w:i/>
          <w:color w:val="000000" w:themeColor="text1"/>
          <w:lang w:val="es-ES_tradnl"/>
        </w:rPr>
        <w:t>calificará a todo reclamante</w:t>
      </w:r>
      <w:r w:rsidRPr="00C06B21">
        <w:rPr>
          <w:rFonts w:ascii="Book Antiqua" w:hAnsi="Book Antiqua"/>
          <w:b/>
          <w:bCs/>
          <w:i/>
          <w:color w:val="000000" w:themeColor="text1"/>
          <w:lang w:val="es-ES_tradnl"/>
        </w:rPr>
        <w:t xml:space="preserve"> </w:t>
      </w:r>
      <w:r w:rsidRPr="00C06B21">
        <w:rPr>
          <w:rFonts w:ascii="Book Antiqua" w:hAnsi="Book Antiqua"/>
          <w:bCs/>
          <w:i/>
          <w:color w:val="000000" w:themeColor="text1"/>
          <w:lang w:val="es-ES_tradnl"/>
        </w:rPr>
        <w:t xml:space="preserve">que </w:t>
      </w:r>
      <w:r w:rsidRPr="00C06B21">
        <w:rPr>
          <w:rFonts w:ascii="Book Antiqua" w:hAnsi="Book Antiqua"/>
          <w:i/>
          <w:color w:val="000000" w:themeColor="text1"/>
          <w:lang w:val="es-ES_tradnl"/>
        </w:rPr>
        <w:t xml:space="preserve">mantenga una deuda con el Departamento del Trabajo y Recursos Humanos relacionada a algún cobro indebido por concepto de cualquier </w:t>
      </w:r>
      <w:r w:rsidRPr="00C06B21">
        <w:rPr>
          <w:rFonts w:ascii="Book Antiqua" w:hAnsi="Book Antiqua"/>
          <w:i/>
          <w:iCs/>
          <w:color w:val="000000" w:themeColor="text1"/>
          <w:lang w:val="es-ES_tradnl"/>
        </w:rPr>
        <w:t>beneficio</w:t>
      </w:r>
      <w:r w:rsidRPr="00C06B21">
        <w:rPr>
          <w:rFonts w:ascii="Book Antiqua" w:hAnsi="Book Antiqua"/>
          <w:i/>
          <w:color w:val="000000" w:themeColor="text1"/>
          <w:lang w:val="es-ES_tradnl"/>
        </w:rPr>
        <w:t xml:space="preserve"> por desempleo o su equivalente</w:t>
      </w:r>
      <w:r w:rsidRPr="00C06B21">
        <w:rPr>
          <w:rFonts w:ascii="Book Antiqua" w:hAnsi="Book Antiqua"/>
          <w:i/>
          <w:iCs/>
          <w:color w:val="000000" w:themeColor="text1"/>
          <w:lang w:val="es-ES_tradnl"/>
        </w:rPr>
        <w:t xml:space="preserve">, cuando el mencionado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ocurrió a consecuencia de una reclamación en la que mediare fraude</w:t>
      </w:r>
      <w:r w:rsidRPr="00C06B21">
        <w:rPr>
          <w:rFonts w:ascii="Book Antiqua" w:hAnsi="Book Antiqua"/>
          <w:i/>
          <w:color w:val="000000" w:themeColor="text1"/>
          <w:lang w:val="es-ES_tradnl"/>
        </w:rPr>
        <w:t>.”</w:t>
      </w:r>
    </w:p>
    <w:p w14:paraId="07DAE9E0" w14:textId="04E14B45"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Artículo 2. - Se enmienda la Sección 5 de la Ley Núm. 74 de 21 de junio de 1956, según enmendada, conocida como “Ley de Seguridad de Empleo de Puerto Rico”, para que</w:t>
      </w:r>
      <w:r w:rsidR="00AB3F19" w:rsidRPr="00C06B21">
        <w:rPr>
          <w:rFonts w:ascii="Book Antiqua" w:hAnsi="Book Antiqua"/>
          <w:color w:val="000000" w:themeColor="text1"/>
          <w:lang w:val="es-ES_tradnl"/>
        </w:rPr>
        <w:t xml:space="preserve"> se</w:t>
      </w:r>
      <w:r w:rsidRPr="00C06B21">
        <w:rPr>
          <w:rFonts w:ascii="Book Antiqua" w:hAnsi="Book Antiqua"/>
          <w:color w:val="000000" w:themeColor="text1"/>
          <w:lang w:val="es-ES_tradnl"/>
        </w:rPr>
        <w:t xml:space="preserve"> lea como sigue:</w:t>
      </w:r>
    </w:p>
    <w:p w14:paraId="43E6B655" w14:textId="05CC23E4" w:rsidR="00C06B21" w:rsidRPr="00850CB4" w:rsidRDefault="00C06B21" w:rsidP="00C06B21">
      <w:pPr>
        <w:pStyle w:val="BodyText"/>
        <w:spacing w:line="480" w:lineRule="auto"/>
        <w:ind w:left="0" w:firstLine="720"/>
        <w:jc w:val="center"/>
        <w:rPr>
          <w:rFonts w:ascii="Book Antiqua" w:hAnsi="Book Antiqua"/>
          <w:color w:val="000000" w:themeColor="text1"/>
          <w:lang w:val="es-ES_tradnl"/>
        </w:rPr>
      </w:pPr>
      <w:r w:rsidRPr="00850CB4">
        <w:rPr>
          <w:rFonts w:ascii="Book Antiqua" w:hAnsi="Book Antiqua"/>
          <w:color w:val="000000" w:themeColor="text1"/>
          <w:lang w:val="es-ES_tradnl"/>
        </w:rPr>
        <w:t>SECCIÓN 5. -DETERMINACIONES, NOTIFICACIÓN Y PAGO DE BENEFICIOS</w:t>
      </w:r>
    </w:p>
    <w:p w14:paraId="58D43A73" w14:textId="29E31204" w:rsidR="00C06B21" w:rsidRPr="00850CB4" w:rsidRDefault="00C06B21" w:rsidP="00C06B21">
      <w:pPr>
        <w:pStyle w:val="BodyText"/>
        <w:spacing w:line="480" w:lineRule="auto"/>
        <w:ind w:left="0" w:firstLine="720"/>
        <w:jc w:val="both"/>
        <w:rPr>
          <w:rFonts w:ascii="Book Antiqua" w:hAnsi="Book Antiqua"/>
          <w:color w:val="000000" w:themeColor="text1"/>
          <w:lang w:val="es-ES_tradnl"/>
        </w:rPr>
      </w:pPr>
      <w:r w:rsidRPr="00850CB4">
        <w:rPr>
          <w:rFonts w:ascii="Book Antiqua" w:hAnsi="Book Antiqua"/>
          <w:color w:val="000000" w:themeColor="text1"/>
          <w:lang w:val="es-ES_tradnl"/>
        </w:rPr>
        <w:t>Sección 5.</w:t>
      </w:r>
    </w:p>
    <w:p w14:paraId="792B16A9" w14:textId="77777777" w:rsidR="00CF4A9A" w:rsidRPr="00C06B21" w:rsidRDefault="00CF4A9A" w:rsidP="00CF4A9A">
      <w:pPr>
        <w:pStyle w:val="BodyText"/>
        <w:numPr>
          <w:ilvl w:val="0"/>
          <w:numId w:val="4"/>
        </w:numPr>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05113F9E" w14:textId="77777777"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01C24B5F" w14:textId="77777777"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(g) …</w:t>
      </w:r>
    </w:p>
    <w:p w14:paraId="15D22D1E" w14:textId="77777777"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ab/>
        <w:t>(1) …</w:t>
      </w:r>
    </w:p>
    <w:p w14:paraId="3B1994D1" w14:textId="42A1B317" w:rsidR="00CF4A9A" w:rsidRPr="00C06B21" w:rsidRDefault="00CF4A9A" w:rsidP="00CF4A9A">
      <w:pPr>
        <w:pStyle w:val="BodyText"/>
        <w:numPr>
          <w:ilvl w:val="0"/>
          <w:numId w:val="6"/>
        </w:numPr>
        <w:spacing w:line="480" w:lineRule="auto"/>
        <w:ind w:left="720" w:firstLine="720"/>
        <w:jc w:val="both"/>
        <w:rPr>
          <w:rFonts w:ascii="Book Antiqua" w:hAnsi="Book Antiqua"/>
          <w:color w:val="000000" w:themeColor="text1"/>
          <w:lang w:val="es-ES_tradnl"/>
        </w:rPr>
      </w:pPr>
      <w:bookmarkStart w:id="0" w:name="_Hlk89690775"/>
      <w:r w:rsidRPr="00C06B21">
        <w:rPr>
          <w:rFonts w:ascii="Book Antiqua" w:hAnsi="Book Antiqua"/>
          <w:color w:val="000000" w:themeColor="text1"/>
          <w:lang w:val="es-ES_tradnl"/>
        </w:rPr>
        <w:t xml:space="preserve">En cualquier momento dentro de </w:t>
      </w:r>
      <w:r w:rsidRPr="00C06B21">
        <w:rPr>
          <w:rFonts w:ascii="Book Antiqua" w:hAnsi="Book Antiqua"/>
          <w:b/>
          <w:bCs/>
          <w:color w:val="000000" w:themeColor="text1"/>
          <w:lang w:val="es-ES_tradnl"/>
        </w:rPr>
        <w:t>[un (1) año]</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tres</w:t>
      </w:r>
      <w:r w:rsidRPr="00C06B21">
        <w:rPr>
          <w:rFonts w:ascii="Book Antiqua" w:hAnsi="Book Antiqua"/>
          <w:i/>
          <w:color w:val="000000" w:themeColor="text1"/>
          <w:lang w:val="es-ES_tradnl"/>
        </w:rPr>
        <w:t xml:space="preserve"> (</w:t>
      </w:r>
      <w:r w:rsidRPr="00C06B21">
        <w:rPr>
          <w:rFonts w:ascii="Book Antiqua" w:hAnsi="Book Antiqua"/>
          <w:i/>
          <w:iCs/>
          <w:color w:val="000000" w:themeColor="text1"/>
          <w:lang w:val="es-ES_tradnl"/>
        </w:rPr>
        <w:t>3) años</w:t>
      </w:r>
      <w:r w:rsidRPr="00C06B21">
        <w:rPr>
          <w:rFonts w:ascii="Book Antiqua" w:hAnsi="Book Antiqua"/>
          <w:color w:val="000000" w:themeColor="text1"/>
          <w:lang w:val="es-ES_tradnl"/>
        </w:rPr>
        <w:t xml:space="preserve"> de la fecha de una determinación sobre condición de asegurado de una persona</w:t>
      </w:r>
      <w:r w:rsidRPr="00C06B21">
        <w:rPr>
          <w:rFonts w:ascii="Book Antiqua" w:hAnsi="Book Antiqua"/>
          <w:i/>
          <w:iCs/>
          <w:color w:val="000000" w:themeColor="text1"/>
          <w:lang w:val="es-ES_tradnl"/>
        </w:rPr>
        <w:t>, o de una persona elegible de algún programa de asistencia bajo los criterios establecidos en regulación estatal o federal</w:t>
      </w:r>
      <w:r w:rsidRPr="00C06B21">
        <w:rPr>
          <w:rFonts w:ascii="Book Antiqua" w:hAnsi="Book Antiqua"/>
          <w:color w:val="000000" w:themeColor="text1"/>
          <w:lang w:val="es-ES_tradnl"/>
        </w:rPr>
        <w:t>, el Director podrá reconsiderar a iniciativa propia dicha determinación si encontrare que</w:t>
      </w:r>
      <w:r w:rsidRPr="00C06B21">
        <w:rPr>
          <w:rFonts w:ascii="Book Antiqua" w:hAnsi="Book Antiqua"/>
          <w:i/>
          <w:iCs/>
          <w:color w:val="000000" w:themeColor="text1"/>
          <w:lang w:val="es-ES_tradnl"/>
        </w:rPr>
        <w:t>,</w:t>
      </w:r>
      <w:r w:rsidRPr="00C06B21">
        <w:rPr>
          <w:rFonts w:ascii="Book Antiqua" w:hAnsi="Book Antiqua"/>
          <w:color w:val="000000" w:themeColor="text1"/>
          <w:lang w:val="es-ES_tradnl"/>
        </w:rPr>
        <w:t xml:space="preserve"> en relación con la misma</w:t>
      </w:r>
      <w:r w:rsidRPr="00C06B21">
        <w:rPr>
          <w:rFonts w:ascii="Book Antiqua" w:hAnsi="Book Antiqua"/>
          <w:i/>
          <w:iCs/>
          <w:color w:val="000000" w:themeColor="text1"/>
          <w:lang w:val="es-ES_tradnl"/>
        </w:rPr>
        <w:t>,</w:t>
      </w:r>
      <w:r w:rsidRPr="00C06B21">
        <w:rPr>
          <w:rFonts w:ascii="Book Antiqua" w:hAnsi="Book Antiqua"/>
          <w:color w:val="000000" w:themeColor="text1"/>
          <w:lang w:val="es-ES_tradnl"/>
        </w:rPr>
        <w:t xml:space="preserve"> ha ocurrido </w:t>
      </w:r>
      <w:r w:rsidRPr="00C06B21">
        <w:rPr>
          <w:rFonts w:ascii="Book Antiqua" w:hAnsi="Book Antiqua"/>
          <w:color w:val="000000" w:themeColor="text1"/>
          <w:lang w:val="es-ES_tradnl"/>
        </w:rPr>
        <w:lastRenderedPageBreak/>
        <w:t xml:space="preserve">un error de cómputo o identidad o que hay otros salarios relacionados con la condición de asegurado del reclamante, </w:t>
      </w:r>
      <w:r w:rsidRPr="00C06B21">
        <w:rPr>
          <w:rFonts w:ascii="Book Antiqua" w:hAnsi="Book Antiqua"/>
          <w:i/>
          <w:iCs/>
          <w:color w:val="000000" w:themeColor="text1"/>
          <w:lang w:val="es-ES_tradnl"/>
        </w:rPr>
        <w:t xml:space="preserve">o sobre la elegibilidad de una persona a algún programa de asistencia bajo los criterios establecidos bajo regulación </w:t>
      </w:r>
      <w:r w:rsidR="009B531C" w:rsidRPr="00850CB4">
        <w:rPr>
          <w:rFonts w:ascii="Book Antiqua" w:hAnsi="Book Antiqua"/>
          <w:i/>
          <w:iCs/>
          <w:color w:val="000000" w:themeColor="text1"/>
          <w:lang w:val="es-ES_tradnl"/>
        </w:rPr>
        <w:t xml:space="preserve">local </w:t>
      </w:r>
      <w:r w:rsidRPr="00C06B21">
        <w:rPr>
          <w:rFonts w:ascii="Book Antiqua" w:hAnsi="Book Antiqua"/>
          <w:i/>
          <w:iCs/>
          <w:color w:val="000000" w:themeColor="text1"/>
          <w:lang w:val="es-ES_tradnl"/>
        </w:rPr>
        <w:t>o federal,</w:t>
      </w:r>
      <w:r w:rsidRPr="00C06B21">
        <w:rPr>
          <w:rFonts w:ascii="Book Antiqua" w:hAnsi="Book Antiqua"/>
          <w:color w:val="000000" w:themeColor="text1"/>
          <w:lang w:val="es-ES_tradnl"/>
        </w:rPr>
        <w:t xml:space="preserve"> que deben ser tenidos en cuenta</w:t>
      </w:r>
      <w:r w:rsidRPr="00C06B21">
        <w:rPr>
          <w:rFonts w:ascii="Book Antiqua" w:hAnsi="Book Antiqua"/>
          <w:b/>
          <w:bCs/>
          <w:color w:val="000000" w:themeColor="text1"/>
          <w:lang w:val="es-ES_tradnl"/>
        </w:rPr>
        <w:t>[; o si la determinación de la condición de asegurado del reclamante fue hecha como resultado de la ocultación o representación falsa de algún hecho material]</w:t>
      </w:r>
      <w:r w:rsidRPr="00C06B21">
        <w:rPr>
          <w:rFonts w:ascii="Book Antiqua" w:hAnsi="Book Antiqua"/>
          <w:color w:val="000000" w:themeColor="text1"/>
          <w:lang w:val="es-ES_tradnl"/>
        </w:rPr>
        <w:t>.</w:t>
      </w:r>
    </w:p>
    <w:bookmarkEnd w:id="0"/>
    <w:p w14:paraId="5F6EFA41" w14:textId="7F8D5E78" w:rsidR="00CF4A9A" w:rsidRPr="00C06B21" w:rsidRDefault="00CF4A9A" w:rsidP="00CF4A9A">
      <w:pPr>
        <w:pStyle w:val="BodyText"/>
        <w:spacing w:line="480" w:lineRule="auto"/>
        <w:ind w:left="720"/>
        <w:jc w:val="both"/>
        <w:rPr>
          <w:rFonts w:ascii="Book Antiqua" w:hAnsi="Book Antiqua"/>
          <w:i/>
          <w:color w:val="000000" w:themeColor="text1"/>
          <w:lang w:val="es-ES_tradnl"/>
        </w:rPr>
      </w:pPr>
      <w:r w:rsidRPr="00C06B21">
        <w:rPr>
          <w:rFonts w:ascii="Book Antiqua" w:hAnsi="Book Antiqua"/>
          <w:color w:val="000000" w:themeColor="text1"/>
          <w:lang w:val="es-ES_tradnl"/>
        </w:rPr>
        <w:tab/>
        <w:t xml:space="preserve">(3) </w:t>
      </w:r>
      <w:r w:rsidRPr="00C06B21">
        <w:rPr>
          <w:rFonts w:ascii="Book Antiqua" w:hAnsi="Book Antiqua"/>
          <w:i/>
          <w:iCs/>
          <w:color w:val="000000" w:themeColor="text1"/>
          <w:lang w:val="es-ES_tradnl"/>
        </w:rPr>
        <w:t xml:space="preserve">En cualquier momento dentro de cinco (5) años de la fecha de una determinación sobre condición de asegurado de una persona, o de una persona elegible bajo algún programa de asistencia bajo los criterios establecidos en regulación </w:t>
      </w:r>
      <w:r w:rsidR="009B531C" w:rsidRPr="00850CB4">
        <w:rPr>
          <w:rFonts w:ascii="Book Antiqua" w:hAnsi="Book Antiqua"/>
          <w:i/>
          <w:iCs/>
          <w:color w:val="000000" w:themeColor="text1"/>
          <w:lang w:val="es-ES_tradnl"/>
        </w:rPr>
        <w:t xml:space="preserve">local </w:t>
      </w:r>
      <w:r w:rsidRPr="00C06B21">
        <w:rPr>
          <w:rFonts w:ascii="Book Antiqua" w:hAnsi="Book Antiqua"/>
          <w:i/>
          <w:iCs/>
          <w:color w:val="000000" w:themeColor="text1"/>
          <w:lang w:val="es-ES_tradnl"/>
        </w:rPr>
        <w:t>o federal,</w:t>
      </w:r>
      <w:r w:rsidRPr="00C06B21">
        <w:rPr>
          <w:rFonts w:ascii="Book Antiqua" w:hAnsi="Book Antiqua"/>
          <w:color w:val="000000" w:themeColor="text1"/>
          <w:lang w:val="es-ES_tradnl"/>
        </w:rPr>
        <w:t xml:space="preserve"> </w:t>
      </w:r>
      <w:r w:rsidRPr="00C06B21">
        <w:rPr>
          <w:rFonts w:ascii="Book Antiqua" w:hAnsi="Book Antiqua"/>
          <w:b/>
          <w:bCs/>
          <w:color w:val="000000" w:themeColor="text1"/>
          <w:lang w:val="es-ES_tradnl"/>
        </w:rPr>
        <w:t>[El]</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el</w:t>
      </w:r>
      <w:r w:rsidRPr="00C06B21">
        <w:rPr>
          <w:rFonts w:ascii="Book Antiqua" w:hAnsi="Book Antiqua"/>
          <w:color w:val="000000" w:themeColor="text1"/>
          <w:lang w:val="es-ES_tradnl"/>
        </w:rPr>
        <w:t xml:space="preserve"> </w:t>
      </w:r>
      <w:bookmarkStart w:id="1" w:name="_Hlk88840822"/>
      <w:r w:rsidRPr="00C06B21">
        <w:rPr>
          <w:rFonts w:ascii="Book Antiqua" w:hAnsi="Book Antiqua"/>
          <w:color w:val="000000" w:themeColor="text1"/>
          <w:lang w:val="es-ES_tradnl"/>
        </w:rPr>
        <w:t xml:space="preserve">Director podrá reconsiderar a iniciativa propia </w:t>
      </w:r>
      <w:r w:rsidRPr="00C06B21">
        <w:rPr>
          <w:rFonts w:ascii="Book Antiqua" w:hAnsi="Book Antiqua"/>
          <w:b/>
          <w:bCs/>
          <w:color w:val="000000" w:themeColor="text1"/>
          <w:lang w:val="es-ES_tradnl"/>
        </w:rPr>
        <w:t>[una]</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 xml:space="preserve">dicha </w:t>
      </w:r>
      <w:r w:rsidRPr="00C06B21">
        <w:rPr>
          <w:rFonts w:ascii="Book Antiqua" w:hAnsi="Book Antiqua"/>
          <w:color w:val="000000" w:themeColor="text1"/>
          <w:lang w:val="es-ES_tradnl"/>
        </w:rPr>
        <w:t xml:space="preserve">determinación </w:t>
      </w:r>
      <w:r w:rsidRPr="00C06B21">
        <w:rPr>
          <w:rFonts w:ascii="Book Antiqua" w:hAnsi="Book Antiqua"/>
          <w:b/>
          <w:bCs/>
          <w:color w:val="000000" w:themeColor="text1"/>
          <w:lang w:val="es-ES_tradnl"/>
        </w:rPr>
        <w:t>[en cualquier momento, dentro de dos (2)</w:t>
      </w:r>
      <w:r w:rsidRPr="00C06B21">
        <w:rPr>
          <w:rFonts w:ascii="Book Antiqua" w:hAnsi="Book Antiqua"/>
          <w:b/>
          <w:bCs/>
          <w:i/>
          <w:iCs/>
          <w:color w:val="000000" w:themeColor="text1"/>
          <w:lang w:val="es-ES_tradnl"/>
        </w:rPr>
        <w:t xml:space="preserve"> </w:t>
      </w:r>
      <w:r w:rsidRPr="00C06B21">
        <w:rPr>
          <w:rFonts w:ascii="Book Antiqua" w:hAnsi="Book Antiqua"/>
          <w:b/>
          <w:bCs/>
          <w:color w:val="000000" w:themeColor="text1"/>
          <w:lang w:val="es-ES_tradnl"/>
        </w:rPr>
        <w:t>años a partir de la terminación de cualquier semana con respecto a la cual se haya concedido o denegado crédito por semana de espera o beneficio</w:t>
      </w:r>
      <w:bookmarkEnd w:id="1"/>
      <w:r w:rsidRPr="00C06B21">
        <w:rPr>
          <w:rFonts w:ascii="Book Antiqua" w:hAnsi="Book Antiqua"/>
          <w:b/>
          <w:bCs/>
          <w:color w:val="000000" w:themeColor="text1"/>
          <w:lang w:val="es-ES_tradnl"/>
        </w:rPr>
        <w:t>]</w:t>
      </w:r>
      <w:r w:rsidRPr="00C06B21">
        <w:rPr>
          <w:rFonts w:ascii="Book Antiqua" w:hAnsi="Book Antiqua"/>
          <w:color w:val="000000" w:themeColor="text1"/>
          <w:lang w:val="es-ES_tradnl"/>
        </w:rPr>
        <w:t xml:space="preserve"> si encontrare que tal crédito por semana de espera o beneficio, </w:t>
      </w:r>
      <w:r w:rsidRPr="00C06B21">
        <w:rPr>
          <w:rFonts w:ascii="Book Antiqua" w:hAnsi="Book Antiqua"/>
          <w:b/>
          <w:bCs/>
          <w:color w:val="000000" w:themeColor="text1"/>
          <w:lang w:val="es-ES_tradnl"/>
        </w:rPr>
        <w:t>[fueron concedidos]</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fue concedido</w:t>
      </w:r>
      <w:r w:rsidRPr="00C06B21">
        <w:rPr>
          <w:rFonts w:ascii="Book Antiqua" w:hAnsi="Book Antiqua"/>
          <w:color w:val="000000" w:themeColor="text1"/>
          <w:lang w:val="es-ES_tradnl"/>
        </w:rPr>
        <w:t xml:space="preserve"> o </w:t>
      </w:r>
      <w:r w:rsidRPr="00C06B21">
        <w:rPr>
          <w:rFonts w:ascii="Book Antiqua" w:hAnsi="Book Antiqua"/>
          <w:b/>
          <w:bCs/>
          <w:color w:val="000000" w:themeColor="text1"/>
          <w:lang w:val="es-ES_tradnl"/>
        </w:rPr>
        <w:t>[denegados]</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denegado</w:t>
      </w:r>
      <w:r w:rsidRPr="00C06B21">
        <w:rPr>
          <w:rFonts w:ascii="Book Antiqua" w:hAnsi="Book Antiqua"/>
          <w:color w:val="000000" w:themeColor="text1"/>
          <w:lang w:val="es-ES_tradnl"/>
        </w:rPr>
        <w:t xml:space="preserve"> como resultado de la ocultación o falsa representación de algún hecho material. El Director podrá también reconsiderar una determinación hecha bajo las Secciones 21 y 22 de esta ley si encontrare evidencia adicional que amerite una reconsideración. </w:t>
      </w:r>
    </w:p>
    <w:p w14:paraId="3F8371C5" w14:textId="77777777"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(4) …</w:t>
      </w:r>
    </w:p>
    <w:p w14:paraId="30B06A75" w14:textId="0E608F40"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296440B9" w14:textId="062CB544" w:rsidR="00502C94" w:rsidRPr="00C06B21" w:rsidRDefault="00502C94"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(h) …</w:t>
      </w:r>
    </w:p>
    <w:p w14:paraId="7C32A8FF" w14:textId="20945306" w:rsidR="00502C94" w:rsidRPr="00C06B21" w:rsidRDefault="00502C94"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7AF0E6D0" w14:textId="77777777" w:rsidR="00CF4A9A" w:rsidRPr="00C06B21" w:rsidRDefault="00CF4A9A" w:rsidP="00CF4A9A">
      <w:pPr>
        <w:pStyle w:val="BodyText"/>
        <w:spacing w:line="480" w:lineRule="auto"/>
        <w:ind w:left="720"/>
        <w:jc w:val="both"/>
        <w:rPr>
          <w:rFonts w:ascii="Book Antiqua" w:hAnsi="Book Antiqua"/>
          <w:color w:val="000000" w:themeColor="text1"/>
          <w:lang w:val="es-ES_tradnl"/>
        </w:rPr>
      </w:pPr>
      <w:r w:rsidRPr="00C06B21">
        <w:rPr>
          <w:rFonts w:ascii="Book Antiqua" w:hAnsi="Book Antiqua"/>
          <w:color w:val="000000" w:themeColor="text1"/>
          <w:lang w:val="es-ES_tradnl"/>
        </w:rPr>
        <w:lastRenderedPageBreak/>
        <w:t>(j) Reempleo y resarcimiento. —</w:t>
      </w:r>
    </w:p>
    <w:p w14:paraId="06D3B160" w14:textId="345CE157" w:rsidR="00CF4A9A" w:rsidRPr="00C06B21" w:rsidRDefault="00CF4A9A" w:rsidP="00CF4A9A">
      <w:pPr>
        <w:pStyle w:val="BodyText"/>
        <w:spacing w:line="480" w:lineRule="auto"/>
        <w:ind w:left="72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(1) Cualquier persona que hiciere o indujere a otra persona a hacer una declaración o exposición de algún hecho material a sabiendas de que el mismo es falso o que a sabiendas ocultare o indujere a otra persona a ocultar algún hecho material y como consecuencia de tal acto recibiere cualquier cantidad como beneficios a los cuales no tuviere derecho bajo esta ley, vendrá obligada a devolver dicha suma al Secretario para ser reintegrada al fondo dentro del término de </w:t>
      </w:r>
      <w:r w:rsidRPr="00C06B21">
        <w:rPr>
          <w:rFonts w:ascii="Book Antiqua" w:hAnsi="Book Antiqua"/>
          <w:b/>
          <w:bCs/>
          <w:color w:val="000000" w:themeColor="text1"/>
          <w:lang w:val="es-ES_tradnl"/>
        </w:rPr>
        <w:t>[</w:t>
      </w:r>
      <w:r w:rsidRPr="00C06B21">
        <w:rPr>
          <w:rFonts w:ascii="Book Antiqua" w:hAnsi="Book Antiqua"/>
          <w:b/>
          <w:color w:val="000000" w:themeColor="text1"/>
          <w:lang w:val="es-ES_tradnl"/>
        </w:rPr>
        <w:t>cinco</w:t>
      </w:r>
      <w:r w:rsidRPr="00C06B21">
        <w:rPr>
          <w:rFonts w:ascii="Book Antiqua" w:hAnsi="Book Antiqua"/>
          <w:b/>
          <w:bCs/>
          <w:color w:val="000000" w:themeColor="text1"/>
          <w:lang w:val="es-ES_tradnl"/>
        </w:rPr>
        <w:t xml:space="preserve"> (</w:t>
      </w:r>
      <w:r w:rsidRPr="00C06B21">
        <w:rPr>
          <w:rFonts w:ascii="Book Antiqua" w:hAnsi="Book Antiqua"/>
          <w:b/>
          <w:color w:val="000000" w:themeColor="text1"/>
          <w:lang w:val="es-ES_tradnl"/>
        </w:rPr>
        <w:t>5</w:t>
      </w:r>
      <w:r w:rsidRPr="00C06B21">
        <w:rPr>
          <w:rFonts w:ascii="Book Antiqua" w:hAnsi="Book Antiqua"/>
          <w:b/>
          <w:bCs/>
          <w:color w:val="000000" w:themeColor="text1"/>
          <w:lang w:val="es-ES_tradnl"/>
        </w:rPr>
        <w:t>)]</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diez</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(10</w:t>
      </w:r>
      <w:r w:rsidRPr="00C06B21">
        <w:rPr>
          <w:rFonts w:ascii="Book Antiqua" w:hAnsi="Book Antiqua"/>
          <w:i/>
          <w:color w:val="000000" w:themeColor="text1"/>
          <w:lang w:val="es-ES_tradnl"/>
        </w:rPr>
        <w:t>)</w:t>
      </w:r>
      <w:r w:rsidRPr="00C06B21">
        <w:rPr>
          <w:rFonts w:ascii="Book Antiqua" w:hAnsi="Book Antiqua"/>
          <w:color w:val="000000" w:themeColor="text1"/>
          <w:lang w:val="es-ES_tradnl"/>
        </w:rPr>
        <w:t xml:space="preserve"> años desde que el Secretario hiciere dicha determinación, o dicha suma le será deducida de cualquier pago de beneficios futuros que le sean pagaderos bajo esta ley. </w:t>
      </w:r>
    </w:p>
    <w:p w14:paraId="02487470" w14:textId="77777777" w:rsidR="00CF4A9A" w:rsidRPr="00C06B21" w:rsidRDefault="00CF4A9A" w:rsidP="00CF4A9A">
      <w:pPr>
        <w:pStyle w:val="BodyText"/>
        <w:spacing w:line="480" w:lineRule="auto"/>
        <w:ind w:left="72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ab/>
        <w:t>(A) …</w:t>
      </w:r>
    </w:p>
    <w:p w14:paraId="30A7A7E2" w14:textId="77777777" w:rsidR="00CF4A9A" w:rsidRPr="00C06B21" w:rsidRDefault="00CF4A9A" w:rsidP="00CF4A9A">
      <w:pPr>
        <w:pStyle w:val="BodyText"/>
        <w:spacing w:line="480" w:lineRule="auto"/>
        <w:ind w:left="72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ab/>
        <w:t>…</w:t>
      </w:r>
    </w:p>
    <w:p w14:paraId="233F1809" w14:textId="18B76708" w:rsidR="00652D29" w:rsidRPr="00C06B21" w:rsidRDefault="00CF4A9A" w:rsidP="00235EE9">
      <w:pPr>
        <w:pStyle w:val="BodyText"/>
        <w:spacing w:line="480" w:lineRule="auto"/>
        <w:ind w:left="1440"/>
        <w:jc w:val="both"/>
        <w:rPr>
          <w:rFonts w:ascii="Book Antiqua" w:hAnsi="Book Antiqua"/>
          <w:b/>
          <w:bCs/>
          <w:color w:val="000000" w:themeColor="text1"/>
          <w:lang w:val="es-ES_tradnl"/>
        </w:rPr>
      </w:pPr>
      <w:r w:rsidRPr="00C06B21">
        <w:rPr>
          <w:rFonts w:ascii="Book Antiqua" w:hAnsi="Book Antiqua"/>
          <w:b/>
          <w:bCs/>
          <w:color w:val="000000" w:themeColor="text1"/>
          <w:lang w:val="es-ES_tradnl"/>
        </w:rPr>
        <w:tab/>
      </w:r>
      <w:r w:rsidR="00652D29" w:rsidRPr="00C06B21">
        <w:rPr>
          <w:rFonts w:ascii="Book Antiqua" w:hAnsi="Book Antiqua"/>
          <w:b/>
          <w:bCs/>
          <w:color w:val="000000" w:themeColor="text1"/>
          <w:lang w:val="es-ES_tradnl"/>
        </w:rPr>
        <w:t xml:space="preserve">[(E) El Secretario, mediante reglamento, acuerdos de entendimiento y órdenes administrativas, podrá disponer otros métodos </w:t>
      </w:r>
      <w:r w:rsidR="00DF460A" w:rsidRPr="00C06B21">
        <w:rPr>
          <w:rFonts w:ascii="Book Antiqua" w:hAnsi="Book Antiqua"/>
          <w:b/>
          <w:bCs/>
          <w:color w:val="000000" w:themeColor="text1"/>
          <w:lang w:val="es-ES_tradnl"/>
        </w:rPr>
        <w:t>de recuperación que entienda necesarios para salvaguardar la solvencia del Fondo.]</w:t>
      </w:r>
    </w:p>
    <w:p w14:paraId="2AE04F9D" w14:textId="558D27DC" w:rsidR="00CF4A9A" w:rsidRPr="00C06B21" w:rsidRDefault="00CF4A9A" w:rsidP="00235EE9">
      <w:pPr>
        <w:pStyle w:val="BodyText"/>
        <w:spacing w:line="480" w:lineRule="auto"/>
        <w:ind w:left="144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(E)</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Retención de Reintegros de Contribuciones Estatales para Asegurar la Efectividad del Recobro de un Cobro Indebido.</w:t>
      </w:r>
      <w:r w:rsidRPr="009B531C">
        <w:rPr>
          <w:rFonts w:ascii="Book Antiqua" w:hAnsi="Book Antiqua"/>
          <w:i/>
          <w:iCs/>
          <w:strike/>
          <w:color w:val="000000" w:themeColor="text1"/>
          <w:lang w:val="es-ES_tradnl"/>
        </w:rPr>
        <w:t xml:space="preserve"> -</w:t>
      </w:r>
    </w:p>
    <w:p w14:paraId="7A5B0197" w14:textId="000111D2" w:rsidR="00CF4A9A" w:rsidRPr="00C06B21" w:rsidRDefault="00CF4A9A" w:rsidP="00CF4A9A">
      <w:pPr>
        <w:pStyle w:val="BodyText"/>
        <w:spacing w:line="480" w:lineRule="auto"/>
        <w:ind w:left="216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 xml:space="preserve">(1) Cuando exista una determinación </w:t>
      </w:r>
      <w:r w:rsidRPr="00850CB4">
        <w:rPr>
          <w:rFonts w:ascii="Book Antiqua" w:hAnsi="Book Antiqua"/>
          <w:i/>
          <w:iCs/>
          <w:color w:val="000000" w:themeColor="text1"/>
          <w:lang w:val="es-ES_tradnl"/>
        </w:rPr>
        <w:t>final</w:t>
      </w:r>
      <w:r w:rsidRPr="00C06B21">
        <w:rPr>
          <w:rFonts w:ascii="Book Antiqua" w:hAnsi="Book Antiqua"/>
          <w:i/>
          <w:iCs/>
          <w:color w:val="000000" w:themeColor="text1"/>
          <w:lang w:val="es-ES_tradnl"/>
        </w:rPr>
        <w:t xml:space="preserve"> de un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el Secretario remitirá al reclamante una notificación sobre la intención de referir su nombre al secretario de Hacienda, a fin de que retenga su reintegro contributivo como parte del recobro del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w:t>
      </w:r>
      <w:r w:rsidR="00DF460A" w:rsidRPr="00C06B21">
        <w:rPr>
          <w:rFonts w:ascii="Book Antiqua" w:hAnsi="Book Antiqua"/>
          <w:i/>
          <w:iCs/>
          <w:color w:val="000000" w:themeColor="text1"/>
          <w:lang w:val="es-ES_tradnl"/>
        </w:rPr>
        <w:t xml:space="preserve"> </w:t>
      </w:r>
      <w:r w:rsidRPr="00C06B21">
        <w:rPr>
          <w:rFonts w:ascii="Book Antiqua" w:hAnsi="Book Antiqua"/>
          <w:i/>
          <w:iCs/>
          <w:color w:val="000000" w:themeColor="text1"/>
          <w:lang w:val="es-ES_tradnl"/>
        </w:rPr>
        <w:t xml:space="preserve">En la </w:t>
      </w:r>
      <w:r w:rsidRPr="00C06B21">
        <w:rPr>
          <w:rFonts w:ascii="Book Antiqua" w:hAnsi="Book Antiqua"/>
          <w:i/>
          <w:iCs/>
          <w:color w:val="000000" w:themeColor="text1"/>
          <w:lang w:val="es-ES_tradnl"/>
        </w:rPr>
        <w:lastRenderedPageBreak/>
        <w:t xml:space="preserve">notificación al reclamante, se le indicará: </w:t>
      </w:r>
    </w:p>
    <w:p w14:paraId="1058E99B" w14:textId="77777777" w:rsidR="00CF4A9A" w:rsidRPr="00850CB4"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(a) La cantidad total del </w:t>
      </w:r>
      <w:r w:rsidRPr="00850CB4">
        <w:rPr>
          <w:rFonts w:ascii="Book Antiqua" w:hAnsi="Book Antiqua"/>
          <w:i/>
          <w:color w:val="000000" w:themeColor="text1"/>
          <w:lang w:val="es-ES_tradnl"/>
        </w:rPr>
        <w:t>cobro</w:t>
      </w:r>
      <w:r w:rsidRPr="00850CB4">
        <w:rPr>
          <w:rFonts w:ascii="Book Antiqua" w:hAnsi="Book Antiqua"/>
          <w:i/>
          <w:iCs/>
          <w:color w:val="000000" w:themeColor="text1"/>
          <w:lang w:val="es-ES_tradnl"/>
        </w:rPr>
        <w:t xml:space="preserve"> indebido, según certificado por el Secretario, o funcionario autorizado por éste;</w:t>
      </w:r>
    </w:p>
    <w:p w14:paraId="3E069A94" w14:textId="4101B667" w:rsidR="00CF4A9A" w:rsidRPr="00850CB4"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(b) el derecho que tiene a </w:t>
      </w:r>
      <w:r w:rsidR="006F55AD" w:rsidRPr="00850CB4">
        <w:rPr>
          <w:rFonts w:ascii="Book Antiqua" w:hAnsi="Book Antiqua"/>
          <w:i/>
          <w:iCs/>
          <w:color w:val="000000" w:themeColor="text1"/>
          <w:lang w:val="es-ES_tradnl"/>
        </w:rPr>
        <w:t xml:space="preserve">solicitar </w:t>
      </w:r>
      <w:r w:rsidR="00C34BF0" w:rsidRPr="00850CB4">
        <w:rPr>
          <w:rFonts w:ascii="Book Antiqua" w:hAnsi="Book Antiqua"/>
          <w:i/>
          <w:iCs/>
          <w:color w:val="000000" w:themeColor="text1"/>
          <w:lang w:val="es-ES_tradnl"/>
        </w:rPr>
        <w:t xml:space="preserve">reconsideración a </w:t>
      </w:r>
      <w:r w:rsidR="00850CB4" w:rsidRPr="00850CB4">
        <w:rPr>
          <w:rFonts w:ascii="Book Antiqua" w:hAnsi="Book Antiqua"/>
          <w:i/>
          <w:iCs/>
          <w:color w:val="000000" w:themeColor="text1"/>
          <w:lang w:val="es-ES_tradnl"/>
        </w:rPr>
        <w:t>la determinación</w:t>
      </w:r>
      <w:r w:rsidR="006F55AD" w:rsidRPr="00850CB4">
        <w:rPr>
          <w:rFonts w:ascii="Book Antiqua" w:hAnsi="Book Antiqua"/>
          <w:i/>
          <w:iCs/>
          <w:color w:val="000000" w:themeColor="text1"/>
          <w:lang w:val="es-ES_tradnl"/>
        </w:rPr>
        <w:t xml:space="preserve"> </w:t>
      </w:r>
      <w:r w:rsidR="00C34BF0" w:rsidRPr="00850CB4">
        <w:rPr>
          <w:rFonts w:ascii="Book Antiqua" w:hAnsi="Book Antiqua"/>
          <w:i/>
          <w:iCs/>
          <w:color w:val="000000" w:themeColor="text1"/>
          <w:lang w:val="es-ES_tradnl"/>
        </w:rPr>
        <w:t xml:space="preserve">de </w:t>
      </w:r>
      <w:r w:rsidRPr="00850CB4">
        <w:rPr>
          <w:rFonts w:ascii="Book Antiqua" w:hAnsi="Book Antiqua"/>
          <w:i/>
          <w:iCs/>
          <w:color w:val="000000" w:themeColor="text1"/>
          <w:lang w:val="es-ES_tradnl"/>
        </w:rPr>
        <w:t>la retención de cualesquiera reintegros</w:t>
      </w:r>
      <w:r w:rsidR="00C34BF0" w:rsidRPr="00850CB4">
        <w:rPr>
          <w:rFonts w:ascii="Book Antiqua" w:hAnsi="Book Antiqua"/>
          <w:i/>
          <w:iCs/>
          <w:color w:val="000000" w:themeColor="text1"/>
          <w:lang w:val="es-ES_tradnl"/>
        </w:rPr>
        <w:t>, conforme a las disposiciones de la Ley 38-2017, según enmendada, conocida como la “Ley de Procedimiento Administrativo Uniforme del Gobierno de Puerto Rico”</w:t>
      </w:r>
      <w:r w:rsidRPr="00850CB4">
        <w:rPr>
          <w:rFonts w:ascii="Book Antiqua" w:hAnsi="Book Antiqua"/>
          <w:i/>
          <w:iCs/>
          <w:color w:val="000000" w:themeColor="text1"/>
          <w:lang w:val="es-ES_tradnl"/>
        </w:rPr>
        <w:t xml:space="preserve">; </w:t>
      </w:r>
    </w:p>
    <w:p w14:paraId="1E64ED3E" w14:textId="364EF884" w:rsidR="00CF4A9A" w:rsidRPr="00850CB4"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(c) el término </w:t>
      </w:r>
      <w:r w:rsidR="00C34BF0" w:rsidRPr="00850CB4">
        <w:rPr>
          <w:rFonts w:ascii="Book Antiqua" w:hAnsi="Book Antiqua"/>
          <w:i/>
          <w:iCs/>
          <w:color w:val="000000" w:themeColor="text1"/>
          <w:lang w:val="es-ES_tradnl"/>
        </w:rPr>
        <w:t>para solicitar reconsideración a la determinación de la retención de cualesquiera reintegros</w:t>
      </w:r>
      <w:r w:rsidR="00850CB4" w:rsidRPr="00850CB4">
        <w:rPr>
          <w:rFonts w:ascii="Book Antiqua" w:hAnsi="Book Antiqua"/>
          <w:i/>
          <w:iCs/>
          <w:color w:val="000000" w:themeColor="text1"/>
          <w:lang w:val="es-ES_tradnl"/>
        </w:rPr>
        <w:t>;</w:t>
      </w:r>
      <w:r w:rsidRPr="00850CB4">
        <w:rPr>
          <w:rFonts w:ascii="Book Antiqua" w:hAnsi="Book Antiqua"/>
          <w:i/>
          <w:iCs/>
          <w:color w:val="000000" w:themeColor="text1"/>
          <w:lang w:val="es-ES_tradnl"/>
        </w:rPr>
        <w:t xml:space="preserve"> </w:t>
      </w:r>
    </w:p>
    <w:p w14:paraId="20EE3652" w14:textId="3FF7A9BD" w:rsidR="00CF4A9A" w:rsidRPr="00850CB4"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(d) que, de no presentar </w:t>
      </w:r>
      <w:r w:rsidR="00C34BF0" w:rsidRPr="00850CB4">
        <w:rPr>
          <w:rFonts w:ascii="Book Antiqua" w:hAnsi="Book Antiqua"/>
          <w:i/>
          <w:iCs/>
          <w:color w:val="000000" w:themeColor="text1"/>
          <w:lang w:val="es-ES_tradnl"/>
        </w:rPr>
        <w:t xml:space="preserve">reconsideración </w:t>
      </w:r>
      <w:r w:rsidRPr="00850CB4">
        <w:rPr>
          <w:rFonts w:ascii="Book Antiqua" w:hAnsi="Book Antiqua"/>
          <w:i/>
          <w:iCs/>
          <w:color w:val="000000" w:themeColor="text1"/>
          <w:lang w:val="es-ES_tradnl"/>
        </w:rPr>
        <w:t xml:space="preserve">a la </w:t>
      </w:r>
      <w:r w:rsidR="00C34BF0" w:rsidRPr="00850CB4">
        <w:rPr>
          <w:rFonts w:ascii="Book Antiqua" w:hAnsi="Book Antiqua"/>
          <w:i/>
          <w:iCs/>
          <w:color w:val="000000" w:themeColor="text1"/>
          <w:lang w:val="es-ES_tradnl"/>
        </w:rPr>
        <w:t xml:space="preserve">determinación de </w:t>
      </w:r>
      <w:r w:rsidRPr="00850CB4">
        <w:rPr>
          <w:rFonts w:ascii="Book Antiqua" w:hAnsi="Book Antiqua"/>
          <w:i/>
          <w:iCs/>
          <w:color w:val="000000" w:themeColor="text1"/>
          <w:lang w:val="es-ES_tradnl"/>
        </w:rPr>
        <w:t>retención de los reintegros dentro del término</w:t>
      </w:r>
      <w:r w:rsidR="00C34BF0" w:rsidRPr="00850CB4">
        <w:rPr>
          <w:rFonts w:ascii="Book Antiqua" w:hAnsi="Book Antiqua"/>
          <w:i/>
          <w:iCs/>
          <w:color w:val="000000" w:themeColor="text1"/>
          <w:lang w:val="es-ES_tradnl"/>
        </w:rPr>
        <w:t xml:space="preserve"> según dispuesto en la Ley</w:t>
      </w:r>
      <w:r w:rsidR="003B35D3" w:rsidRPr="00850CB4">
        <w:rPr>
          <w:rFonts w:ascii="Book Antiqua" w:hAnsi="Book Antiqua"/>
          <w:i/>
          <w:iCs/>
          <w:color w:val="000000" w:themeColor="text1"/>
          <w:lang w:val="es-ES_tradnl"/>
        </w:rPr>
        <w:t xml:space="preserve"> 38-2017, supra,</w:t>
      </w:r>
      <w:r w:rsidRPr="00850CB4">
        <w:rPr>
          <w:rFonts w:ascii="Book Antiqua" w:hAnsi="Book Antiqua"/>
          <w:i/>
          <w:iCs/>
          <w:color w:val="000000" w:themeColor="text1"/>
          <w:lang w:val="es-ES_tradnl"/>
        </w:rPr>
        <w:t xml:space="preserve"> se referirá su nombre al secretario de Hacienda a fin de que retenga su reintegro contributivo para el recobro del </w:t>
      </w:r>
      <w:r w:rsidRPr="00850CB4">
        <w:rPr>
          <w:rFonts w:ascii="Book Antiqua" w:hAnsi="Book Antiqua"/>
          <w:i/>
          <w:color w:val="000000" w:themeColor="text1"/>
          <w:lang w:val="es-ES_tradnl"/>
        </w:rPr>
        <w:t>cobro</w:t>
      </w:r>
      <w:r w:rsidRPr="00850CB4">
        <w:rPr>
          <w:rFonts w:ascii="Book Antiqua" w:hAnsi="Book Antiqua"/>
          <w:i/>
          <w:iCs/>
          <w:color w:val="000000" w:themeColor="text1"/>
          <w:lang w:val="es-ES_tradnl"/>
        </w:rPr>
        <w:t xml:space="preserve"> indebido.</w:t>
      </w:r>
    </w:p>
    <w:p w14:paraId="6DA6B69C" w14:textId="307B4F34" w:rsidR="00CF4A9A" w:rsidRPr="00850CB4"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En caso de que el reclamante presente oportunamente su </w:t>
      </w:r>
      <w:r w:rsidR="003B35D3" w:rsidRPr="00850CB4">
        <w:rPr>
          <w:rFonts w:ascii="Book Antiqua" w:hAnsi="Book Antiqua"/>
          <w:i/>
          <w:iCs/>
          <w:color w:val="000000" w:themeColor="text1"/>
          <w:lang w:val="es-ES_tradnl"/>
        </w:rPr>
        <w:t xml:space="preserve">reconsideración </w:t>
      </w:r>
      <w:r w:rsidRPr="00850CB4">
        <w:rPr>
          <w:rFonts w:ascii="Book Antiqua" w:hAnsi="Book Antiqua"/>
          <w:i/>
          <w:iCs/>
          <w:color w:val="000000" w:themeColor="text1"/>
          <w:lang w:val="es-ES_tradnl"/>
        </w:rPr>
        <w:t xml:space="preserve">a la retención, el Secretario considerará cualquier </w:t>
      </w:r>
      <w:r w:rsidR="003B35D3" w:rsidRPr="00850CB4">
        <w:rPr>
          <w:rFonts w:ascii="Book Antiqua" w:hAnsi="Book Antiqua"/>
          <w:i/>
          <w:iCs/>
          <w:color w:val="000000" w:themeColor="text1"/>
          <w:lang w:val="es-ES_tradnl"/>
        </w:rPr>
        <w:t xml:space="preserve">reconsideración </w:t>
      </w:r>
      <w:r w:rsidRPr="00850CB4">
        <w:rPr>
          <w:rFonts w:ascii="Book Antiqua" w:hAnsi="Book Antiqua"/>
          <w:i/>
          <w:iCs/>
          <w:color w:val="000000" w:themeColor="text1"/>
          <w:lang w:val="es-ES_tradnl"/>
        </w:rPr>
        <w:t>a la intención de retener el reintegro</w:t>
      </w:r>
      <w:r w:rsidRPr="00C06B21">
        <w:rPr>
          <w:rFonts w:ascii="Book Antiqua" w:hAnsi="Book Antiqua"/>
          <w:i/>
          <w:iCs/>
          <w:color w:val="000000" w:themeColor="text1"/>
          <w:lang w:val="es-ES_tradnl"/>
        </w:rPr>
        <w:t xml:space="preserve"> </w:t>
      </w:r>
      <w:r w:rsidRPr="00850CB4">
        <w:rPr>
          <w:rFonts w:ascii="Book Antiqua" w:hAnsi="Book Antiqua"/>
          <w:i/>
          <w:iCs/>
          <w:color w:val="000000" w:themeColor="text1"/>
          <w:lang w:val="es-ES_tradnl"/>
        </w:rPr>
        <w:t xml:space="preserve">contributivo y efectuará una revisión de </w:t>
      </w:r>
      <w:r w:rsidR="003B35D3" w:rsidRPr="00850CB4">
        <w:rPr>
          <w:rFonts w:ascii="Book Antiqua" w:hAnsi="Book Antiqua"/>
          <w:i/>
          <w:iCs/>
          <w:color w:val="000000" w:themeColor="text1"/>
          <w:lang w:val="es-ES_tradnl"/>
        </w:rPr>
        <w:t>la reconsideración</w:t>
      </w:r>
      <w:r w:rsidRPr="00850CB4">
        <w:rPr>
          <w:rFonts w:ascii="Book Antiqua" w:hAnsi="Book Antiqua"/>
          <w:i/>
          <w:iCs/>
          <w:color w:val="000000" w:themeColor="text1"/>
          <w:lang w:val="es-ES_tradnl"/>
        </w:rPr>
        <w:t xml:space="preserve">. El Secretario considerará la </w:t>
      </w:r>
      <w:r w:rsidR="003B35D3" w:rsidRPr="00850CB4">
        <w:rPr>
          <w:rFonts w:ascii="Book Antiqua" w:hAnsi="Book Antiqua"/>
          <w:i/>
          <w:iCs/>
          <w:color w:val="000000" w:themeColor="text1"/>
          <w:lang w:val="es-ES_tradnl"/>
        </w:rPr>
        <w:t xml:space="preserve">reconsideración </w:t>
      </w:r>
      <w:r w:rsidRPr="00850CB4">
        <w:rPr>
          <w:rFonts w:ascii="Book Antiqua" w:hAnsi="Book Antiqua"/>
          <w:i/>
          <w:iCs/>
          <w:color w:val="000000" w:themeColor="text1"/>
          <w:lang w:val="es-ES_tradnl"/>
        </w:rPr>
        <w:t xml:space="preserve">y notificará la determinación al reclamante dentro </w:t>
      </w:r>
      <w:r w:rsidR="003B35D3" w:rsidRPr="00850CB4">
        <w:rPr>
          <w:rFonts w:ascii="Book Antiqua" w:hAnsi="Book Antiqua"/>
          <w:i/>
          <w:iCs/>
          <w:color w:val="000000" w:themeColor="text1"/>
          <w:lang w:val="es-ES_tradnl"/>
        </w:rPr>
        <w:t xml:space="preserve">del término establecido en la Ley 38-2017, supra, </w:t>
      </w:r>
      <w:r w:rsidR="009B531C" w:rsidRPr="00850CB4">
        <w:rPr>
          <w:rFonts w:ascii="Book Antiqua" w:hAnsi="Book Antiqua"/>
          <w:i/>
          <w:iCs/>
          <w:color w:val="000000" w:themeColor="text1"/>
          <w:lang w:val="es-ES_tradnl"/>
        </w:rPr>
        <w:t xml:space="preserve">así como su derecho de apelación a la </w:t>
      </w:r>
      <w:r w:rsidR="009B531C" w:rsidRPr="00850CB4">
        <w:rPr>
          <w:rFonts w:ascii="Book Antiqua" w:hAnsi="Book Antiqua"/>
          <w:i/>
          <w:iCs/>
          <w:color w:val="000000" w:themeColor="text1"/>
          <w:lang w:val="es-ES_tradnl"/>
        </w:rPr>
        <w:lastRenderedPageBreak/>
        <w:t>determinación</w:t>
      </w:r>
      <w:r w:rsidRPr="00850CB4">
        <w:rPr>
          <w:rFonts w:ascii="Book Antiqua" w:hAnsi="Book Antiqua"/>
          <w:i/>
          <w:iCs/>
          <w:color w:val="000000" w:themeColor="text1"/>
          <w:lang w:val="es-ES_tradnl"/>
        </w:rPr>
        <w:t>.</w:t>
      </w:r>
    </w:p>
    <w:p w14:paraId="2FB8822C" w14:textId="1399DB2D" w:rsidR="00CF4A9A" w:rsidRPr="00C06B21" w:rsidRDefault="00CF4A9A" w:rsidP="00CF4A9A">
      <w:pPr>
        <w:pStyle w:val="BodyText"/>
        <w:spacing w:line="480" w:lineRule="auto"/>
        <w:ind w:left="2880"/>
        <w:jc w:val="both"/>
        <w:rPr>
          <w:rFonts w:ascii="Book Antiqua" w:hAnsi="Book Antiqua"/>
          <w:i/>
          <w:iCs/>
          <w:color w:val="000000" w:themeColor="text1"/>
          <w:lang w:val="es-ES_tradnl"/>
        </w:rPr>
      </w:pPr>
      <w:r w:rsidRPr="00850CB4">
        <w:rPr>
          <w:rFonts w:ascii="Book Antiqua" w:hAnsi="Book Antiqua"/>
          <w:i/>
          <w:iCs/>
          <w:color w:val="000000" w:themeColor="text1"/>
          <w:lang w:val="es-ES_tradnl"/>
        </w:rPr>
        <w:t xml:space="preserve">En caso de que proceda la retención, </w:t>
      </w:r>
      <w:r w:rsidR="006F55AD" w:rsidRPr="00850CB4">
        <w:rPr>
          <w:rFonts w:ascii="Book Antiqua" w:hAnsi="Book Antiqua"/>
          <w:i/>
          <w:iCs/>
          <w:color w:val="000000" w:themeColor="text1"/>
          <w:lang w:val="es-ES_tradnl"/>
        </w:rPr>
        <w:t xml:space="preserve">y una vez finalizado el </w:t>
      </w:r>
      <w:r w:rsidR="003B35D3" w:rsidRPr="00850CB4">
        <w:rPr>
          <w:rFonts w:ascii="Book Antiqua" w:hAnsi="Book Antiqua"/>
          <w:i/>
          <w:iCs/>
          <w:color w:val="000000" w:themeColor="text1"/>
          <w:lang w:val="es-ES_tradnl"/>
        </w:rPr>
        <w:t>término</w:t>
      </w:r>
      <w:r w:rsidR="006F55AD" w:rsidRPr="00850CB4">
        <w:rPr>
          <w:rFonts w:ascii="Book Antiqua" w:hAnsi="Book Antiqua"/>
          <w:i/>
          <w:iCs/>
          <w:color w:val="000000" w:themeColor="text1"/>
          <w:lang w:val="es-ES_tradnl"/>
        </w:rPr>
        <w:t xml:space="preserve"> de apelación, </w:t>
      </w:r>
      <w:r w:rsidRPr="00850CB4">
        <w:rPr>
          <w:rFonts w:ascii="Book Antiqua" w:hAnsi="Book Antiqua"/>
          <w:i/>
          <w:iCs/>
          <w:color w:val="000000" w:themeColor="text1"/>
          <w:lang w:val="es-ES_tradnl"/>
        </w:rPr>
        <w:t>el Secretario del Trabajo informará del caso al Secretario de Hacienda</w:t>
      </w:r>
      <w:r w:rsidR="009B531C" w:rsidRPr="00850CB4">
        <w:rPr>
          <w:rFonts w:ascii="Book Antiqua" w:hAnsi="Book Antiqua"/>
          <w:i/>
          <w:iCs/>
          <w:color w:val="000000" w:themeColor="text1"/>
          <w:lang w:val="es-ES_tradnl"/>
        </w:rPr>
        <w:t>, con copia al reclamante,</w:t>
      </w:r>
      <w:r w:rsidRPr="00C06B21">
        <w:rPr>
          <w:rFonts w:ascii="Book Antiqua" w:hAnsi="Book Antiqua"/>
          <w:i/>
          <w:iCs/>
          <w:color w:val="000000" w:themeColor="text1"/>
          <w:lang w:val="es-ES_tradnl"/>
        </w:rPr>
        <w:t xml:space="preserve"> para que retenga aquellas cantidades en su poder por concepto de reintegros contributivos pertenecientes al reclamante. El Secretario de Hacienda retendrá y enviará al Secretario las cantidades a tenor con este Artículo. </w:t>
      </w:r>
    </w:p>
    <w:p w14:paraId="5466A36E" w14:textId="5D5F4589" w:rsidR="00CF4A9A" w:rsidRPr="00C06B21" w:rsidRDefault="00CF4A9A" w:rsidP="00CF4A9A">
      <w:pPr>
        <w:pStyle w:val="BodyText"/>
        <w:spacing w:line="480" w:lineRule="auto"/>
        <w:ind w:left="216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(2) De tener el reintegro aún en su poder, el Secretario de Hacienda remitirá al Secretario del Trabaj</w:t>
      </w:r>
      <w:r w:rsidRPr="00850CB4">
        <w:rPr>
          <w:rFonts w:ascii="Book Antiqua" w:hAnsi="Book Antiqua"/>
          <w:i/>
          <w:iCs/>
          <w:color w:val="000000" w:themeColor="text1"/>
          <w:lang w:val="es-ES_tradnl"/>
        </w:rPr>
        <w:t xml:space="preserve">o, </w:t>
      </w:r>
      <w:r w:rsidR="003B35D3" w:rsidRPr="00850CB4">
        <w:rPr>
          <w:rFonts w:ascii="Book Antiqua" w:hAnsi="Book Antiqua"/>
          <w:i/>
          <w:iCs/>
          <w:color w:val="000000" w:themeColor="text1"/>
          <w:lang w:val="es-ES_tradnl"/>
        </w:rPr>
        <w:t xml:space="preserve">hasta un máximo del cincuenta por ciento (50%) anual del total a reintegrar </w:t>
      </w:r>
      <w:r w:rsidRPr="00850CB4">
        <w:rPr>
          <w:rFonts w:ascii="Book Antiqua" w:hAnsi="Book Antiqua"/>
          <w:i/>
          <w:iCs/>
          <w:color w:val="000000" w:themeColor="text1"/>
          <w:lang w:val="es-ES_tradnl"/>
        </w:rPr>
        <w:t xml:space="preserve">por contribuciones </w:t>
      </w:r>
      <w:r w:rsidR="003B35D3" w:rsidRPr="00850CB4">
        <w:rPr>
          <w:rFonts w:ascii="Book Antiqua" w:hAnsi="Book Antiqua"/>
          <w:i/>
          <w:iCs/>
          <w:color w:val="000000" w:themeColor="text1"/>
          <w:lang w:val="es-ES_tradnl"/>
        </w:rPr>
        <w:t xml:space="preserve">hasta satisfacer la totalidad de la deuda </w:t>
      </w:r>
      <w:r w:rsidRPr="00850CB4">
        <w:rPr>
          <w:rFonts w:ascii="Book Antiqua" w:hAnsi="Book Antiqua"/>
          <w:i/>
          <w:iCs/>
          <w:color w:val="000000" w:themeColor="text1"/>
          <w:lang w:val="es-ES_tradnl"/>
        </w:rPr>
        <w:t xml:space="preserve">ordenada; o sólo la cantidad ordenada, si </w:t>
      </w:r>
      <w:r w:rsidR="003B35D3" w:rsidRPr="00850CB4">
        <w:rPr>
          <w:rFonts w:ascii="Book Antiqua" w:hAnsi="Book Antiqua"/>
          <w:i/>
          <w:iCs/>
          <w:color w:val="000000" w:themeColor="text1"/>
          <w:lang w:val="es-ES_tradnl"/>
        </w:rPr>
        <w:t xml:space="preserve">la totalidad adeudada es menor al cincuenta por ciento (50%) del total a </w:t>
      </w:r>
      <w:r w:rsidR="004D46BA" w:rsidRPr="00850CB4">
        <w:rPr>
          <w:rFonts w:ascii="Book Antiqua" w:hAnsi="Book Antiqua"/>
          <w:i/>
          <w:iCs/>
          <w:color w:val="000000" w:themeColor="text1"/>
          <w:lang w:val="es-ES_tradnl"/>
        </w:rPr>
        <w:t>reintegrar</w:t>
      </w:r>
      <w:r w:rsidRPr="00850CB4">
        <w:rPr>
          <w:rFonts w:ascii="Book Antiqua" w:hAnsi="Book Antiqua"/>
          <w:i/>
          <w:iCs/>
          <w:color w:val="000000" w:themeColor="text1"/>
          <w:lang w:val="es-ES_tradnl"/>
        </w:rPr>
        <w:t xml:space="preserve">. </w:t>
      </w:r>
      <w:r w:rsidR="00DF460A" w:rsidRPr="00850CB4">
        <w:rPr>
          <w:rFonts w:ascii="Book Antiqua" w:hAnsi="Book Antiqua"/>
          <w:i/>
          <w:iCs/>
          <w:color w:val="000000" w:themeColor="text1"/>
          <w:lang w:val="es-ES_tradnl"/>
        </w:rPr>
        <w:t xml:space="preserve"> </w:t>
      </w:r>
      <w:r w:rsidRPr="00C06B21">
        <w:rPr>
          <w:rFonts w:ascii="Book Antiqua" w:hAnsi="Book Antiqua"/>
          <w:i/>
          <w:iCs/>
          <w:color w:val="000000" w:themeColor="text1"/>
          <w:lang w:val="es-ES_tradnl"/>
        </w:rPr>
        <w:t>El Secretario de Hacienda notificará, igualmente, la dirección residencial y el o los números de seguro social del reclamante que aparecen en sus sistemas, así como si éste tiene una deuda contributiva.</w:t>
      </w:r>
    </w:p>
    <w:p w14:paraId="00989DD0" w14:textId="77777777" w:rsidR="00CF4A9A" w:rsidRPr="00C06B21" w:rsidRDefault="00CF4A9A" w:rsidP="00CF4A9A">
      <w:pPr>
        <w:pStyle w:val="BodyText"/>
        <w:spacing w:line="480" w:lineRule="auto"/>
        <w:ind w:left="216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 xml:space="preserve">En caso de no tener en su posesión reintegro alguno del reclamante al momento de recibir la solicitud del Secretario, el secretario de Hacienda así lo informará. </w:t>
      </w:r>
    </w:p>
    <w:p w14:paraId="79EAE8C9" w14:textId="3AB405DE" w:rsidR="00CF4A9A" w:rsidRPr="00C06B21" w:rsidRDefault="00CF4A9A" w:rsidP="00CF4A9A">
      <w:pPr>
        <w:pStyle w:val="BodyText"/>
        <w:spacing w:line="480" w:lineRule="auto"/>
        <w:ind w:left="216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 xml:space="preserve">En estos casos, la solicitud del Secretario de retención de reintegro contributivo permanecerá vigente por un término de tres (3) </w:t>
      </w:r>
      <w:r w:rsidRPr="00C06B21">
        <w:rPr>
          <w:rFonts w:ascii="Book Antiqua" w:hAnsi="Book Antiqua"/>
          <w:i/>
          <w:iCs/>
          <w:color w:val="000000" w:themeColor="text1"/>
          <w:lang w:val="es-ES_tradnl"/>
        </w:rPr>
        <w:lastRenderedPageBreak/>
        <w:t xml:space="preserve">años, o hasta que se produzcan reintegros a nombre del reclamante que satisfaga el recobro del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o hasta que el Secretario solicite que sea dejada sin efecto, lo que ocurra primero. </w:t>
      </w:r>
      <w:r w:rsidR="000E750C" w:rsidRPr="00C06B21">
        <w:rPr>
          <w:rFonts w:ascii="Book Antiqua" w:hAnsi="Book Antiqua"/>
          <w:i/>
          <w:iCs/>
          <w:color w:val="000000" w:themeColor="text1"/>
          <w:lang w:val="es-ES_tradnl"/>
        </w:rPr>
        <w:t xml:space="preserve"> </w:t>
      </w:r>
      <w:r w:rsidRPr="00C06B21">
        <w:rPr>
          <w:rFonts w:ascii="Book Antiqua" w:hAnsi="Book Antiqua"/>
          <w:i/>
          <w:iCs/>
          <w:color w:val="000000" w:themeColor="text1"/>
          <w:lang w:val="es-ES_tradnl"/>
        </w:rPr>
        <w:t xml:space="preserve">El Secretario del Trabajo vendrá obligado a actualizar dentro de este período la información referida al Secretario de Hacienda, de haber algún cambio en esta. </w:t>
      </w:r>
    </w:p>
    <w:p w14:paraId="43F15803" w14:textId="71FE46E4" w:rsidR="00CF4A9A" w:rsidRPr="00C06B21" w:rsidRDefault="00CF4A9A" w:rsidP="00CF4A9A">
      <w:pPr>
        <w:pStyle w:val="BodyText"/>
        <w:spacing w:line="480" w:lineRule="auto"/>
        <w:ind w:left="216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(3) El Secretario del Hacienda establecerá mediante reglamento los procedimientos para la retención de reintegros contributivos estatales.</w:t>
      </w:r>
    </w:p>
    <w:p w14:paraId="1CCA4D2C" w14:textId="3D21F2CB" w:rsidR="00CF4A9A" w:rsidRPr="00C06B21" w:rsidRDefault="004C321D" w:rsidP="00235EE9">
      <w:pPr>
        <w:pStyle w:val="BodyText"/>
        <w:spacing w:line="480" w:lineRule="auto"/>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ab/>
      </w:r>
      <w:r w:rsidRPr="00C06B21">
        <w:rPr>
          <w:rFonts w:ascii="Book Antiqua" w:hAnsi="Book Antiqua"/>
          <w:i/>
          <w:iCs/>
          <w:color w:val="000000" w:themeColor="text1"/>
          <w:lang w:val="es-ES_tradnl"/>
        </w:rPr>
        <w:tab/>
      </w:r>
      <w:r w:rsidR="00CF4A9A" w:rsidRPr="00C06B21">
        <w:rPr>
          <w:rFonts w:ascii="Book Antiqua" w:hAnsi="Book Antiqua"/>
          <w:i/>
          <w:iCs/>
          <w:color w:val="000000" w:themeColor="text1"/>
          <w:lang w:val="es-ES_tradnl"/>
        </w:rPr>
        <w:t xml:space="preserve">(F) Retención de Reintegros de Contribuciones Federales para Asegurar la Efectividad del Recobro de un </w:t>
      </w:r>
      <w:r w:rsidR="00CF4A9A" w:rsidRPr="00C06B21">
        <w:rPr>
          <w:rFonts w:ascii="Book Antiqua" w:hAnsi="Book Antiqua"/>
          <w:i/>
          <w:color w:val="000000" w:themeColor="text1"/>
          <w:lang w:val="es-ES_tradnl"/>
        </w:rPr>
        <w:t>Cobro</w:t>
      </w:r>
      <w:r w:rsidR="00CF4A9A" w:rsidRPr="00C06B21">
        <w:rPr>
          <w:rFonts w:ascii="Book Antiqua" w:hAnsi="Book Antiqua"/>
          <w:i/>
          <w:iCs/>
          <w:color w:val="000000" w:themeColor="text1"/>
          <w:lang w:val="es-ES_tradnl"/>
        </w:rPr>
        <w:t xml:space="preserve"> Indebido. -</w:t>
      </w:r>
    </w:p>
    <w:p w14:paraId="17FF61E9" w14:textId="77777777" w:rsidR="00CF4A9A" w:rsidRPr="00C06B21" w:rsidRDefault="00CF4A9A" w:rsidP="00CF4A9A">
      <w:pPr>
        <w:pStyle w:val="BodyText"/>
        <w:spacing w:line="480" w:lineRule="auto"/>
        <w:ind w:left="1600" w:firstLine="56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 xml:space="preserve">Cuando haya una determinación final de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el Secretario remitirá al reclamante una notificación sobre la intención de referir su nombre al Servicio de Rentas Internas Federal, a fin de que retenga cualquier reintegro contributivo federal para ser utilizado para el recobro de un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cuando el monto de éste exceda los límites establecidos por la legislación federal. Dicha notificación puede ser delegada al Gobierno federal. El Secretario establecerá mediante reglamento el procedimiento para requerir al Gobierno Federal la retención de reintegros contributivos para el recobro del </w:t>
      </w:r>
      <w:r w:rsidRPr="00C06B21">
        <w:rPr>
          <w:rFonts w:ascii="Book Antiqua" w:hAnsi="Book Antiqua"/>
          <w:i/>
          <w:color w:val="000000" w:themeColor="text1"/>
          <w:lang w:val="es-ES_tradnl"/>
        </w:rPr>
        <w:t>cobro</w:t>
      </w:r>
      <w:r w:rsidRPr="00C06B21">
        <w:rPr>
          <w:rFonts w:ascii="Book Antiqua" w:hAnsi="Book Antiqua"/>
          <w:i/>
          <w:iCs/>
          <w:color w:val="000000" w:themeColor="text1"/>
          <w:lang w:val="es-ES_tradnl"/>
        </w:rPr>
        <w:t xml:space="preserve"> indebido, de conformidad con la legislación federal aplicable.</w:t>
      </w:r>
    </w:p>
    <w:p w14:paraId="7EC9BAD7" w14:textId="1780ADCF" w:rsidR="000E750C" w:rsidRPr="00C06B21" w:rsidRDefault="00CF4A9A" w:rsidP="000E750C">
      <w:pPr>
        <w:pStyle w:val="BodyText"/>
        <w:spacing w:line="480" w:lineRule="auto"/>
        <w:ind w:left="1440" w:firstLine="715"/>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 xml:space="preserve">(G) </w:t>
      </w:r>
      <w:r w:rsidR="000E750C" w:rsidRPr="00C06B21">
        <w:rPr>
          <w:rFonts w:ascii="Book Antiqua" w:hAnsi="Book Antiqua"/>
          <w:i/>
          <w:iCs/>
          <w:color w:val="000000" w:themeColor="text1"/>
          <w:lang w:val="es-ES_tradnl"/>
        </w:rPr>
        <w:t xml:space="preserve"> El Secretario, mediante reglamento, acuerdos de entendimiento y órdenes administrativas, podrá disponer otros métodos de recuperación que entienda necesarios para salvaguardar la solvencia del Fondo.</w:t>
      </w:r>
    </w:p>
    <w:p w14:paraId="1056FA86" w14:textId="253AB7DE" w:rsidR="000E750C" w:rsidRPr="00C06B21" w:rsidRDefault="00BE60C1" w:rsidP="00235EE9">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lastRenderedPageBreak/>
        <w:tab/>
        <w:t>(2) …</w:t>
      </w:r>
    </w:p>
    <w:p w14:paraId="5D7DE0BA" w14:textId="4ABFB06C" w:rsidR="00BE60C1" w:rsidRPr="00C06B21" w:rsidRDefault="00CF4A9A" w:rsidP="00235EE9">
      <w:pPr>
        <w:pStyle w:val="BodyText"/>
        <w:spacing w:line="480" w:lineRule="auto"/>
        <w:ind w:firstLine="56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w:t>
      </w:r>
    </w:p>
    <w:p w14:paraId="2AD945B0" w14:textId="77777777" w:rsidR="00BE60C1" w:rsidRPr="00C06B21" w:rsidRDefault="00BE60C1" w:rsidP="00BE60C1">
      <w:pPr>
        <w:pStyle w:val="BodyText"/>
        <w:spacing w:line="480" w:lineRule="auto"/>
        <w:ind w:firstLine="560"/>
        <w:jc w:val="both"/>
        <w:rPr>
          <w:rFonts w:ascii="Book Antiqua" w:hAnsi="Book Antiqua"/>
          <w:color w:val="000000" w:themeColor="text1"/>
          <w:lang w:val="es-ES_tradnl"/>
        </w:rPr>
      </w:pPr>
      <w:r w:rsidRPr="00C06B21">
        <w:rPr>
          <w:rFonts w:ascii="Book Antiqua" w:hAnsi="Book Antiqua"/>
          <w:color w:val="000000" w:themeColor="text1"/>
          <w:lang w:val="es-ES_tradnl"/>
        </w:rPr>
        <w:t>(5) ...</w:t>
      </w:r>
    </w:p>
    <w:p w14:paraId="45DF52C0" w14:textId="1199A618" w:rsidR="00BE60C1" w:rsidRPr="00C06B21" w:rsidRDefault="00BE60C1" w:rsidP="00BE60C1">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(k) …</w:t>
      </w:r>
    </w:p>
    <w:p w14:paraId="4E859519" w14:textId="3F4A31B6" w:rsidR="00BE60C1" w:rsidRPr="00C06B21" w:rsidRDefault="00BE60C1" w:rsidP="00BE60C1">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2BF9DBA4" w14:textId="77777777" w:rsidR="00BE60C1" w:rsidRPr="00C06B21" w:rsidRDefault="00BE60C1" w:rsidP="00BE60C1">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(m) …</w:t>
      </w:r>
    </w:p>
    <w:p w14:paraId="5D4ECC59" w14:textId="77777777" w:rsidR="004C321D" w:rsidRPr="00C06B21" w:rsidRDefault="00BE60C1">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72F14D0C" w14:textId="5E867B5E" w:rsidR="00CF4A9A" w:rsidRPr="00C06B21" w:rsidRDefault="004C321D" w:rsidP="00235EE9">
      <w:pPr>
        <w:pStyle w:val="BodyText"/>
        <w:spacing w:line="480" w:lineRule="auto"/>
        <w:ind w:left="0" w:firstLine="720"/>
        <w:jc w:val="both"/>
        <w:rPr>
          <w:rFonts w:ascii="Book Antiqua" w:hAnsi="Book Antiqua"/>
          <w:i/>
          <w:iCs/>
          <w:color w:val="000000" w:themeColor="text1"/>
          <w:lang w:val="es-ES_tradnl"/>
        </w:rPr>
      </w:pPr>
      <w:r w:rsidRPr="00C06B21">
        <w:rPr>
          <w:rFonts w:ascii="Book Antiqua" w:hAnsi="Book Antiqua"/>
          <w:i/>
          <w:iCs/>
          <w:color w:val="000000" w:themeColor="text1"/>
          <w:lang w:val="es-ES_tradnl"/>
        </w:rPr>
        <w:t>Nada de lo dispuesto en esta Sección podrá considerarse como un menoscabo de las obligaciones del Gobierno de Puerto Rico para la retención de reintegros, según lo dispuesto en la Ley Núm. 5 de 30 de diciembre de 1986, según enmendada, conocida como “Ley Orgánica de la Administración para el Sustento de Menores”.”</w:t>
      </w:r>
    </w:p>
    <w:p w14:paraId="2E25B47B" w14:textId="0D9CA999"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Artículo 3. - Se enmienda la Sección 15 de la Ley Núm. 74 de 21 de junio de 1956, según enmendada, conocida como “Ley de Seguridad de Empleo de Puerto Rico”, para que</w:t>
      </w:r>
      <w:r w:rsidR="00AB3F19" w:rsidRPr="00C06B21">
        <w:rPr>
          <w:rFonts w:ascii="Book Antiqua" w:hAnsi="Book Antiqua"/>
          <w:color w:val="000000" w:themeColor="text1"/>
          <w:lang w:val="es-ES_tradnl"/>
        </w:rPr>
        <w:t xml:space="preserve"> se</w:t>
      </w:r>
      <w:r w:rsidRPr="00C06B21">
        <w:rPr>
          <w:rFonts w:ascii="Book Antiqua" w:hAnsi="Book Antiqua"/>
          <w:color w:val="000000" w:themeColor="text1"/>
          <w:lang w:val="es-ES_tradnl"/>
        </w:rPr>
        <w:t xml:space="preserve"> lea como sigue:</w:t>
      </w:r>
    </w:p>
    <w:p w14:paraId="7789948B" w14:textId="14C41261"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“Sección 15. –</w:t>
      </w:r>
      <w:r w:rsidR="00BE60C1" w:rsidRPr="00C06B21">
        <w:rPr>
          <w:rFonts w:ascii="Book Antiqua" w:hAnsi="Book Antiqua"/>
          <w:color w:val="000000" w:themeColor="text1"/>
          <w:lang w:val="es-ES_tradnl"/>
        </w:rPr>
        <w:t>Penalidades</w:t>
      </w:r>
    </w:p>
    <w:p w14:paraId="098B83E3" w14:textId="77777777" w:rsidR="00BE60C1"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(a) Falsa representación para obtener beneficios. — </w:t>
      </w:r>
    </w:p>
    <w:p w14:paraId="74148BBC" w14:textId="2EC2FDB3"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 xml:space="preserve">Cualquier persona que dé una declaración o suministre alguna información sobre algún hecho material a sabiendas de que la misma es falsa o que a sabiendas oculte algún hecho material con intención de cometer fraude para obtener algún beneficio o recibir aumento del mismo bajo esta ley o bajo la Ley de Seguridad de Empleo de algún estado o del gobierno federal o un gobierno extranjero, bien para sí misma o para cualquier otra persona, incurrirá en </w:t>
      </w:r>
      <w:r w:rsidRPr="00C06B21">
        <w:rPr>
          <w:rFonts w:ascii="Book Antiqua" w:hAnsi="Book Antiqua"/>
          <w:b/>
          <w:bCs/>
          <w:color w:val="000000" w:themeColor="text1"/>
          <w:lang w:val="es-ES_tradnl"/>
        </w:rPr>
        <w:t>[</w:t>
      </w:r>
      <w:r w:rsidRPr="00C06B21">
        <w:rPr>
          <w:rFonts w:ascii="Book Antiqua" w:hAnsi="Book Antiqua"/>
          <w:b/>
          <w:color w:val="000000" w:themeColor="text1"/>
          <w:lang w:val="es-ES_tradnl"/>
        </w:rPr>
        <w:t>la pena señalada</w:t>
      </w:r>
      <w:r w:rsidRPr="00C06B21">
        <w:rPr>
          <w:rFonts w:ascii="Book Antiqua" w:hAnsi="Book Antiqua"/>
          <w:b/>
          <w:bCs/>
          <w:color w:val="000000" w:themeColor="text1"/>
          <w:lang w:val="es-ES_tradnl"/>
        </w:rPr>
        <w:t>]</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las penas</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señaladas</w:t>
      </w:r>
      <w:r w:rsidRPr="00C06B21">
        <w:rPr>
          <w:rFonts w:ascii="Book Antiqua" w:hAnsi="Book Antiqua"/>
          <w:color w:val="000000" w:themeColor="text1"/>
          <w:lang w:val="es-ES_tradnl"/>
        </w:rPr>
        <w:t xml:space="preserve"> </w:t>
      </w:r>
      <w:r w:rsidRPr="00C06B21">
        <w:rPr>
          <w:rFonts w:ascii="Book Antiqua" w:hAnsi="Book Antiqua"/>
          <w:color w:val="000000" w:themeColor="text1"/>
          <w:lang w:val="es-ES_tradnl"/>
        </w:rPr>
        <w:lastRenderedPageBreak/>
        <w:t>por</w:t>
      </w:r>
      <w:r w:rsidRPr="00C06B21">
        <w:rPr>
          <w:rFonts w:ascii="Book Antiqua" w:hAnsi="Book Antiqua"/>
          <w:i/>
          <w:iCs/>
          <w:color w:val="000000" w:themeColor="text1"/>
          <w:lang w:val="es-ES_tradnl"/>
        </w:rPr>
        <w:t xml:space="preserve"> las disposiciones aplicables</w:t>
      </w:r>
      <w:r w:rsidRPr="00C06B21">
        <w:rPr>
          <w:rFonts w:ascii="Book Antiqua" w:hAnsi="Book Antiqua"/>
          <w:i/>
          <w:color w:val="000000" w:themeColor="text1"/>
          <w:lang w:val="es-ES_tradnl"/>
        </w:rPr>
        <w:t xml:space="preserve"> </w:t>
      </w:r>
      <w:r w:rsidRPr="00C06B21">
        <w:rPr>
          <w:rFonts w:ascii="Book Antiqua" w:hAnsi="Book Antiqua"/>
          <w:b/>
          <w:bCs/>
          <w:color w:val="000000" w:themeColor="text1"/>
          <w:lang w:val="es-ES_tradnl"/>
        </w:rPr>
        <w:t>[la Sección 166(a) del Código Penal de Puerto Rico]</w:t>
      </w:r>
      <w:r w:rsidRPr="00C06B21">
        <w:rPr>
          <w:rFonts w:ascii="Book Antiqua" w:hAnsi="Book Antiqua"/>
          <w:color w:val="000000" w:themeColor="text1"/>
          <w:lang w:val="es-ES_tradnl"/>
        </w:rPr>
        <w:t xml:space="preserve"> </w:t>
      </w:r>
      <w:r w:rsidRPr="00C06B21">
        <w:rPr>
          <w:rFonts w:ascii="Book Antiqua" w:hAnsi="Book Antiqua"/>
          <w:i/>
          <w:iCs/>
          <w:color w:val="000000" w:themeColor="text1"/>
          <w:lang w:val="es-ES_tradnl"/>
        </w:rPr>
        <w:t>de la Ley 146-2012, según enmendada, conocida como “Código Penal de Puerto Rico”,</w:t>
      </w:r>
      <w:r w:rsidRPr="00C06B21">
        <w:rPr>
          <w:rFonts w:ascii="Book Antiqua" w:hAnsi="Book Antiqua"/>
          <w:color w:val="000000" w:themeColor="text1"/>
          <w:lang w:val="es-ES_tradnl"/>
        </w:rPr>
        <w:t xml:space="preserve"> </w:t>
      </w:r>
      <w:r w:rsidRPr="00C06B21">
        <w:rPr>
          <w:rFonts w:ascii="Book Antiqua" w:hAnsi="Book Antiqua"/>
          <w:b/>
          <w:bCs/>
          <w:color w:val="000000" w:themeColor="text1"/>
          <w:lang w:val="es-ES_tradnl"/>
        </w:rPr>
        <w:t>[</w:t>
      </w:r>
      <w:r w:rsidRPr="00C06B21">
        <w:rPr>
          <w:rFonts w:ascii="Book Antiqua" w:hAnsi="Book Antiqua"/>
          <w:b/>
          <w:color w:val="000000" w:themeColor="text1"/>
          <w:lang w:val="es-ES_tradnl"/>
        </w:rPr>
        <w:t>sobre apropiación ilegal Agravada</w:t>
      </w:r>
      <w:r w:rsidRPr="00C06B21">
        <w:rPr>
          <w:rFonts w:ascii="Book Antiqua" w:hAnsi="Book Antiqua"/>
          <w:b/>
          <w:bCs/>
          <w:color w:val="000000" w:themeColor="text1"/>
          <w:lang w:val="es-ES_tradnl"/>
        </w:rPr>
        <w:t>,]</w:t>
      </w:r>
      <w:r w:rsidRPr="00C06B21">
        <w:rPr>
          <w:rFonts w:ascii="Book Antiqua" w:hAnsi="Book Antiqua"/>
          <w:b/>
          <w:color w:val="000000" w:themeColor="text1"/>
          <w:lang w:val="es-ES_tradnl"/>
        </w:rPr>
        <w:t xml:space="preserve"> </w:t>
      </w:r>
      <w:r w:rsidRPr="00C06B21">
        <w:rPr>
          <w:rFonts w:ascii="Book Antiqua" w:hAnsi="Book Antiqua"/>
          <w:color w:val="000000" w:themeColor="text1"/>
          <w:lang w:val="es-ES_tradnl"/>
        </w:rPr>
        <w:t>por apropiarse de bienes o fondos públicos pertenecientes al Gobierno de Puerto Rico, obtenidos por él o por dicha persona; y cada una de dichas declaraciones e informaciones falsas y ocultaciones de hechos materiales constituirá un delito por separado</w:t>
      </w:r>
      <w:r w:rsidRPr="00C06B21">
        <w:rPr>
          <w:rFonts w:ascii="Book Antiqua" w:hAnsi="Book Antiqua"/>
          <w:b/>
          <w:bCs/>
          <w:color w:val="000000" w:themeColor="text1"/>
          <w:lang w:val="es-ES_tradnl"/>
        </w:rPr>
        <w:t>[; Disponiéndose, sin embargo, que no se impondrá dicha pena en ningún caso donde haya habido una descalificación bajo la Sección 4(b)(7)]</w:t>
      </w:r>
      <w:r w:rsidRPr="00C06B21">
        <w:rPr>
          <w:rFonts w:ascii="Book Antiqua" w:hAnsi="Book Antiqua"/>
          <w:color w:val="000000" w:themeColor="text1"/>
          <w:lang w:val="es-ES_tradnl"/>
        </w:rPr>
        <w:t>.</w:t>
      </w:r>
    </w:p>
    <w:p w14:paraId="53419339" w14:textId="77777777" w:rsidR="00CF4A9A"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(b) …</w:t>
      </w:r>
    </w:p>
    <w:p w14:paraId="011C048A" w14:textId="77777777" w:rsidR="00EE650F" w:rsidRPr="00C06B21" w:rsidRDefault="00CF4A9A"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w:t>
      </w:r>
    </w:p>
    <w:p w14:paraId="15B9C927" w14:textId="0EF73FCE" w:rsidR="00CF4A9A" w:rsidRPr="00C06B21" w:rsidRDefault="00EE650F" w:rsidP="00CF4A9A">
      <w:pPr>
        <w:pStyle w:val="BodyText"/>
        <w:spacing w:line="480" w:lineRule="auto"/>
        <w:ind w:left="0" w:firstLine="720"/>
        <w:jc w:val="both"/>
        <w:rPr>
          <w:rFonts w:ascii="Book Antiqua" w:hAnsi="Book Antiqua"/>
          <w:color w:val="000000" w:themeColor="text1"/>
          <w:lang w:val="es-ES_tradnl"/>
        </w:rPr>
      </w:pPr>
      <w:r w:rsidRPr="00C06B21">
        <w:rPr>
          <w:rFonts w:ascii="Book Antiqua" w:hAnsi="Book Antiqua"/>
          <w:color w:val="000000" w:themeColor="text1"/>
          <w:lang w:val="es-ES_tradnl"/>
        </w:rPr>
        <w:t>(g) …</w:t>
      </w:r>
      <w:r w:rsidR="00CF4A9A" w:rsidRPr="00C06B21">
        <w:rPr>
          <w:rFonts w:ascii="Book Antiqua" w:hAnsi="Book Antiqua"/>
          <w:color w:val="000000" w:themeColor="text1"/>
          <w:lang w:val="es-ES_tradnl"/>
        </w:rPr>
        <w:t>”</w:t>
      </w:r>
    </w:p>
    <w:p w14:paraId="13668FAC" w14:textId="77777777" w:rsidR="00CF4A9A" w:rsidRPr="00C06B21" w:rsidRDefault="00CF4A9A" w:rsidP="00CF4A9A">
      <w:pPr>
        <w:pStyle w:val="BodyText"/>
        <w:spacing w:line="480" w:lineRule="auto"/>
        <w:jc w:val="both"/>
        <w:rPr>
          <w:rFonts w:ascii="Book Antiqua" w:hAnsi="Book Antiqua"/>
          <w:color w:val="000000" w:themeColor="text1"/>
          <w:lang w:val="es-ES_tradnl"/>
        </w:rPr>
      </w:pPr>
      <w:r w:rsidRPr="00C06B21">
        <w:rPr>
          <w:rFonts w:ascii="Book Antiqua" w:hAnsi="Book Antiqua"/>
          <w:color w:val="000000" w:themeColor="text1"/>
          <w:lang w:val="es-ES_tradnl"/>
        </w:rPr>
        <w:t>Artículo 4.- Separabilidad.</w:t>
      </w:r>
    </w:p>
    <w:p w14:paraId="60A27D4B" w14:textId="7F194002" w:rsidR="00CF4A9A" w:rsidRPr="00C06B21" w:rsidRDefault="00CF4A9A" w:rsidP="00CF4A9A">
      <w:pPr>
        <w:spacing w:after="0" w:line="48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Si cualquier</w:t>
      </w:r>
      <w:r w:rsidR="00EE650F" w:rsidRPr="00C06B21">
        <w:rPr>
          <w:rFonts w:ascii="Book Antiqua" w:hAnsi="Book Antiqua"/>
          <w:color w:val="000000" w:themeColor="text1"/>
          <w:sz w:val="24"/>
          <w:szCs w:val="24"/>
          <w:lang w:val="es-ES_tradnl"/>
        </w:rPr>
        <w:t xml:space="preserve"> </w:t>
      </w:r>
      <w:r w:rsidRPr="00C06B21">
        <w:rPr>
          <w:rFonts w:ascii="Book Antiqua" w:hAnsi="Book Antiqua"/>
          <w:color w:val="000000" w:themeColor="text1"/>
          <w:sz w:val="24"/>
          <w:szCs w:val="24"/>
          <w:lang w:val="es-ES_tradnl"/>
        </w:rPr>
        <w:t>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4AD8ED8" w14:textId="77777777" w:rsidR="00CF4A9A" w:rsidRPr="00C06B21" w:rsidRDefault="00CF4A9A" w:rsidP="00CF4A9A">
      <w:pPr>
        <w:spacing w:after="0" w:line="48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Artículo 5.- Vigencia.</w:t>
      </w:r>
    </w:p>
    <w:p w14:paraId="447DD431" w14:textId="20E34A5C" w:rsidR="00680724" w:rsidRPr="00C06B21" w:rsidRDefault="00CF4A9A" w:rsidP="00CF4A9A">
      <w:pPr>
        <w:autoSpaceDE w:val="0"/>
        <w:autoSpaceDN w:val="0"/>
        <w:adjustRightInd w:val="0"/>
        <w:spacing w:after="0" w:line="480" w:lineRule="auto"/>
        <w:ind w:firstLine="720"/>
        <w:jc w:val="both"/>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Esta Ley comenzará a regir inmediatamente después de su aprobación.</w:t>
      </w:r>
    </w:p>
    <w:sectPr w:rsidR="00680724" w:rsidRPr="00C06B21" w:rsidSect="00BD2021">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07986" w14:textId="77777777" w:rsidR="00BD2021" w:rsidRDefault="00BD2021">
      <w:pPr>
        <w:spacing w:after="0" w:line="240" w:lineRule="auto"/>
      </w:pPr>
      <w:r>
        <w:separator/>
      </w:r>
    </w:p>
  </w:endnote>
  <w:endnote w:type="continuationSeparator" w:id="0">
    <w:p w14:paraId="066517D7" w14:textId="77777777" w:rsidR="00BD2021" w:rsidRDefault="00BD2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default"/>
    <w:sig w:usb0="00000000"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78925" w14:textId="77777777" w:rsidR="001C58E6" w:rsidRDefault="001C58E6">
    <w:pPr>
      <w:pStyle w:val="Footer"/>
      <w:jc w:val="center"/>
    </w:pPr>
  </w:p>
  <w:p w14:paraId="25B543AF" w14:textId="77777777" w:rsidR="001C58E6" w:rsidRDefault="001C5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702F2" w14:textId="77777777" w:rsidR="00BD2021" w:rsidRDefault="00BD2021">
      <w:pPr>
        <w:spacing w:after="0" w:line="240" w:lineRule="auto"/>
      </w:pPr>
      <w:r>
        <w:separator/>
      </w:r>
    </w:p>
  </w:footnote>
  <w:footnote w:type="continuationSeparator" w:id="0">
    <w:p w14:paraId="16682DBD" w14:textId="77777777" w:rsidR="00BD2021" w:rsidRDefault="00BD2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3660" w14:textId="0E03B025" w:rsidR="001C58E6" w:rsidRDefault="008C3291">
    <w:pPr>
      <w:pStyle w:val="Header"/>
      <w:jc w:val="center"/>
    </w:pPr>
    <w:r>
      <w:fldChar w:fldCharType="begin"/>
    </w:r>
    <w:r>
      <w:instrText xml:space="preserve"> PAGE   \* MERGEFORMAT </w:instrText>
    </w:r>
    <w:r>
      <w:fldChar w:fldCharType="separate"/>
    </w:r>
    <w:r w:rsidR="007E3346">
      <w:rPr>
        <w:noProof/>
      </w:rPr>
      <w:t>13</w:t>
    </w:r>
    <w:r>
      <w:fldChar w:fldCharType="end"/>
    </w:r>
  </w:p>
  <w:p w14:paraId="0D15D2C6" w14:textId="77777777" w:rsidR="001C58E6" w:rsidRDefault="001C5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D5F75"/>
    <w:multiLevelType w:val="hybridMultilevel"/>
    <w:tmpl w:val="1B8C4BAE"/>
    <w:lvl w:ilvl="0" w:tplc="FFFFFFFF">
      <w:start w:val="1"/>
      <w:numFmt w:val="decimal"/>
      <w:lvlText w:val="(%1)"/>
      <w:lvlJc w:val="left"/>
      <w:pPr>
        <w:ind w:left="1090" w:hanging="360"/>
      </w:pPr>
      <w:rPr>
        <w:rFonts w:hint="default"/>
      </w:rPr>
    </w:lvl>
    <w:lvl w:ilvl="1" w:tplc="FFFFFFFF">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1" w15:restartNumberingAfterBreak="0">
    <w:nsid w:val="20755AA0"/>
    <w:multiLevelType w:val="hybridMultilevel"/>
    <w:tmpl w:val="9F448AC8"/>
    <w:lvl w:ilvl="0" w:tplc="321E17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7771BF1"/>
    <w:multiLevelType w:val="hybridMultilevel"/>
    <w:tmpl w:val="7A00BADE"/>
    <w:lvl w:ilvl="0" w:tplc="DFD2FCD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8263EF7"/>
    <w:multiLevelType w:val="hybridMultilevel"/>
    <w:tmpl w:val="5BCE741C"/>
    <w:lvl w:ilvl="0" w:tplc="62E07FA4">
      <w:start w:val="1"/>
      <w:numFmt w:val="lowerLetter"/>
      <w:lvlText w:val="(%1)"/>
      <w:lvlJc w:val="left"/>
      <w:pPr>
        <w:ind w:left="1090" w:hanging="360"/>
      </w:pPr>
      <w:rPr>
        <w:rFonts w:hint="default"/>
      </w:rPr>
    </w:lvl>
    <w:lvl w:ilvl="1" w:tplc="500A0019" w:tentative="1">
      <w:start w:val="1"/>
      <w:numFmt w:val="lowerLetter"/>
      <w:lvlText w:val="%2."/>
      <w:lvlJc w:val="left"/>
      <w:pPr>
        <w:ind w:left="1810" w:hanging="360"/>
      </w:pPr>
    </w:lvl>
    <w:lvl w:ilvl="2" w:tplc="500A001B" w:tentative="1">
      <w:start w:val="1"/>
      <w:numFmt w:val="lowerRoman"/>
      <w:lvlText w:val="%3."/>
      <w:lvlJc w:val="right"/>
      <w:pPr>
        <w:ind w:left="2530" w:hanging="180"/>
      </w:pPr>
    </w:lvl>
    <w:lvl w:ilvl="3" w:tplc="500A000F" w:tentative="1">
      <w:start w:val="1"/>
      <w:numFmt w:val="decimal"/>
      <w:lvlText w:val="%4."/>
      <w:lvlJc w:val="left"/>
      <w:pPr>
        <w:ind w:left="3250" w:hanging="360"/>
      </w:pPr>
    </w:lvl>
    <w:lvl w:ilvl="4" w:tplc="500A0019" w:tentative="1">
      <w:start w:val="1"/>
      <w:numFmt w:val="lowerLetter"/>
      <w:lvlText w:val="%5."/>
      <w:lvlJc w:val="left"/>
      <w:pPr>
        <w:ind w:left="3970" w:hanging="360"/>
      </w:pPr>
    </w:lvl>
    <w:lvl w:ilvl="5" w:tplc="500A001B" w:tentative="1">
      <w:start w:val="1"/>
      <w:numFmt w:val="lowerRoman"/>
      <w:lvlText w:val="%6."/>
      <w:lvlJc w:val="right"/>
      <w:pPr>
        <w:ind w:left="4690" w:hanging="180"/>
      </w:pPr>
    </w:lvl>
    <w:lvl w:ilvl="6" w:tplc="500A000F" w:tentative="1">
      <w:start w:val="1"/>
      <w:numFmt w:val="decimal"/>
      <w:lvlText w:val="%7."/>
      <w:lvlJc w:val="left"/>
      <w:pPr>
        <w:ind w:left="5410" w:hanging="360"/>
      </w:pPr>
    </w:lvl>
    <w:lvl w:ilvl="7" w:tplc="500A0019" w:tentative="1">
      <w:start w:val="1"/>
      <w:numFmt w:val="lowerLetter"/>
      <w:lvlText w:val="%8."/>
      <w:lvlJc w:val="left"/>
      <w:pPr>
        <w:ind w:left="6130" w:hanging="360"/>
      </w:pPr>
    </w:lvl>
    <w:lvl w:ilvl="8" w:tplc="500A001B" w:tentative="1">
      <w:start w:val="1"/>
      <w:numFmt w:val="lowerRoman"/>
      <w:lvlText w:val="%9."/>
      <w:lvlJc w:val="right"/>
      <w:pPr>
        <w:ind w:left="6850" w:hanging="180"/>
      </w:pPr>
    </w:lvl>
  </w:abstractNum>
  <w:abstractNum w:abstractNumId="4" w15:restartNumberingAfterBreak="0">
    <w:nsid w:val="5CEA374C"/>
    <w:multiLevelType w:val="hybridMultilevel"/>
    <w:tmpl w:val="1B8C4BAE"/>
    <w:lvl w:ilvl="0" w:tplc="6916ED38">
      <w:start w:val="1"/>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5" w15:restartNumberingAfterBreak="0">
    <w:nsid w:val="6B2667F5"/>
    <w:multiLevelType w:val="hybridMultilevel"/>
    <w:tmpl w:val="5F6656BA"/>
    <w:lvl w:ilvl="0" w:tplc="C9A672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ED36A5"/>
    <w:multiLevelType w:val="hybridMultilevel"/>
    <w:tmpl w:val="370644E4"/>
    <w:lvl w:ilvl="0" w:tplc="940655E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6A5A4A"/>
    <w:multiLevelType w:val="hybridMultilevel"/>
    <w:tmpl w:val="723CF47C"/>
    <w:lvl w:ilvl="0" w:tplc="5B961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0585126">
    <w:abstractNumId w:val="4"/>
  </w:num>
  <w:num w:numId="2" w16cid:durableId="426075729">
    <w:abstractNumId w:val="3"/>
  </w:num>
  <w:num w:numId="3" w16cid:durableId="784033965">
    <w:abstractNumId w:val="0"/>
  </w:num>
  <w:num w:numId="4" w16cid:durableId="1322466675">
    <w:abstractNumId w:val="7"/>
  </w:num>
  <w:num w:numId="5" w16cid:durableId="983513235">
    <w:abstractNumId w:val="5"/>
  </w:num>
  <w:num w:numId="6" w16cid:durableId="308948044">
    <w:abstractNumId w:val="2"/>
  </w:num>
  <w:num w:numId="7" w16cid:durableId="1935700896">
    <w:abstractNumId w:val="6"/>
  </w:num>
  <w:num w:numId="8" w16cid:durableId="194152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A9A"/>
    <w:rsid w:val="000E750C"/>
    <w:rsid w:val="00161566"/>
    <w:rsid w:val="00177A78"/>
    <w:rsid w:val="00186F74"/>
    <w:rsid w:val="001A054D"/>
    <w:rsid w:val="001C58E6"/>
    <w:rsid w:val="001F74CE"/>
    <w:rsid w:val="0021107C"/>
    <w:rsid w:val="00231C61"/>
    <w:rsid w:val="00235EE9"/>
    <w:rsid w:val="002B0AA7"/>
    <w:rsid w:val="003120AA"/>
    <w:rsid w:val="00313E2B"/>
    <w:rsid w:val="003B35D3"/>
    <w:rsid w:val="003E6829"/>
    <w:rsid w:val="003F6685"/>
    <w:rsid w:val="00430F49"/>
    <w:rsid w:val="00436A34"/>
    <w:rsid w:val="004C321D"/>
    <w:rsid w:val="004C7A3F"/>
    <w:rsid w:val="004D46BA"/>
    <w:rsid w:val="004F0230"/>
    <w:rsid w:val="00502C94"/>
    <w:rsid w:val="0056006A"/>
    <w:rsid w:val="005F191F"/>
    <w:rsid w:val="00624804"/>
    <w:rsid w:val="00652D29"/>
    <w:rsid w:val="00680724"/>
    <w:rsid w:val="006F55AD"/>
    <w:rsid w:val="0072167F"/>
    <w:rsid w:val="00792A18"/>
    <w:rsid w:val="007E3346"/>
    <w:rsid w:val="008457AB"/>
    <w:rsid w:val="00850CB4"/>
    <w:rsid w:val="008B4116"/>
    <w:rsid w:val="008B659C"/>
    <w:rsid w:val="008C3291"/>
    <w:rsid w:val="008E57CA"/>
    <w:rsid w:val="009451AC"/>
    <w:rsid w:val="00954BCA"/>
    <w:rsid w:val="009B2521"/>
    <w:rsid w:val="009B531C"/>
    <w:rsid w:val="009C3810"/>
    <w:rsid w:val="00A4560D"/>
    <w:rsid w:val="00AB3F19"/>
    <w:rsid w:val="00AC11C1"/>
    <w:rsid w:val="00AD38B2"/>
    <w:rsid w:val="00B4473F"/>
    <w:rsid w:val="00B65C98"/>
    <w:rsid w:val="00BD2021"/>
    <w:rsid w:val="00BD3916"/>
    <w:rsid w:val="00BE60C1"/>
    <w:rsid w:val="00BE64EF"/>
    <w:rsid w:val="00BF19BC"/>
    <w:rsid w:val="00C06B21"/>
    <w:rsid w:val="00C34BF0"/>
    <w:rsid w:val="00CF4A9A"/>
    <w:rsid w:val="00D008D6"/>
    <w:rsid w:val="00D1385F"/>
    <w:rsid w:val="00D72552"/>
    <w:rsid w:val="00DA7388"/>
    <w:rsid w:val="00DB2669"/>
    <w:rsid w:val="00DF460A"/>
    <w:rsid w:val="00E07B0B"/>
    <w:rsid w:val="00E72667"/>
    <w:rsid w:val="00EE650F"/>
    <w:rsid w:val="00EF5680"/>
    <w:rsid w:val="00F220F4"/>
    <w:rsid w:val="00F801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1EDA18"/>
  <w15:docId w15:val="{A0356CA3-7552-4927-8372-0B88B706E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A9A"/>
    <w:pPr>
      <w:spacing w:after="200" w:line="276" w:lineRule="auto"/>
    </w:pPr>
    <w:rPr>
      <w:rFonts w:ascii="Calibri" w:eastAsia="Calibri" w:hAnsi="Calibri" w:cs="Times New Roman"/>
      <w:lang w:val="es-PR"/>
    </w:rPr>
  </w:style>
  <w:style w:type="paragraph" w:styleId="Heading1">
    <w:name w:val="heading 1"/>
    <w:next w:val="Normal"/>
    <w:link w:val="Heading1Char"/>
    <w:uiPriority w:val="9"/>
    <w:qFormat/>
    <w:rsid w:val="00CF4A9A"/>
    <w:pPr>
      <w:keepNext/>
      <w:keepLines/>
      <w:spacing w:after="0"/>
      <w:ind w:left="10" w:right="14" w:hanging="10"/>
      <w:outlineLvl w:val="0"/>
    </w:pPr>
    <w:rPr>
      <w:rFonts w:ascii="Book Antiqua" w:eastAsia="Book Antiqua" w:hAnsi="Book Antiqua" w:cs="Book Antiqua"/>
      <w:b/>
      <w:color w:val="000000"/>
      <w:sz w:val="24"/>
      <w:lang w:val="es-PR" w:eastAsia="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A9A"/>
    <w:rPr>
      <w:rFonts w:ascii="Book Antiqua" w:eastAsia="Book Antiqua" w:hAnsi="Book Antiqua" w:cs="Book Antiqua"/>
      <w:b/>
      <w:color w:val="000000"/>
      <w:sz w:val="24"/>
      <w:lang w:val="es-PR" w:eastAsia="es-PR"/>
    </w:rPr>
  </w:style>
  <w:style w:type="paragraph" w:styleId="Header">
    <w:name w:val="header"/>
    <w:basedOn w:val="Normal"/>
    <w:link w:val="HeaderChar"/>
    <w:uiPriority w:val="99"/>
    <w:unhideWhenUsed/>
    <w:rsid w:val="00CF4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A9A"/>
    <w:rPr>
      <w:rFonts w:ascii="Calibri" w:eastAsia="Calibri" w:hAnsi="Calibri" w:cs="Times New Roman"/>
    </w:rPr>
  </w:style>
  <w:style w:type="paragraph" w:styleId="Footer">
    <w:name w:val="footer"/>
    <w:basedOn w:val="Normal"/>
    <w:link w:val="FooterChar"/>
    <w:uiPriority w:val="99"/>
    <w:unhideWhenUsed/>
    <w:rsid w:val="00CF4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A9A"/>
    <w:rPr>
      <w:rFonts w:ascii="Calibri" w:eastAsia="Calibri" w:hAnsi="Calibri" w:cs="Times New Roman"/>
    </w:rPr>
  </w:style>
  <w:style w:type="paragraph" w:styleId="ListParagraph">
    <w:name w:val="List Paragraph"/>
    <w:basedOn w:val="Normal"/>
    <w:uiPriority w:val="34"/>
    <w:qFormat/>
    <w:rsid w:val="00CF4A9A"/>
    <w:pPr>
      <w:spacing w:after="5" w:line="249" w:lineRule="auto"/>
      <w:ind w:left="720" w:right="13" w:hanging="10"/>
      <w:contextualSpacing/>
      <w:jc w:val="both"/>
    </w:pPr>
    <w:rPr>
      <w:rFonts w:ascii="Book Antiqua" w:eastAsia="Book Antiqua" w:hAnsi="Book Antiqua" w:cs="Book Antiqua"/>
      <w:color w:val="000000"/>
      <w:sz w:val="24"/>
      <w:lang w:eastAsia="es-PR"/>
    </w:rPr>
  </w:style>
  <w:style w:type="character" w:styleId="LineNumber">
    <w:name w:val="line number"/>
    <w:basedOn w:val="DefaultParagraphFont"/>
    <w:uiPriority w:val="99"/>
    <w:semiHidden/>
    <w:unhideWhenUsed/>
    <w:rsid w:val="00CF4A9A"/>
  </w:style>
  <w:style w:type="paragraph" w:styleId="FootnoteText">
    <w:name w:val="footnote text"/>
    <w:basedOn w:val="Normal"/>
    <w:link w:val="FootnoteTextChar"/>
    <w:uiPriority w:val="99"/>
    <w:semiHidden/>
    <w:unhideWhenUsed/>
    <w:rsid w:val="00CF4A9A"/>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CF4A9A"/>
    <w:rPr>
      <w:rFonts w:ascii="Times New Roman" w:eastAsia="Times New Roman" w:hAnsi="Times New Roman" w:cs="Times New Roman"/>
      <w:sz w:val="20"/>
      <w:szCs w:val="20"/>
    </w:rPr>
  </w:style>
  <w:style w:type="paragraph" w:styleId="NormalWeb">
    <w:name w:val="Normal (Web)"/>
    <w:basedOn w:val="Normal"/>
    <w:uiPriority w:val="99"/>
    <w:unhideWhenUsed/>
    <w:rsid w:val="00CF4A9A"/>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1"/>
    <w:qFormat/>
    <w:rsid w:val="00CF4A9A"/>
    <w:pPr>
      <w:widowControl w:val="0"/>
      <w:spacing w:after="0" w:line="240" w:lineRule="auto"/>
      <w:ind w:left="88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CF4A9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D38B2"/>
    <w:rPr>
      <w:sz w:val="16"/>
      <w:szCs w:val="16"/>
    </w:rPr>
  </w:style>
  <w:style w:type="paragraph" w:styleId="CommentText">
    <w:name w:val="annotation text"/>
    <w:basedOn w:val="Normal"/>
    <w:link w:val="CommentTextChar"/>
    <w:uiPriority w:val="99"/>
    <w:semiHidden/>
    <w:unhideWhenUsed/>
    <w:rsid w:val="00AD38B2"/>
    <w:pPr>
      <w:spacing w:line="240" w:lineRule="auto"/>
    </w:pPr>
    <w:rPr>
      <w:sz w:val="20"/>
      <w:szCs w:val="20"/>
    </w:rPr>
  </w:style>
  <w:style w:type="character" w:customStyle="1" w:styleId="CommentTextChar">
    <w:name w:val="Comment Text Char"/>
    <w:basedOn w:val="DefaultParagraphFont"/>
    <w:link w:val="CommentText"/>
    <w:uiPriority w:val="99"/>
    <w:semiHidden/>
    <w:rsid w:val="00AD38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D38B2"/>
    <w:rPr>
      <w:b/>
      <w:bCs/>
    </w:rPr>
  </w:style>
  <w:style w:type="character" w:customStyle="1" w:styleId="CommentSubjectChar">
    <w:name w:val="Comment Subject Char"/>
    <w:basedOn w:val="CommentTextChar"/>
    <w:link w:val="CommentSubject"/>
    <w:uiPriority w:val="99"/>
    <w:semiHidden/>
    <w:rsid w:val="00AD38B2"/>
    <w:rPr>
      <w:rFonts w:ascii="Calibri" w:eastAsia="Calibri" w:hAnsi="Calibri" w:cs="Times New Roman"/>
      <w:b/>
      <w:bCs/>
      <w:sz w:val="20"/>
      <w:szCs w:val="20"/>
    </w:rPr>
  </w:style>
  <w:style w:type="paragraph" w:styleId="Revision">
    <w:name w:val="Revision"/>
    <w:hidden/>
    <w:uiPriority w:val="99"/>
    <w:semiHidden/>
    <w:rsid w:val="00AD38B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3411</Words>
  <Characters>18761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Bárbara Sierra Nieves</cp:lastModifiedBy>
  <cp:revision>4</cp:revision>
  <dcterms:created xsi:type="dcterms:W3CDTF">2025-01-02T14:12:00Z</dcterms:created>
  <dcterms:modified xsi:type="dcterms:W3CDTF">2025-01-08T18:53:00Z</dcterms:modified>
</cp:coreProperties>
</file>