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2B846759"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FB3617">
        <w:rPr>
          <w:rFonts w:ascii="Book Antiqua" w:hAnsi="Book Antiqua"/>
          <w:b/>
          <w:sz w:val="52"/>
          <w:lang w:val="es-ES_tradnl"/>
        </w:rPr>
        <w:t>38</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2761A020" w:rsidR="001B5218" w:rsidRPr="005E150B" w:rsidRDefault="002038D1" w:rsidP="0027212A">
      <w:pPr>
        <w:spacing w:line="360" w:lineRule="auto"/>
        <w:jc w:val="center"/>
        <w:rPr>
          <w:rFonts w:ascii="Book Antiqua" w:hAnsi="Book Antiqua"/>
          <w:lang w:val="es-ES_tradnl"/>
        </w:rPr>
      </w:pPr>
      <w:r>
        <w:rPr>
          <w:rFonts w:ascii="Book Antiqua" w:hAnsi="Book Antiqua"/>
          <w:lang w:val="es-ES_tradnl"/>
        </w:rPr>
        <w:t xml:space="preserve">14 </w:t>
      </w:r>
      <w:r w:rsidR="00FB3617">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283576">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4238A214" w:rsidR="005B2884" w:rsidRPr="00A11ED0" w:rsidRDefault="00A52CD9" w:rsidP="00283576">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FB3617">
        <w:rPr>
          <w:rFonts w:ascii="Book Antiqua" w:hAnsi="Book Antiqua"/>
          <w:spacing w:val="-3"/>
          <w:lang w:val="es-ES_tradnl"/>
        </w:rPr>
        <w:t xml:space="preserve">Proyecto del Senado 38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BF3095">
        <w:rPr>
          <w:rFonts w:ascii="Book Antiqua" w:hAnsi="Book Antiqua"/>
          <w:spacing w:val="-3"/>
          <w:lang w:val="es-ES_tradnl"/>
        </w:rPr>
        <w:t>con las enmiendas contenidas en el entirillado electrónico que se acompaña</w:t>
      </w:r>
      <w:r w:rsidR="00BF3095" w:rsidRPr="00BF3095">
        <w:rPr>
          <w:rFonts w:ascii="Book Antiqua" w:hAnsi="Book Antiqua"/>
          <w:spacing w:val="-3"/>
          <w:lang w:val="es-ES_tradnl"/>
        </w:rPr>
        <w:t>.</w:t>
      </w:r>
    </w:p>
    <w:p w14:paraId="1C36686D" w14:textId="77777777" w:rsidR="000C52A1" w:rsidRPr="00A11ED0" w:rsidRDefault="000C52A1" w:rsidP="00283576">
      <w:pPr>
        <w:suppressAutoHyphens/>
        <w:spacing w:line="276" w:lineRule="auto"/>
        <w:jc w:val="both"/>
        <w:rPr>
          <w:rFonts w:ascii="Book Antiqua" w:hAnsi="Book Antiqua"/>
          <w:spacing w:val="-3"/>
          <w:lang w:val="es-ES_tradnl"/>
        </w:rPr>
      </w:pPr>
    </w:p>
    <w:p w14:paraId="632423B1" w14:textId="77777777" w:rsidR="0024131E" w:rsidRPr="00A11ED0" w:rsidRDefault="001B5218" w:rsidP="00283576">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283576">
      <w:pPr>
        <w:tabs>
          <w:tab w:val="left" w:pos="-720"/>
        </w:tabs>
        <w:suppressAutoHyphens/>
        <w:spacing w:line="276" w:lineRule="auto"/>
        <w:rPr>
          <w:rFonts w:ascii="Book Antiqua" w:hAnsi="Book Antiqua"/>
          <w:b/>
          <w:bCs/>
          <w:szCs w:val="24"/>
          <w:lang w:val="es-ES_tradnl"/>
        </w:rPr>
      </w:pPr>
    </w:p>
    <w:p w14:paraId="7C7A3389" w14:textId="7E4E9357" w:rsidR="006F51A8" w:rsidRPr="00A11ED0" w:rsidRDefault="009F427F" w:rsidP="00283576">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FB3617">
        <w:rPr>
          <w:rFonts w:ascii="Book Antiqua" w:hAnsi="Book Antiqua"/>
          <w:lang w:val="es-PR"/>
        </w:rPr>
        <w:t>38</w:t>
      </w:r>
      <w:r w:rsidRPr="00A11ED0">
        <w:rPr>
          <w:rFonts w:ascii="Book Antiqua" w:hAnsi="Book Antiqua"/>
          <w:lang w:val="es-PR"/>
        </w:rPr>
        <w:t xml:space="preserve"> </w:t>
      </w:r>
      <w:r w:rsidRPr="00337BB7">
        <w:rPr>
          <w:rFonts w:ascii="Book Antiqua" w:hAnsi="Book Antiqua"/>
          <w:lang w:val="es-PR"/>
        </w:rPr>
        <w:t xml:space="preserve">(en adelante, P. del S. </w:t>
      </w:r>
      <w:r w:rsidR="00FB3617">
        <w:rPr>
          <w:rFonts w:ascii="Book Antiqua" w:hAnsi="Book Antiqua"/>
          <w:lang w:val="es-PR"/>
        </w:rPr>
        <w:t>38)</w:t>
      </w:r>
      <w:r w:rsidRPr="00B8540B">
        <w:rPr>
          <w:rFonts w:ascii="Book Antiqua" w:hAnsi="Book Antiqua"/>
          <w:i/>
          <w:iCs/>
          <w:lang w:val="es-PR"/>
        </w:rPr>
        <w:t xml:space="preserve"> </w:t>
      </w:r>
      <w:r w:rsidR="001B5218" w:rsidRPr="00337BB7">
        <w:rPr>
          <w:rFonts w:ascii="Book Antiqua" w:hAnsi="Book Antiqua"/>
          <w:lang w:val="es-PR"/>
        </w:rPr>
        <w:t>,</w:t>
      </w:r>
      <w:r w:rsidR="001B5218" w:rsidRPr="00A11ED0">
        <w:rPr>
          <w:rFonts w:ascii="Book Antiqua" w:hAnsi="Book Antiqua"/>
          <w:lang w:val="es-PR"/>
        </w:rPr>
        <w:t xml:space="preserve"> según radicado, tiene como propósito, </w:t>
      </w:r>
      <w:r w:rsidR="008E051A" w:rsidRPr="00337BB7">
        <w:rPr>
          <w:rFonts w:ascii="Book Antiqua" w:hAnsi="Book Antiqua"/>
          <w:lang w:val="es-PR"/>
        </w:rPr>
        <w:t>“</w:t>
      </w:r>
      <w:r w:rsidR="00DE6EB4" w:rsidRPr="00DE6EB4">
        <w:rPr>
          <w:rFonts w:ascii="Book Antiqua" w:hAnsi="Book Antiqua"/>
          <w:lang w:val="es-PR"/>
        </w:rPr>
        <w:t>enmendar el inciso (l) del Artículo 3, el sub-inciso (b) del inciso 2, los incisos (4) y (5) del Artículo 4 y el Artículo 15 de la Ley Núm. 88 de 9 de Julio de 1986, según enmendada, conocida como “Ley de Menores de Puerto Rico” a los fines de atemperar sus disposiciones y delitos al sistema de penas establecido en la Ley Núm. 146 de 30 de julio de 2012, según enmendada, conocida como “Código Penal de Puerto Rico” y para otros fines relacionados.</w:t>
      </w:r>
      <w:r w:rsidR="00A11ED0" w:rsidRPr="00A11ED0">
        <w:rPr>
          <w:rFonts w:ascii="Book Antiqua" w:hAnsi="Book Antiqua"/>
          <w:lang w:val="es-PR"/>
        </w:rPr>
        <w:t>”</w:t>
      </w:r>
      <w:bookmarkStart w:id="4" w:name="_Hlk194438498"/>
    </w:p>
    <w:bookmarkEnd w:id="4"/>
    <w:p w14:paraId="771800BC" w14:textId="77777777" w:rsidR="00A06A16" w:rsidRPr="00A11ED0" w:rsidRDefault="00A06A16" w:rsidP="00283576">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283576">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283576">
      <w:pPr>
        <w:tabs>
          <w:tab w:val="left" w:pos="-720"/>
        </w:tabs>
        <w:suppressAutoHyphens/>
        <w:spacing w:line="276" w:lineRule="auto"/>
        <w:ind w:firstLine="360"/>
        <w:jc w:val="center"/>
        <w:rPr>
          <w:rFonts w:ascii="Book Antiqua" w:hAnsi="Book Antiqua"/>
          <w:b/>
          <w:bCs/>
          <w:lang w:val="es-PR"/>
        </w:rPr>
      </w:pPr>
    </w:p>
    <w:p w14:paraId="742CE975" w14:textId="2C68823D" w:rsidR="00F04BBF" w:rsidRPr="007D0BAB" w:rsidRDefault="00246C97" w:rsidP="00283576">
      <w:pPr>
        <w:tabs>
          <w:tab w:val="left" w:pos="-720"/>
        </w:tabs>
        <w:suppressAutoHyphens/>
        <w:spacing w:line="276" w:lineRule="auto"/>
        <w:ind w:firstLine="360"/>
        <w:jc w:val="both"/>
        <w:rPr>
          <w:lang w:val="es-ES"/>
        </w:rPr>
      </w:pPr>
      <w:r>
        <w:rPr>
          <w:rFonts w:ascii="Book Antiqua" w:hAnsi="Book Antiqua"/>
          <w:lang w:val="es-PR"/>
        </w:rPr>
        <w:tab/>
      </w:r>
      <w:r w:rsidR="00F04BBF" w:rsidRPr="00F04BBF">
        <w:rPr>
          <w:rFonts w:ascii="Book Antiqua" w:hAnsi="Book Antiqua"/>
          <w:lang w:val="es-PR"/>
        </w:rPr>
        <w:t>El Artículo 3 de la Ley Núm. 88 de 9 de Julio de 1986, según enmendada</w:t>
      </w:r>
      <w:r w:rsidR="00F04BBF">
        <w:rPr>
          <w:rFonts w:ascii="Book Antiqua" w:hAnsi="Book Antiqua"/>
          <w:lang w:val="es-PR"/>
        </w:rPr>
        <w:t xml:space="preserve">, conocida como la </w:t>
      </w:r>
      <w:r w:rsidR="00F04BBF" w:rsidRPr="00F04BBF">
        <w:rPr>
          <w:rFonts w:ascii="Book Antiqua" w:hAnsi="Book Antiqua"/>
          <w:lang w:val="es-PR"/>
        </w:rPr>
        <w:t xml:space="preserve">Ley de Menores de Puerto Rico </w:t>
      </w:r>
      <w:r w:rsidR="00AA2FC3">
        <w:rPr>
          <w:rFonts w:ascii="Book Antiqua" w:hAnsi="Book Antiqua"/>
          <w:lang w:val="es-PR"/>
        </w:rPr>
        <w:t xml:space="preserve">(en adelante “Ley de menores”) </w:t>
      </w:r>
      <w:r w:rsidR="00F04BBF">
        <w:rPr>
          <w:rFonts w:ascii="Book Antiqua" w:hAnsi="Book Antiqua"/>
          <w:lang w:val="es-PR"/>
        </w:rPr>
        <w:t>define</w:t>
      </w:r>
      <w:r w:rsidR="00F04BBF" w:rsidRPr="00F04BBF">
        <w:rPr>
          <w:rFonts w:ascii="Book Antiqua" w:hAnsi="Book Antiqua"/>
          <w:lang w:val="es-PR"/>
        </w:rPr>
        <w:t xml:space="preserve"> las palabras y frases clave utilizadas a lo largo de la ley. Dentro de este artículo, el inciso (l) específicamente define lo que se considera una </w:t>
      </w:r>
      <w:r w:rsidR="00F04BBF">
        <w:rPr>
          <w:rFonts w:ascii="Book Antiqua" w:hAnsi="Book Antiqua"/>
          <w:lang w:val="es-PR"/>
        </w:rPr>
        <w:t>“</w:t>
      </w:r>
      <w:r w:rsidR="00F04BBF" w:rsidRPr="00F04BBF">
        <w:rPr>
          <w:rFonts w:ascii="Book Antiqua" w:hAnsi="Book Antiqua"/>
          <w:lang w:val="es-PR"/>
        </w:rPr>
        <w:t>Falta Clase III</w:t>
      </w:r>
      <w:r w:rsidR="00F04BBF">
        <w:rPr>
          <w:rFonts w:ascii="Book Antiqua" w:hAnsi="Book Antiqua"/>
          <w:lang w:val="es-PR"/>
        </w:rPr>
        <w:t>”</w:t>
      </w:r>
      <w:r w:rsidR="00F04BBF" w:rsidRPr="00F04BBF">
        <w:rPr>
          <w:rFonts w:ascii="Book Antiqua" w:hAnsi="Book Antiqua"/>
          <w:lang w:val="es-PR"/>
        </w:rPr>
        <w:t>.</w:t>
      </w:r>
      <w:r w:rsidR="00F04BBF">
        <w:rPr>
          <w:rFonts w:ascii="Book Antiqua" w:hAnsi="Book Antiqua"/>
          <w:lang w:val="es-PR"/>
        </w:rPr>
        <w:t xml:space="preserve"> </w:t>
      </w:r>
      <w:r w:rsidR="00F04BBF" w:rsidRPr="00F04BBF">
        <w:rPr>
          <w:rFonts w:ascii="Book Antiqua" w:hAnsi="Book Antiqua"/>
          <w:lang w:val="es-PR"/>
        </w:rPr>
        <w:t xml:space="preserve">Actualmente, bajo la Ley </w:t>
      </w:r>
      <w:r w:rsidR="00AA2FC3">
        <w:rPr>
          <w:rFonts w:ascii="Book Antiqua" w:hAnsi="Book Antiqua"/>
          <w:lang w:val="es-PR"/>
        </w:rPr>
        <w:t>de Menores</w:t>
      </w:r>
      <w:r w:rsidR="00F04BBF" w:rsidRPr="00F04BBF">
        <w:rPr>
          <w:rFonts w:ascii="Book Antiqua" w:hAnsi="Book Antiqua"/>
          <w:lang w:val="es-PR"/>
        </w:rPr>
        <w:t xml:space="preserve">, una </w:t>
      </w:r>
      <w:r w:rsidR="00F04BBF">
        <w:rPr>
          <w:rFonts w:ascii="Book Antiqua" w:hAnsi="Book Antiqua"/>
          <w:lang w:val="es-PR"/>
        </w:rPr>
        <w:t>“</w:t>
      </w:r>
      <w:r w:rsidR="00F04BBF" w:rsidRPr="00F04BBF">
        <w:rPr>
          <w:rFonts w:ascii="Book Antiqua" w:hAnsi="Book Antiqua"/>
          <w:lang w:val="es-PR"/>
        </w:rPr>
        <w:t>Falta Clase III</w:t>
      </w:r>
      <w:r w:rsidR="00F04BBF">
        <w:rPr>
          <w:rFonts w:ascii="Book Antiqua" w:hAnsi="Book Antiqua"/>
          <w:lang w:val="es-PR"/>
        </w:rPr>
        <w:t>”</w:t>
      </w:r>
      <w:r w:rsidR="00F04BBF" w:rsidRPr="00F04BBF">
        <w:rPr>
          <w:rFonts w:ascii="Book Antiqua" w:hAnsi="Book Antiqua"/>
          <w:lang w:val="es-PR"/>
        </w:rPr>
        <w:t xml:space="preserve"> es una conducta que, si fuera cometida por un adulto, constituiría un delito grave. Sin embargo, la </w:t>
      </w:r>
      <w:r w:rsidR="00AA2FC3">
        <w:rPr>
          <w:rFonts w:ascii="Book Antiqua" w:hAnsi="Book Antiqua"/>
          <w:lang w:val="es-PR"/>
        </w:rPr>
        <w:t>Ley</w:t>
      </w:r>
      <w:r w:rsidR="00F04BBF" w:rsidRPr="00F04BBF">
        <w:rPr>
          <w:rFonts w:ascii="Book Antiqua" w:hAnsi="Book Antiqua"/>
          <w:lang w:val="es-PR"/>
        </w:rPr>
        <w:t xml:space="preserve"> excluye </w:t>
      </w:r>
      <w:r w:rsidR="00F04BBF" w:rsidRPr="00F04BBF">
        <w:rPr>
          <w:rFonts w:ascii="Book Antiqua" w:hAnsi="Book Antiqua"/>
          <w:lang w:val="es-PR"/>
        </w:rPr>
        <w:lastRenderedPageBreak/>
        <w:t>explícitamente la modalidad de asesinato en primer grado de la autoridad del Tribunal de Menores. La definición actual de Falta Clase III incluye: delito grave de segundo grado; los siguientes delitos graves clasificados como de tercer grado: asesinato atenuado, escalamiento agravado, secuestro, robo, y agresión grave en su modalidad mutilante. También abarca ciertos delitos en leyes especiales, como la distribución de sustancias controladas y los Artículos 5.03, 5.07, 5.08, 5.09 y 5.1</w:t>
      </w:r>
      <w:r w:rsidR="00F04BBF" w:rsidRPr="00801610">
        <w:rPr>
          <w:rFonts w:ascii="Book Antiqua" w:hAnsi="Book Antiqua"/>
          <w:lang w:val="es-PR"/>
        </w:rPr>
        <w:t xml:space="preserve">0 </w:t>
      </w:r>
      <w:r w:rsidR="00F04BBF" w:rsidRPr="002117B8">
        <w:rPr>
          <w:rFonts w:ascii="Book Antiqua" w:hAnsi="Book Antiqua"/>
          <w:lang w:val="es-PR"/>
        </w:rPr>
        <w:t xml:space="preserve">de la </w:t>
      </w:r>
      <w:r w:rsidR="00D12BFA" w:rsidRPr="002117B8">
        <w:rPr>
          <w:rFonts w:ascii="Book Antiqua" w:hAnsi="Book Antiqua"/>
          <w:lang w:val="es-PR"/>
        </w:rPr>
        <w:t xml:space="preserve">antigua </w:t>
      </w:r>
      <w:r w:rsidR="00F04BBF" w:rsidRPr="002117B8">
        <w:rPr>
          <w:rFonts w:ascii="Book Antiqua" w:hAnsi="Book Antiqua"/>
          <w:lang w:val="es-PR"/>
        </w:rPr>
        <w:t>Ley de Armas de Puerto Rico</w:t>
      </w:r>
      <w:r w:rsidR="00D12BFA" w:rsidRPr="002117B8">
        <w:rPr>
          <w:rFonts w:ascii="Book Antiqua" w:hAnsi="Book Antiqua"/>
          <w:lang w:val="es-PR"/>
        </w:rPr>
        <w:t xml:space="preserve">, </w:t>
      </w:r>
      <w:r w:rsidR="00D12BFA" w:rsidRPr="002117B8">
        <w:rPr>
          <w:rFonts w:ascii="Book Antiqua" w:hAnsi="Book Antiqua"/>
          <w:lang w:val="es-ES"/>
        </w:rPr>
        <w:t xml:space="preserve">Ley Núm. 404 de 11 de </w:t>
      </w:r>
      <w:r w:rsidR="007D0BAB" w:rsidRPr="002117B8">
        <w:rPr>
          <w:rFonts w:ascii="Book Antiqua" w:hAnsi="Book Antiqua"/>
          <w:lang w:val="es-ES"/>
        </w:rPr>
        <w:t>septiembre</w:t>
      </w:r>
      <w:r w:rsidR="00D12BFA" w:rsidRPr="002117B8">
        <w:rPr>
          <w:rFonts w:ascii="Book Antiqua" w:hAnsi="Book Antiqua"/>
          <w:lang w:val="es-ES"/>
        </w:rPr>
        <w:t xml:space="preserve"> de 2000</w:t>
      </w:r>
      <w:r w:rsidR="007D0BAB" w:rsidRPr="002117B8">
        <w:rPr>
          <w:rFonts w:ascii="Book Antiqua" w:hAnsi="Book Antiqua"/>
          <w:lang w:val="es-ES"/>
        </w:rPr>
        <w:t>, derogada por la Ley de Armas de Puerto Rico de 2020, Ley Núm. 168 de 11 de diciembre de 2019</w:t>
      </w:r>
      <w:r w:rsidR="00F04BBF" w:rsidRPr="002117B8">
        <w:rPr>
          <w:rFonts w:ascii="Book Antiqua" w:hAnsi="Book Antiqua"/>
          <w:lang w:val="es-PR"/>
        </w:rPr>
        <w:t>.</w:t>
      </w:r>
    </w:p>
    <w:p w14:paraId="7A052337" w14:textId="7DC63570" w:rsidR="00F04BBF" w:rsidRPr="00F04BBF" w:rsidRDefault="00490798" w:rsidP="00490798">
      <w:pPr>
        <w:tabs>
          <w:tab w:val="left" w:pos="-720"/>
        </w:tabs>
        <w:suppressAutoHyphens/>
        <w:spacing w:line="276" w:lineRule="auto"/>
        <w:jc w:val="both"/>
        <w:rPr>
          <w:rFonts w:ascii="Book Antiqua" w:hAnsi="Book Antiqua"/>
          <w:lang w:val="es-PR"/>
        </w:rPr>
      </w:pPr>
      <w:r>
        <w:rPr>
          <w:rFonts w:ascii="Book Antiqua" w:hAnsi="Book Antiqua"/>
          <w:lang w:val="es-PR"/>
        </w:rPr>
        <w:tab/>
      </w:r>
      <w:r w:rsidR="007D0BAB">
        <w:rPr>
          <w:rFonts w:ascii="Book Antiqua" w:hAnsi="Book Antiqua"/>
          <w:lang w:val="es-PR"/>
        </w:rPr>
        <w:t>El</w:t>
      </w:r>
      <w:r w:rsidR="00F04BBF" w:rsidRPr="00F04BBF">
        <w:rPr>
          <w:rFonts w:ascii="Book Antiqua" w:hAnsi="Book Antiqua"/>
          <w:lang w:val="es-PR"/>
        </w:rPr>
        <w:t xml:space="preserve"> P. del S. 38</w:t>
      </w:r>
      <w:r w:rsidR="007D0BAB">
        <w:rPr>
          <w:rFonts w:ascii="Book Antiqua" w:hAnsi="Book Antiqua"/>
          <w:lang w:val="es-PR"/>
        </w:rPr>
        <w:t xml:space="preserve"> </w:t>
      </w:r>
      <w:r w:rsidR="00F04BBF" w:rsidRPr="00F04BBF">
        <w:rPr>
          <w:rFonts w:ascii="Book Antiqua" w:hAnsi="Book Antiqua"/>
          <w:lang w:val="es-PR"/>
        </w:rPr>
        <w:t xml:space="preserve">propone enmendar el inciso (l) del Artículo 3 de </w:t>
      </w:r>
      <w:r w:rsidR="00645AB1">
        <w:rPr>
          <w:rFonts w:ascii="Book Antiqua" w:hAnsi="Book Antiqua"/>
          <w:lang w:val="es-PR"/>
        </w:rPr>
        <w:t>la Ley de Menores</w:t>
      </w:r>
      <w:r w:rsidR="00F04BBF" w:rsidRPr="00F04BBF">
        <w:rPr>
          <w:rFonts w:ascii="Book Antiqua" w:hAnsi="Book Antiqua"/>
          <w:lang w:val="es-PR"/>
        </w:rPr>
        <w:t xml:space="preserve">. La Exposición de Motivos de este proyecto destaca la necesidad de armonizar la Ley de Menores con el nuevo sistema de penas establecido en la Ley Núm. 146 de 30 de julio de 2012, conocida como el </w:t>
      </w:r>
      <w:r w:rsidR="007D0BAB">
        <w:rPr>
          <w:rFonts w:ascii="Book Antiqua" w:hAnsi="Book Antiqua"/>
          <w:lang w:val="es-PR"/>
        </w:rPr>
        <w:t>“</w:t>
      </w:r>
      <w:r w:rsidR="00F04BBF" w:rsidRPr="00F04BBF">
        <w:rPr>
          <w:rFonts w:ascii="Book Antiqua" w:hAnsi="Book Antiqua"/>
          <w:lang w:val="es-PR"/>
        </w:rPr>
        <w:t>Código Penal de Puerto Rico</w:t>
      </w:r>
      <w:r w:rsidR="007D0BAB">
        <w:rPr>
          <w:rFonts w:ascii="Book Antiqua" w:hAnsi="Book Antiqua"/>
          <w:lang w:val="es-PR"/>
        </w:rPr>
        <w:t>”</w:t>
      </w:r>
      <w:r w:rsidR="00F04BBF" w:rsidRPr="00F04BBF">
        <w:rPr>
          <w:rFonts w:ascii="Book Antiqua" w:hAnsi="Book Antiqua"/>
          <w:lang w:val="es-PR"/>
        </w:rPr>
        <w:t>. Esta actualización busca evitar vacíos legales y asegurar que el sistema penal sea coherente, justo y equitativo, promoviendo además los objetivos de rehabilitación y reintegración social.</w:t>
      </w:r>
    </w:p>
    <w:p w14:paraId="4B4D6C19" w14:textId="37FD0C23" w:rsidR="006F51A8" w:rsidRPr="00C86FB5" w:rsidRDefault="00490798" w:rsidP="00490798">
      <w:pPr>
        <w:tabs>
          <w:tab w:val="left" w:pos="-720"/>
        </w:tabs>
        <w:suppressAutoHyphens/>
        <w:spacing w:line="276" w:lineRule="auto"/>
        <w:jc w:val="both"/>
        <w:rPr>
          <w:lang w:val="es-ES"/>
        </w:rPr>
      </w:pPr>
      <w:r>
        <w:rPr>
          <w:rFonts w:ascii="Book Antiqua" w:hAnsi="Book Antiqua"/>
          <w:lang w:val="es-PR"/>
        </w:rPr>
        <w:tab/>
      </w:r>
      <w:r w:rsidR="00F04BBF" w:rsidRPr="00F04BBF">
        <w:rPr>
          <w:rFonts w:ascii="Book Antiqua" w:hAnsi="Book Antiqua"/>
          <w:lang w:val="es-PR"/>
        </w:rPr>
        <w:t xml:space="preserve">Bajo la propuesta de enmienda del P. del S. 38, la definición de </w:t>
      </w:r>
      <w:r w:rsidR="009F15D0">
        <w:rPr>
          <w:rFonts w:ascii="Book Antiqua" w:hAnsi="Book Antiqua"/>
          <w:lang w:val="es-PR"/>
        </w:rPr>
        <w:t>“</w:t>
      </w:r>
      <w:r w:rsidR="00F04BBF" w:rsidRPr="00F04BBF">
        <w:rPr>
          <w:rFonts w:ascii="Book Antiqua" w:hAnsi="Book Antiqua"/>
          <w:lang w:val="es-PR"/>
        </w:rPr>
        <w:t>Falta Clase III</w:t>
      </w:r>
      <w:r w:rsidR="009F15D0">
        <w:rPr>
          <w:rFonts w:ascii="Book Antiqua" w:hAnsi="Book Antiqua"/>
          <w:lang w:val="es-PR"/>
        </w:rPr>
        <w:t>”</w:t>
      </w:r>
      <w:r w:rsidR="00F04BBF" w:rsidRPr="00F04BBF">
        <w:rPr>
          <w:rFonts w:ascii="Book Antiqua" w:hAnsi="Book Antiqua"/>
          <w:lang w:val="es-PR"/>
        </w:rPr>
        <w:t xml:space="preserve"> se modificaría para incluir específicamente las siguientes conductas: asesinato en la modalidad que está bajo la autoridad del Tribunal, homicidio, escalamiento agravado, agresión grave, agresión sexual, violación, robo, incendio agravado, restricción de libertad agravada, secuestro, mutilación, incesto, sodomía, robo de menores y apropiación ilegal en la modalidad de hurto de vehículos. Además, mantiene la inclusión de delitos en leyes especiales como la distribución de sustancias controladas y los Artículos 5.03, 5.07, 5.08, 5.09 y 5.10 de la </w:t>
      </w:r>
      <w:r w:rsidR="00BA03DB">
        <w:rPr>
          <w:rFonts w:ascii="Book Antiqua" w:hAnsi="Book Antiqua"/>
          <w:lang w:val="es-PR"/>
        </w:rPr>
        <w:t xml:space="preserve">antigua </w:t>
      </w:r>
      <w:r w:rsidR="00F04BBF" w:rsidRPr="00F04BBF">
        <w:rPr>
          <w:rFonts w:ascii="Book Antiqua" w:hAnsi="Book Antiqua"/>
          <w:lang w:val="es-PR"/>
        </w:rPr>
        <w:t xml:space="preserve">Ley de Armas. </w:t>
      </w:r>
      <w:r w:rsidR="00F04BBF" w:rsidRPr="00EC743B">
        <w:rPr>
          <w:rFonts w:ascii="Book Antiqua" w:hAnsi="Book Antiqua"/>
          <w:lang w:val="es-PR"/>
        </w:rPr>
        <w:t xml:space="preserve">Es importante señalar </w:t>
      </w:r>
      <w:r w:rsidR="00BA03DB" w:rsidRPr="00EC743B">
        <w:rPr>
          <w:rFonts w:ascii="Book Antiqua" w:hAnsi="Book Antiqua"/>
          <w:lang w:val="es-PR"/>
        </w:rPr>
        <w:t xml:space="preserve">que la </w:t>
      </w:r>
      <w:r w:rsidR="008174F0" w:rsidRPr="00EC743B">
        <w:rPr>
          <w:rFonts w:ascii="Book Antiqua" w:hAnsi="Book Antiqua"/>
          <w:lang w:val="es-PR"/>
        </w:rPr>
        <w:t xml:space="preserve">Ley de Menores </w:t>
      </w:r>
      <w:r w:rsidR="00BA03DB" w:rsidRPr="00EC743B">
        <w:rPr>
          <w:rFonts w:ascii="Book Antiqua" w:hAnsi="Book Antiqua"/>
          <w:lang w:val="es-PR"/>
        </w:rPr>
        <w:t>actualmente hace referencia a art</w:t>
      </w:r>
      <w:r w:rsidR="00EC743B" w:rsidRPr="00EC743B">
        <w:rPr>
          <w:rFonts w:ascii="Book Antiqua" w:hAnsi="Book Antiqua"/>
          <w:lang w:val="es-PR"/>
        </w:rPr>
        <w:t>í</w:t>
      </w:r>
      <w:r w:rsidR="00BA03DB" w:rsidRPr="00EC743B">
        <w:rPr>
          <w:rFonts w:ascii="Book Antiqua" w:hAnsi="Book Antiqua"/>
          <w:lang w:val="es-PR"/>
        </w:rPr>
        <w:t>culos derogados de la Ley de Armas</w:t>
      </w:r>
      <w:r w:rsidR="009E2B9D" w:rsidRPr="00EC743B">
        <w:rPr>
          <w:rFonts w:ascii="Book Antiqua" w:hAnsi="Book Antiqua"/>
          <w:lang w:val="es-PR"/>
        </w:rPr>
        <w:t>, Ley Núm. 404 de 11 de Septiembre de 2000</w:t>
      </w:r>
      <w:r w:rsidR="00BA03DB" w:rsidRPr="00EC743B">
        <w:rPr>
          <w:rFonts w:ascii="Book Antiqua" w:hAnsi="Book Antiqua"/>
          <w:lang w:val="es-PR"/>
        </w:rPr>
        <w:t xml:space="preserve">, por lo que es necesario atemperar las conductas proscritas </w:t>
      </w:r>
      <w:r w:rsidR="008174F0" w:rsidRPr="00EC743B">
        <w:rPr>
          <w:rFonts w:ascii="Book Antiqua" w:hAnsi="Book Antiqua"/>
          <w:lang w:val="es-PR"/>
        </w:rPr>
        <w:t xml:space="preserve">con sus </w:t>
      </w:r>
      <w:r w:rsidR="00EC743B" w:rsidRPr="00EC743B">
        <w:rPr>
          <w:rFonts w:ascii="Book Antiqua" w:hAnsi="Book Antiqua"/>
          <w:lang w:val="es-PR"/>
        </w:rPr>
        <w:t xml:space="preserve">artículos </w:t>
      </w:r>
      <w:r w:rsidR="008174F0" w:rsidRPr="00EC743B">
        <w:rPr>
          <w:rFonts w:ascii="Book Antiqua" w:hAnsi="Book Antiqua"/>
          <w:lang w:val="es-PR"/>
        </w:rPr>
        <w:t>equivalente</w:t>
      </w:r>
      <w:r w:rsidR="00EC743B" w:rsidRPr="00EC743B">
        <w:rPr>
          <w:rFonts w:ascii="Book Antiqua" w:hAnsi="Book Antiqua"/>
          <w:lang w:val="es-PR"/>
        </w:rPr>
        <w:t>s</w:t>
      </w:r>
      <w:r w:rsidR="008174F0" w:rsidRPr="00EC743B">
        <w:rPr>
          <w:rFonts w:ascii="Book Antiqua" w:hAnsi="Book Antiqua"/>
          <w:lang w:val="es-PR"/>
        </w:rPr>
        <w:t xml:space="preserve"> en la </w:t>
      </w:r>
      <w:r w:rsidR="00EC743B" w:rsidRPr="00EC743B">
        <w:rPr>
          <w:rFonts w:ascii="Book Antiqua" w:hAnsi="Book Antiqua"/>
          <w:lang w:val="es-PR"/>
        </w:rPr>
        <w:t xml:space="preserve">vigente </w:t>
      </w:r>
      <w:r w:rsidR="008174F0" w:rsidRPr="00EC743B">
        <w:rPr>
          <w:rFonts w:ascii="Book Antiqua" w:hAnsi="Book Antiqua"/>
          <w:lang w:val="es-PR"/>
        </w:rPr>
        <w:t>Ley de Armas de Puerto Rico de 2020</w:t>
      </w:r>
      <w:r w:rsidR="00C86FB5" w:rsidRPr="00EC743B">
        <w:rPr>
          <w:rFonts w:ascii="Book Antiqua" w:hAnsi="Book Antiqua"/>
          <w:lang w:val="es-PR"/>
        </w:rPr>
        <w:t xml:space="preserve">, </w:t>
      </w:r>
      <w:r w:rsidR="00C86FB5" w:rsidRPr="00EC743B">
        <w:rPr>
          <w:rFonts w:ascii="Book Antiqua" w:hAnsi="Book Antiqua"/>
          <w:lang w:val="es-ES"/>
        </w:rPr>
        <w:t>Ley Núm. 168 de 11 de diciembre de 2019</w:t>
      </w:r>
      <w:r w:rsidR="00F04BBF" w:rsidRPr="00EC743B">
        <w:rPr>
          <w:rFonts w:ascii="Book Antiqua" w:hAnsi="Book Antiqua"/>
          <w:lang w:val="es-PR"/>
        </w:rPr>
        <w:t>.</w:t>
      </w:r>
    </w:p>
    <w:p w14:paraId="71A8BB41" w14:textId="3FD0D5D8" w:rsidR="00635EA5" w:rsidRPr="00635EA5" w:rsidRDefault="00DB4C88" w:rsidP="00283576">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635EA5">
        <w:rPr>
          <w:rFonts w:ascii="Book Antiqua" w:hAnsi="Book Antiqua"/>
          <w:lang w:val="es-PR"/>
        </w:rPr>
        <w:t>Por su parte, el</w:t>
      </w:r>
      <w:r w:rsidR="00635EA5" w:rsidRPr="00635EA5">
        <w:rPr>
          <w:rFonts w:ascii="Book Antiqua" w:hAnsi="Book Antiqua"/>
          <w:lang w:val="es-PR"/>
        </w:rPr>
        <w:t xml:space="preserve"> Artículo 4 de la Ley de Menores se centra en establecer la jurisdicción del Tribunal de Menores. Este artículo define claramente los tipos de casos que están bajo la autoridad del Tribunal de Menores y cuáles están excluidos, pasando a ser procesados </w:t>
      </w:r>
      <w:r w:rsidR="00635EA5">
        <w:rPr>
          <w:rFonts w:ascii="Book Antiqua" w:hAnsi="Book Antiqua"/>
          <w:lang w:val="es-PR"/>
        </w:rPr>
        <w:t xml:space="preserve">como </w:t>
      </w:r>
      <w:r w:rsidR="00635EA5" w:rsidRPr="00635EA5">
        <w:rPr>
          <w:rFonts w:ascii="Book Antiqua" w:hAnsi="Book Antiqua"/>
          <w:lang w:val="es-PR"/>
        </w:rPr>
        <w:t xml:space="preserve"> adultos.</w:t>
      </w:r>
    </w:p>
    <w:p w14:paraId="712491B0" w14:textId="052943C7" w:rsidR="00635EA5" w:rsidRPr="00635EA5" w:rsidRDefault="00490798" w:rsidP="00490798">
      <w:pPr>
        <w:tabs>
          <w:tab w:val="left" w:pos="-720"/>
        </w:tabs>
        <w:suppressAutoHyphens/>
        <w:spacing w:line="276" w:lineRule="auto"/>
        <w:jc w:val="both"/>
        <w:rPr>
          <w:rFonts w:ascii="Book Antiqua" w:hAnsi="Book Antiqua"/>
          <w:lang w:val="es-PR"/>
        </w:rPr>
      </w:pPr>
      <w:r>
        <w:rPr>
          <w:rFonts w:ascii="Book Antiqua" w:hAnsi="Book Antiqua"/>
          <w:lang w:val="es-PR"/>
        </w:rPr>
        <w:tab/>
      </w:r>
      <w:r w:rsidR="00635EA5" w:rsidRPr="00635EA5">
        <w:rPr>
          <w:rFonts w:ascii="Book Antiqua" w:hAnsi="Book Antiqua"/>
          <w:lang w:val="es-PR"/>
        </w:rPr>
        <w:t xml:space="preserve">Actualmente, el Tribunal de Menores tiene autoridad para conocer de todo caso en que se impute una falta a un menor de trece (13) años o más, siempre que la conducta haya ocurrido antes de que el menor cumpliera los dieciocho (18) años de edad. No obstante, esta autoridad no aplica si la facultad mental del menor es inferior a los trece (13) años. También abarca cualquier asunto relacionado con menores según </w:t>
      </w:r>
      <w:r w:rsidR="00635EA5" w:rsidRPr="00635EA5">
        <w:rPr>
          <w:rFonts w:ascii="Book Antiqua" w:hAnsi="Book Antiqua"/>
          <w:lang w:val="es-PR"/>
        </w:rPr>
        <w:lastRenderedPageBreak/>
        <w:t xml:space="preserve">lo dispongan leyes especiales. Para los menores que no han cumplido los trece (13) años de edad y cuya conducta sea constitutiva de falta, la </w:t>
      </w:r>
      <w:r w:rsidR="002C3A96">
        <w:rPr>
          <w:rFonts w:ascii="Book Antiqua" w:hAnsi="Book Antiqua"/>
          <w:lang w:val="es-PR"/>
        </w:rPr>
        <w:t>Ley</w:t>
      </w:r>
      <w:r w:rsidR="00635EA5" w:rsidRPr="00635EA5">
        <w:rPr>
          <w:rFonts w:ascii="Book Antiqua" w:hAnsi="Book Antiqua"/>
          <w:lang w:val="es-PR"/>
        </w:rPr>
        <w:t xml:space="preserve"> los considera inimputables, lo que implica que no son penalmente responsables ni están sujetos a procesamiento bajo esta Ley. En estos casos, el Procurador </w:t>
      </w:r>
      <w:r w:rsidR="002C3A96">
        <w:rPr>
          <w:rFonts w:ascii="Book Antiqua" w:hAnsi="Book Antiqua"/>
          <w:lang w:val="es-PR"/>
        </w:rPr>
        <w:t>para Asuntos de</w:t>
      </w:r>
      <w:r w:rsidR="00635EA5" w:rsidRPr="00635EA5">
        <w:rPr>
          <w:rFonts w:ascii="Book Antiqua" w:hAnsi="Book Antiqua"/>
          <w:lang w:val="es-PR"/>
        </w:rPr>
        <w:t xml:space="preserve"> Menores debe referir al menor y a sus padres o tutores al Departamento de la Familia para su evaluación y la posible oferta de servicios o capacitación en beneficio del menor. </w:t>
      </w:r>
      <w:r w:rsidR="00A46E6A">
        <w:rPr>
          <w:rFonts w:ascii="Book Antiqua" w:hAnsi="Book Antiqua"/>
          <w:lang w:val="es-PR"/>
        </w:rPr>
        <w:t>Esto es cónsono con</w:t>
      </w:r>
      <w:r w:rsidR="00635EA5" w:rsidRPr="00635EA5">
        <w:rPr>
          <w:rFonts w:ascii="Book Antiqua" w:hAnsi="Book Antiqua"/>
          <w:lang w:val="es-PR"/>
        </w:rPr>
        <w:t xml:space="preserve"> el Artículo 4-A, introducido por la Ley 47-2022, </w:t>
      </w:r>
      <w:r w:rsidR="00A46E6A">
        <w:rPr>
          <w:rFonts w:ascii="Book Antiqua" w:hAnsi="Book Antiqua"/>
          <w:lang w:val="es-PR"/>
        </w:rPr>
        <w:t xml:space="preserve">que </w:t>
      </w:r>
      <w:r w:rsidR="00635EA5" w:rsidRPr="00635EA5">
        <w:rPr>
          <w:rFonts w:ascii="Book Antiqua" w:hAnsi="Book Antiqua"/>
          <w:lang w:val="es-PR"/>
        </w:rPr>
        <w:t>establece que antes de que el Tribunal ejerza su jurisdicción sobre un menor, deben agotarse todos los remedios administrativos establecidos en el sistema de educación pública o privada si la falta ocurrió en un plantel escolar, en sus inmediaciones, en transporte escolar o en actividades escolares. Este requisito no limita el derecho del menor a ser referido a mediación o desvío si cumple los requisitos.</w:t>
      </w:r>
    </w:p>
    <w:p w14:paraId="756B02DD" w14:textId="1B19E011" w:rsidR="00B21F9C" w:rsidRDefault="00490798" w:rsidP="00490798">
      <w:pPr>
        <w:tabs>
          <w:tab w:val="left" w:pos="-720"/>
        </w:tabs>
        <w:suppressAutoHyphens/>
        <w:spacing w:line="276" w:lineRule="auto"/>
        <w:jc w:val="both"/>
        <w:rPr>
          <w:rFonts w:ascii="Book Antiqua" w:hAnsi="Book Antiqua"/>
          <w:lang w:val="es-PR"/>
        </w:rPr>
      </w:pPr>
      <w:r>
        <w:rPr>
          <w:rFonts w:ascii="Book Antiqua" w:hAnsi="Book Antiqua"/>
          <w:lang w:val="es-PR"/>
        </w:rPr>
        <w:tab/>
      </w:r>
      <w:r w:rsidR="00635EA5" w:rsidRPr="00635EA5">
        <w:rPr>
          <w:rFonts w:ascii="Book Antiqua" w:hAnsi="Book Antiqua"/>
          <w:lang w:val="es-PR"/>
        </w:rPr>
        <w:t>En lo que respecta específicamente al Artículo 4</w:t>
      </w:r>
      <w:r w:rsidR="0072411B">
        <w:rPr>
          <w:rFonts w:ascii="Book Antiqua" w:hAnsi="Book Antiqua"/>
          <w:lang w:val="es-PR"/>
        </w:rPr>
        <w:t xml:space="preserve"> de la Ley de Menores</w:t>
      </w:r>
      <w:r w:rsidR="00635EA5" w:rsidRPr="00635EA5">
        <w:rPr>
          <w:rFonts w:ascii="Book Antiqua" w:hAnsi="Book Antiqua"/>
          <w:lang w:val="es-PR"/>
        </w:rPr>
        <w:t>, el P. del S. 38 propone enmendar el sub-inciso (b) del inciso (2), y los incisos (4) y (5). Las enmiendas consisten principalmente en actualizar las referencias al Código Penal</w:t>
      </w:r>
      <w:r w:rsidR="00380D86">
        <w:rPr>
          <w:rFonts w:ascii="Book Antiqua" w:hAnsi="Book Antiqua"/>
          <w:lang w:val="es-PR"/>
        </w:rPr>
        <w:t xml:space="preserve"> vigente</w:t>
      </w:r>
      <w:r w:rsidR="00635EA5" w:rsidRPr="00635EA5">
        <w:rPr>
          <w:rFonts w:ascii="Book Antiqua" w:hAnsi="Book Antiqua"/>
          <w:lang w:val="es-PR"/>
        </w:rPr>
        <w:t xml:space="preserve">. Donde la </w:t>
      </w:r>
      <w:r w:rsidR="00EE7574">
        <w:rPr>
          <w:rFonts w:ascii="Book Antiqua" w:hAnsi="Book Antiqua"/>
          <w:lang w:val="es-PR"/>
        </w:rPr>
        <w:t>L</w:t>
      </w:r>
      <w:r w:rsidR="00635EA5" w:rsidRPr="00635EA5">
        <w:rPr>
          <w:rFonts w:ascii="Book Antiqua" w:hAnsi="Book Antiqua"/>
          <w:lang w:val="es-PR"/>
        </w:rPr>
        <w:t xml:space="preserve">ey actual menciona </w:t>
      </w:r>
      <w:r w:rsidR="00380D86">
        <w:rPr>
          <w:rFonts w:ascii="Book Antiqua" w:hAnsi="Book Antiqua"/>
          <w:lang w:val="es-PR"/>
        </w:rPr>
        <w:t>“</w:t>
      </w:r>
      <w:r w:rsidR="00635EA5" w:rsidRPr="00635EA5">
        <w:rPr>
          <w:rFonts w:ascii="Book Antiqua" w:hAnsi="Book Antiqua"/>
          <w:lang w:val="es-PR"/>
        </w:rPr>
        <w:t>inciso (a) del Artículo 106 del Código Penal del Estado Libre Asociado de Puerto Rico</w:t>
      </w:r>
      <w:r w:rsidR="00380D86">
        <w:rPr>
          <w:rFonts w:ascii="Book Antiqua" w:hAnsi="Book Antiqua"/>
          <w:lang w:val="es-PR"/>
        </w:rPr>
        <w:t>”</w:t>
      </w:r>
      <w:r w:rsidR="00635EA5" w:rsidRPr="00635EA5">
        <w:rPr>
          <w:rFonts w:ascii="Book Antiqua" w:hAnsi="Book Antiqua"/>
          <w:lang w:val="es-PR"/>
        </w:rPr>
        <w:t xml:space="preserve">, el P. del S. 38 </w:t>
      </w:r>
      <w:r w:rsidR="00380D86">
        <w:rPr>
          <w:rFonts w:ascii="Book Antiqua" w:hAnsi="Book Antiqua"/>
          <w:lang w:val="es-PR"/>
        </w:rPr>
        <w:t xml:space="preserve">propone cambiarlo </w:t>
      </w:r>
      <w:r w:rsidR="00635EA5" w:rsidRPr="00635EA5">
        <w:rPr>
          <w:rFonts w:ascii="Book Antiqua" w:hAnsi="Book Antiqua"/>
          <w:lang w:val="es-PR"/>
        </w:rPr>
        <w:t xml:space="preserve">a </w:t>
      </w:r>
      <w:r w:rsidR="00EE7574">
        <w:rPr>
          <w:rFonts w:ascii="Book Antiqua" w:hAnsi="Book Antiqua"/>
          <w:lang w:val="es-PR"/>
        </w:rPr>
        <w:t>“</w:t>
      </w:r>
      <w:r w:rsidR="00635EA5" w:rsidRPr="00635EA5">
        <w:rPr>
          <w:rFonts w:ascii="Book Antiqua" w:hAnsi="Book Antiqua"/>
          <w:lang w:val="es-PR"/>
        </w:rPr>
        <w:t>Artículo 93 de la Ley 146-2012, según enmendada, conocida como “Código Penal de Puerto Rico”. Estas modificaciones tienen como fin alinear la terminología y las citas legales con la legislación penal vigente, sin alterar sustancialmente la exclusión de ciertos delitos graves de la jurisdicción del Tribunal de Menores para ser procesados como adultos.</w:t>
      </w:r>
    </w:p>
    <w:p w14:paraId="49FA0A62" w14:textId="4AB5BD8C" w:rsidR="00A42101" w:rsidRPr="00A42101" w:rsidRDefault="00490798" w:rsidP="00490798">
      <w:pPr>
        <w:tabs>
          <w:tab w:val="left" w:pos="-720"/>
        </w:tabs>
        <w:suppressAutoHyphens/>
        <w:spacing w:line="276" w:lineRule="auto"/>
        <w:jc w:val="both"/>
        <w:rPr>
          <w:rFonts w:ascii="Book Antiqua" w:hAnsi="Book Antiqua"/>
          <w:lang w:val="es-PR"/>
        </w:rPr>
      </w:pPr>
      <w:r>
        <w:rPr>
          <w:rFonts w:ascii="Book Antiqua" w:hAnsi="Book Antiqua"/>
          <w:lang w:val="es-PR"/>
        </w:rPr>
        <w:tab/>
      </w:r>
      <w:r w:rsidR="00A42101">
        <w:rPr>
          <w:rFonts w:ascii="Book Antiqua" w:hAnsi="Book Antiqua"/>
          <w:lang w:val="es-PR"/>
        </w:rPr>
        <w:t>Por otro lado, e</w:t>
      </w:r>
      <w:r w:rsidR="00A42101" w:rsidRPr="00A42101">
        <w:rPr>
          <w:rFonts w:ascii="Book Antiqua" w:hAnsi="Book Antiqua"/>
          <w:lang w:val="es-PR"/>
        </w:rPr>
        <w:t xml:space="preserve">l Artículo 15 de la Ley de Menores </w:t>
      </w:r>
      <w:r w:rsidR="00EE7574">
        <w:rPr>
          <w:rFonts w:ascii="Book Antiqua" w:hAnsi="Book Antiqua"/>
          <w:lang w:val="es-PR"/>
        </w:rPr>
        <w:t>fija</w:t>
      </w:r>
      <w:r w:rsidR="00A42101" w:rsidRPr="00A42101">
        <w:rPr>
          <w:rFonts w:ascii="Book Antiqua" w:hAnsi="Book Antiqua"/>
          <w:lang w:val="es-PR"/>
        </w:rPr>
        <w:t xml:space="preserve"> el procedimiento para la renuncia de jurisdicción del Tribunal de Menores, permitiendo que un menor sea procesado como adulto bajo ciertas condiciones. La </w:t>
      </w:r>
      <w:r w:rsidR="0005606D">
        <w:rPr>
          <w:rFonts w:ascii="Book Antiqua" w:hAnsi="Book Antiqua"/>
          <w:lang w:val="es-PR"/>
        </w:rPr>
        <w:t>L</w:t>
      </w:r>
      <w:r w:rsidR="00A42101" w:rsidRPr="00A42101">
        <w:rPr>
          <w:rFonts w:ascii="Book Antiqua" w:hAnsi="Book Antiqua"/>
          <w:lang w:val="es-PR"/>
        </w:rPr>
        <w:t>ey actual</w:t>
      </w:r>
      <w:r w:rsidR="0005606D">
        <w:rPr>
          <w:rFonts w:ascii="Book Antiqua" w:hAnsi="Book Antiqua"/>
          <w:lang w:val="es-PR"/>
        </w:rPr>
        <w:t>mente</w:t>
      </w:r>
      <w:r w:rsidR="00A42101" w:rsidRPr="00A42101">
        <w:rPr>
          <w:rFonts w:ascii="Book Antiqua" w:hAnsi="Book Antiqua"/>
          <w:lang w:val="es-PR"/>
        </w:rPr>
        <w:t xml:space="preserve"> obliga al </w:t>
      </w:r>
      <w:r w:rsidR="0005606D" w:rsidRPr="00A42101">
        <w:rPr>
          <w:rFonts w:ascii="Book Antiqua" w:hAnsi="Book Antiqua"/>
          <w:lang w:val="es-PR"/>
        </w:rPr>
        <w:t xml:space="preserve">Procurador para Asuntos de Menores </w:t>
      </w:r>
      <w:r w:rsidR="00A42101" w:rsidRPr="00A42101">
        <w:rPr>
          <w:rFonts w:ascii="Book Antiqua" w:hAnsi="Book Antiqua"/>
          <w:lang w:val="es-PR"/>
        </w:rPr>
        <w:t xml:space="preserve">a promover la solicitud de renuncia de jurisdicción en dos situaciones específicas: primero, cuando a un menor de más de catorce (14) años se le imputa la comisión de hechos constitutivos de asesinato en la modalidad que sí está bajo la autoridad del tribunal, junto con cualquier otro delito grave de primer grado y cualquier otro hecho delictivo que surja de la misma transacción o evento. Segundo, cuando a un menor se le imputa una falta Clase II o III y previamente ya se le había adjudicado una falta Clase II o III, siempre que estas faltas hayan sido incurridas entre los catorce (14) y dieciocho (18) años de edad. Adicionalmente, el Procurador tiene el deber de advertir al tribunal si un caso está expresamente excluido de su autoridad por disposición legal. Para decidir sobre la renuncia, el Tribunal celebra una vista, previa notificación, y considera factores como la naturaleza y las circunstancias de la falta, el historial legal y social del menor, y si </w:t>
      </w:r>
      <w:r w:rsidR="00A42101" w:rsidRPr="00A42101">
        <w:rPr>
          <w:rFonts w:ascii="Book Antiqua" w:hAnsi="Book Antiqua"/>
          <w:lang w:val="es-PR"/>
        </w:rPr>
        <w:lastRenderedPageBreak/>
        <w:t>sus actitudes socioemocionales requieren controles que las instituciones o centros de custodia actuales no pueden ofrecer.</w:t>
      </w:r>
    </w:p>
    <w:p w14:paraId="05A09BB2" w14:textId="393587BD" w:rsidR="006D5838" w:rsidRDefault="00490798" w:rsidP="00490798">
      <w:pPr>
        <w:tabs>
          <w:tab w:val="left" w:pos="-720"/>
        </w:tabs>
        <w:suppressAutoHyphens/>
        <w:spacing w:line="276" w:lineRule="auto"/>
        <w:jc w:val="both"/>
        <w:rPr>
          <w:rFonts w:ascii="Book Antiqua" w:hAnsi="Book Antiqua"/>
          <w:lang w:val="es-PR"/>
        </w:rPr>
      </w:pPr>
      <w:r>
        <w:rPr>
          <w:rFonts w:ascii="Book Antiqua" w:hAnsi="Book Antiqua"/>
          <w:lang w:val="es-PR"/>
        </w:rPr>
        <w:tab/>
      </w:r>
      <w:r w:rsidR="00A42101" w:rsidRPr="00A42101">
        <w:rPr>
          <w:rFonts w:ascii="Book Antiqua" w:hAnsi="Book Antiqua"/>
          <w:lang w:val="es-PR"/>
        </w:rPr>
        <w:t xml:space="preserve">El </w:t>
      </w:r>
      <w:r w:rsidR="0005606D">
        <w:rPr>
          <w:rFonts w:ascii="Book Antiqua" w:hAnsi="Book Antiqua"/>
          <w:lang w:val="es-PR"/>
        </w:rPr>
        <w:t>P. del S. 38</w:t>
      </w:r>
      <w:r w:rsidR="00A42101" w:rsidRPr="00A42101">
        <w:rPr>
          <w:rFonts w:ascii="Book Antiqua" w:hAnsi="Book Antiqua"/>
          <w:lang w:val="es-PR"/>
        </w:rPr>
        <w:t xml:space="preserve"> propone enmendar el Artículo 15 (a)(1) </w:t>
      </w:r>
      <w:r w:rsidR="00086DCB">
        <w:rPr>
          <w:rFonts w:ascii="Book Antiqua" w:hAnsi="Book Antiqua"/>
          <w:lang w:val="es-PR"/>
        </w:rPr>
        <w:t>consistente</w:t>
      </w:r>
      <w:r w:rsidR="00A42101" w:rsidRPr="00A42101">
        <w:rPr>
          <w:rFonts w:ascii="Book Antiqua" w:hAnsi="Book Antiqua"/>
          <w:lang w:val="es-PR"/>
        </w:rPr>
        <w:t xml:space="preserve"> en reemplazar la referencia general a </w:t>
      </w:r>
      <w:r w:rsidR="00086DCB">
        <w:rPr>
          <w:rFonts w:ascii="Book Antiqua" w:hAnsi="Book Antiqua"/>
          <w:lang w:val="es-PR"/>
        </w:rPr>
        <w:t>“</w:t>
      </w:r>
      <w:r w:rsidR="00A42101" w:rsidRPr="00A42101">
        <w:rPr>
          <w:rFonts w:ascii="Book Antiqua" w:hAnsi="Book Antiqua"/>
          <w:lang w:val="es-PR"/>
        </w:rPr>
        <w:t>cualquier otro delito grave de primer grado</w:t>
      </w:r>
      <w:r w:rsidR="00086DCB">
        <w:rPr>
          <w:rFonts w:ascii="Book Antiqua" w:hAnsi="Book Antiqua"/>
          <w:lang w:val="es-PR"/>
        </w:rPr>
        <w:t>”</w:t>
      </w:r>
      <w:r w:rsidR="00A42101" w:rsidRPr="00A42101">
        <w:rPr>
          <w:rFonts w:ascii="Book Antiqua" w:hAnsi="Book Antiqua"/>
          <w:lang w:val="es-PR"/>
        </w:rPr>
        <w:t xml:space="preserve"> por una lista detallada de faltas graves que, al imputarse junto con el asesinato (en la modalidad bajo la autoridad del tribunal) o cualquier otro delito de la misma transacción, obligarían al Procurador </w:t>
      </w:r>
      <w:r w:rsidR="003A0F23">
        <w:rPr>
          <w:rFonts w:ascii="Book Antiqua" w:hAnsi="Book Antiqua"/>
          <w:lang w:val="es-PR"/>
        </w:rPr>
        <w:t xml:space="preserve">de Asuntos de Menores </w:t>
      </w:r>
      <w:r w:rsidR="00A42101" w:rsidRPr="00A42101">
        <w:rPr>
          <w:rFonts w:ascii="Book Antiqua" w:hAnsi="Book Antiqua"/>
          <w:lang w:val="es-PR"/>
        </w:rPr>
        <w:t xml:space="preserve">a solicitar la renuncia de jurisdicción. Estas faltas </w:t>
      </w:r>
      <w:r w:rsidR="00F4638C">
        <w:rPr>
          <w:rFonts w:ascii="Book Antiqua" w:hAnsi="Book Antiqua"/>
          <w:lang w:val="es-PR"/>
        </w:rPr>
        <w:t>son</w:t>
      </w:r>
      <w:r w:rsidR="00A42101" w:rsidRPr="00A42101">
        <w:rPr>
          <w:rFonts w:ascii="Book Antiqua" w:hAnsi="Book Antiqua"/>
          <w:lang w:val="es-PR"/>
        </w:rPr>
        <w:t xml:space="preserve">: escalamiento agravado, agresión grave, agresión sexual, violación, robo, incendio agravado, secuestro, mutilación, incesto, sodomía, y delitos en leyes especiales como la distribución de sustancias controladas y los Artículos 5.03, 5.07, 5.08, 5.09 y 5.10 de la </w:t>
      </w:r>
      <w:r w:rsidR="00F4638C">
        <w:rPr>
          <w:rFonts w:ascii="Book Antiqua" w:hAnsi="Book Antiqua"/>
          <w:lang w:val="es-PR"/>
        </w:rPr>
        <w:t xml:space="preserve">antigua </w:t>
      </w:r>
      <w:r w:rsidR="00A42101" w:rsidRPr="00A42101">
        <w:rPr>
          <w:rFonts w:ascii="Book Antiqua" w:hAnsi="Book Antiqua"/>
          <w:lang w:val="es-PR"/>
        </w:rPr>
        <w:t>Ley de Armas</w:t>
      </w:r>
      <w:r w:rsidR="00F4638C">
        <w:rPr>
          <w:rFonts w:ascii="Book Antiqua" w:hAnsi="Book Antiqua"/>
          <w:lang w:val="es-PR"/>
        </w:rPr>
        <w:t xml:space="preserve"> del </w:t>
      </w:r>
      <w:r w:rsidR="009E2B9D">
        <w:rPr>
          <w:rFonts w:ascii="Book Antiqua" w:hAnsi="Book Antiqua"/>
          <w:lang w:val="es-PR"/>
        </w:rPr>
        <w:t>2000</w:t>
      </w:r>
      <w:r w:rsidR="00A42101" w:rsidRPr="00A42101">
        <w:rPr>
          <w:rFonts w:ascii="Book Antiqua" w:hAnsi="Book Antiqua"/>
          <w:lang w:val="es-PR"/>
        </w:rPr>
        <w:t>.</w:t>
      </w:r>
      <w:r w:rsidR="009E2B9D">
        <w:rPr>
          <w:rFonts w:ascii="Book Antiqua" w:hAnsi="Book Antiqua"/>
          <w:lang w:val="es-PR"/>
        </w:rPr>
        <w:t xml:space="preserve"> Nuevamente, es necesario actualizar los artículos que hacen referencia a la antigua Ley de Armas.</w:t>
      </w:r>
      <w:r w:rsidR="00A42101" w:rsidRPr="00A42101">
        <w:rPr>
          <w:rFonts w:ascii="Book Antiqua" w:hAnsi="Book Antiqua"/>
          <w:lang w:val="es-PR"/>
        </w:rPr>
        <w:t xml:space="preserve"> </w:t>
      </w:r>
      <w:r w:rsidR="0031531F">
        <w:rPr>
          <w:rFonts w:ascii="Book Antiqua" w:hAnsi="Book Antiqua"/>
          <w:lang w:val="es-PR"/>
        </w:rPr>
        <w:t xml:space="preserve">Tales actualizaciones fueron incorporadas en la entirillado electrónico. </w:t>
      </w:r>
    </w:p>
    <w:p w14:paraId="433BDCE5" w14:textId="15401D43" w:rsidR="00AF3BF8" w:rsidRPr="001D7EA7" w:rsidRDefault="00AF3BF8" w:rsidP="00AF3BF8">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1D7EA7">
        <w:rPr>
          <w:rFonts w:ascii="Book Antiqua" w:hAnsi="Book Antiqua"/>
          <w:szCs w:val="24"/>
          <w:lang w:val="es-PR"/>
        </w:rPr>
        <w:t xml:space="preserve">Para propósitos ilustrativos exponemos </w:t>
      </w:r>
      <w:r>
        <w:rPr>
          <w:rFonts w:ascii="Book Antiqua" w:hAnsi="Book Antiqua"/>
          <w:szCs w:val="24"/>
          <w:lang w:val="es-PR"/>
        </w:rPr>
        <w:t>la comparación</w:t>
      </w:r>
      <w:r w:rsidRPr="001D7EA7">
        <w:rPr>
          <w:rFonts w:ascii="Book Antiqua" w:hAnsi="Book Antiqua"/>
          <w:szCs w:val="24"/>
          <w:lang w:val="es-PR"/>
        </w:rPr>
        <w:t xml:space="preserve"> entre el “Código Penal del Estado Libre Asociado de Puerto Rico de 2004” y el “Código Penal de Puerto Rico de 2012”, respecto a la clasificación de los delitos:</w:t>
      </w:r>
    </w:p>
    <w:p w14:paraId="6A961EE5" w14:textId="77777777" w:rsidR="00AF3BF8" w:rsidRPr="001D7EA7" w:rsidRDefault="00AF3BF8" w:rsidP="00AF3BF8">
      <w:pPr>
        <w:tabs>
          <w:tab w:val="left" w:pos="-720"/>
        </w:tabs>
        <w:suppressAutoHyphens/>
        <w:spacing w:line="276" w:lineRule="auto"/>
        <w:ind w:firstLine="360"/>
        <w:jc w:val="both"/>
        <w:rPr>
          <w:rFonts w:ascii="Book Antiqua" w:hAnsi="Book Antiqua"/>
          <w:szCs w:val="24"/>
          <w:lang w:val="es-PR"/>
        </w:rPr>
      </w:pPr>
    </w:p>
    <w:tbl>
      <w:tblPr>
        <w:tblStyle w:val="TableGrid"/>
        <w:tblW w:w="0" w:type="auto"/>
        <w:tblLook w:val="04A0" w:firstRow="1" w:lastRow="0" w:firstColumn="1" w:lastColumn="0" w:noHBand="0" w:noVBand="1"/>
      </w:tblPr>
      <w:tblGrid>
        <w:gridCol w:w="4516"/>
        <w:gridCol w:w="4517"/>
      </w:tblGrid>
      <w:tr w:rsidR="00AF3BF8" w:rsidRPr="002038D1" w14:paraId="6519A9F9" w14:textId="77777777" w:rsidTr="00FA0059">
        <w:tc>
          <w:tcPr>
            <w:tcW w:w="4516" w:type="dxa"/>
            <w:vAlign w:val="center"/>
          </w:tcPr>
          <w:p w14:paraId="1C2C3200" w14:textId="77777777" w:rsidR="00AF3BF8" w:rsidRDefault="00AF3BF8" w:rsidP="00FA0059">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 xml:space="preserve">Código Penal del Estado Libre Asociado de Puerto Rico de 2004 </w:t>
            </w:r>
          </w:p>
          <w:p w14:paraId="6686F8AC" w14:textId="77777777" w:rsidR="00AF3BF8" w:rsidRPr="001D7EA7" w:rsidRDefault="00AF3BF8" w:rsidP="00FA0059">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(ley derogada)</w:t>
            </w:r>
          </w:p>
        </w:tc>
        <w:tc>
          <w:tcPr>
            <w:tcW w:w="4517" w:type="dxa"/>
            <w:vAlign w:val="center"/>
          </w:tcPr>
          <w:p w14:paraId="62FED40C" w14:textId="77777777" w:rsidR="00AF3BF8" w:rsidRPr="001D7EA7" w:rsidRDefault="00AF3BF8" w:rsidP="00FA0059">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Código Penal de Puerto Rico de 2012 (ley vigente)</w:t>
            </w:r>
          </w:p>
        </w:tc>
      </w:tr>
      <w:tr w:rsidR="00AF3BF8" w:rsidRPr="002038D1" w14:paraId="5942390A" w14:textId="77777777" w:rsidTr="00FA0059">
        <w:tc>
          <w:tcPr>
            <w:tcW w:w="4516" w:type="dxa"/>
          </w:tcPr>
          <w:p w14:paraId="249A9897"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59DC983E" w14:textId="77777777" w:rsidR="00AF3BF8" w:rsidRPr="001D7EA7" w:rsidRDefault="00AF3BF8" w:rsidP="00FA0059">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7EC975FC"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11C0413B"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17933181"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04DED6C4"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73E1D9D1"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3A6E251B"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Es delito grave aquél que conlleva una pena de reclusión mayor de seis (6) </w:t>
            </w:r>
            <w:r w:rsidRPr="001D7EA7">
              <w:rPr>
                <w:rFonts w:ascii="Book Antiqua" w:hAnsi="Book Antiqua"/>
                <w:szCs w:val="24"/>
                <w:lang w:val="es-PR"/>
              </w:rPr>
              <w:lastRenderedPageBreak/>
              <w:t>meses y que según la pena correspondiente, se clasifica en cuatro grados, como sigue:</w:t>
            </w:r>
          </w:p>
          <w:p w14:paraId="2E925227"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3E6677BD"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(a) Grave de primer grado, cuya pena es de reclusión por noventa y nueve (99) años.</w:t>
            </w:r>
          </w:p>
          <w:p w14:paraId="7C0C51C4"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7FA9D0AC"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30B75C15"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05546660"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(c) Grave de tercer grado, cuya pena de reclusión fluctúa entre tres (3) años un (1) día y ocho (8) años.</w:t>
            </w:r>
          </w:p>
          <w:p w14:paraId="11E83510"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14486588"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 Grave de cuarto grado, cuya pena de reclusión fluctúa entre seis (6) meses un día y tres</w:t>
            </w:r>
            <w:r>
              <w:rPr>
                <w:rFonts w:ascii="Book Antiqua" w:hAnsi="Book Antiqua"/>
                <w:szCs w:val="24"/>
                <w:lang w:val="es-PR"/>
              </w:rPr>
              <w:t xml:space="preserve"> </w:t>
            </w:r>
            <w:r w:rsidRPr="001D7EA7">
              <w:rPr>
                <w:rFonts w:ascii="Book Antiqua" w:hAnsi="Book Antiqua"/>
                <w:szCs w:val="24"/>
                <w:lang w:val="es-PR"/>
              </w:rPr>
              <w:t>(3) años.</w:t>
            </w:r>
          </w:p>
          <w:p w14:paraId="386BC728"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19C41E94"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No obstante, en los delitos graves y en los delitos menos graves podrá imponerse otros tipos de penas, además de la reclusión.</w:t>
            </w:r>
          </w:p>
          <w:p w14:paraId="13D5CD77"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0C37FC77"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Los delitos graves que se tipifican en leyes especiales mantienen la clasificación de grave y la pena </w:t>
            </w:r>
            <w:r w:rsidRPr="001D7EA7">
              <w:rPr>
                <w:rFonts w:ascii="Book Antiqua" w:hAnsi="Book Antiqua"/>
                <w:szCs w:val="24"/>
                <w:lang w:val="es-PR"/>
              </w:rPr>
              <w:lastRenderedPageBreak/>
              <w:t>correspondiente si conllevan una pena de reclusión mayor de seis (6) meses o multa mayor de cinco mil (5,000) dólares, salvo que por ley se disponga otra cosa.</w:t>
            </w:r>
          </w:p>
          <w:p w14:paraId="5ADD177A"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6EDA90A3"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menos graves que se tipifican en leyes especiales mantienen la clasificación de</w:t>
            </w:r>
            <w:r>
              <w:rPr>
                <w:rFonts w:ascii="Book Antiqua" w:hAnsi="Book Antiqua"/>
                <w:szCs w:val="24"/>
                <w:lang w:val="es-PR"/>
              </w:rPr>
              <w:t xml:space="preserve"> </w:t>
            </w:r>
            <w:r w:rsidRPr="001D7EA7">
              <w:rPr>
                <w:rFonts w:ascii="Book Antiqua" w:hAnsi="Book Antiqua"/>
                <w:szCs w:val="24"/>
                <w:lang w:val="es-PR"/>
              </w:rPr>
              <w:t>menos grave y la pena correspondiente si conllevan una pena que no exceda de seis (6) meses o multa que no exceda de cinco mil (5,000) dólares, o ambas penas.</w:t>
            </w:r>
          </w:p>
        </w:tc>
        <w:tc>
          <w:tcPr>
            <w:tcW w:w="4517" w:type="dxa"/>
          </w:tcPr>
          <w:p w14:paraId="51EBBDF1"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5BE2A2C9" w14:textId="77777777" w:rsidR="00AF3BF8" w:rsidRPr="001D7EA7" w:rsidRDefault="00AF3BF8" w:rsidP="00FA0059">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208BE9DD"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32978BE4"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7ADE840A"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457C6825" w14:textId="77777777" w:rsidR="00AF3BF8"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50B43EAA" w14:textId="77777777" w:rsidR="00AF3BF8" w:rsidRDefault="00AF3BF8" w:rsidP="00FA0059">
            <w:pPr>
              <w:tabs>
                <w:tab w:val="left" w:pos="-720"/>
              </w:tabs>
              <w:suppressAutoHyphens/>
              <w:spacing w:line="276" w:lineRule="auto"/>
              <w:jc w:val="both"/>
              <w:rPr>
                <w:rFonts w:ascii="Book Antiqua" w:hAnsi="Book Antiqua"/>
                <w:szCs w:val="24"/>
                <w:lang w:val="es-PR"/>
              </w:rPr>
            </w:pPr>
          </w:p>
          <w:p w14:paraId="2DD4D6D3"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Delito grave comprende todos los demás delitos.</w:t>
            </w:r>
          </w:p>
        </w:tc>
      </w:tr>
      <w:tr w:rsidR="00AF3BF8" w:rsidRPr="002038D1" w14:paraId="7943B7F6" w14:textId="77777777" w:rsidTr="00FA0059">
        <w:tc>
          <w:tcPr>
            <w:tcW w:w="4516" w:type="dxa"/>
          </w:tcPr>
          <w:p w14:paraId="5C930D0C"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10686C17" w14:textId="77777777" w:rsidR="00AF3BF8" w:rsidRPr="001D7EA7" w:rsidRDefault="00AF3BF8" w:rsidP="00FA0059">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17. — Delito sin pena estatuida. </w:t>
            </w:r>
          </w:p>
          <w:p w14:paraId="110762F5"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636C181C"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Si algún acto u omisión es declarado delito y no se establece la pena correspondiente, tal acto u omisión se penalizará como delito menos grave.</w:t>
            </w:r>
          </w:p>
          <w:p w14:paraId="44E5D279"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3FC83FCD"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Si algún acto u omisión es declarado delito grave y no se establece la pena correspondiente, se le impondrá la pena de delito grave de cuarto grado</w:t>
            </w:r>
          </w:p>
        </w:tc>
        <w:tc>
          <w:tcPr>
            <w:tcW w:w="4517" w:type="dxa"/>
          </w:tcPr>
          <w:p w14:paraId="00447F22"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p>
          <w:p w14:paraId="5ECDDECB" w14:textId="77777777" w:rsidR="00AF3BF8" w:rsidRPr="001D7EA7" w:rsidRDefault="00AF3BF8" w:rsidP="00FA0059">
            <w:pPr>
              <w:tabs>
                <w:tab w:val="left" w:pos="-720"/>
              </w:tabs>
              <w:suppressAutoHyphens/>
              <w:spacing w:line="276" w:lineRule="auto"/>
              <w:jc w:val="both"/>
              <w:rPr>
                <w:rFonts w:ascii="Book Antiqua" w:hAnsi="Book Antiqua"/>
                <w:b/>
                <w:bCs/>
                <w:szCs w:val="24"/>
                <w:lang w:val="es-ES"/>
              </w:rPr>
            </w:pPr>
            <w:r w:rsidRPr="001D7EA7">
              <w:rPr>
                <w:rFonts w:ascii="Book Antiqua" w:hAnsi="Book Antiqua"/>
                <w:b/>
                <w:bCs/>
                <w:szCs w:val="24"/>
                <w:lang w:val="es-ES"/>
              </w:rPr>
              <w:t xml:space="preserve">Artículo 17. — Delito sin pena estatuida. </w:t>
            </w:r>
          </w:p>
          <w:p w14:paraId="1AE8E85E" w14:textId="77777777" w:rsidR="00AF3BF8" w:rsidRPr="001D7EA7" w:rsidRDefault="00AF3BF8" w:rsidP="00FA0059">
            <w:pPr>
              <w:tabs>
                <w:tab w:val="left" w:pos="-720"/>
              </w:tabs>
              <w:suppressAutoHyphens/>
              <w:spacing w:line="276" w:lineRule="auto"/>
              <w:jc w:val="both"/>
              <w:rPr>
                <w:rFonts w:ascii="Book Antiqua" w:hAnsi="Book Antiqua"/>
                <w:szCs w:val="24"/>
                <w:lang w:val="es-ES"/>
              </w:rPr>
            </w:pPr>
          </w:p>
          <w:p w14:paraId="74271F1C" w14:textId="77777777" w:rsidR="00AF3BF8" w:rsidRPr="001D7EA7" w:rsidRDefault="00AF3BF8" w:rsidP="00FA0059">
            <w:pPr>
              <w:tabs>
                <w:tab w:val="left" w:pos="-720"/>
              </w:tabs>
              <w:suppressAutoHyphens/>
              <w:spacing w:line="276" w:lineRule="auto"/>
              <w:jc w:val="both"/>
              <w:rPr>
                <w:rFonts w:ascii="Book Antiqua" w:hAnsi="Book Antiqua"/>
                <w:szCs w:val="24"/>
                <w:lang w:val="es-ES"/>
              </w:rPr>
            </w:pPr>
            <w:r w:rsidRPr="001D7EA7">
              <w:rPr>
                <w:rFonts w:ascii="Book Antiqua" w:hAnsi="Book Antiqua"/>
                <w:szCs w:val="24"/>
                <w:lang w:val="es-ES"/>
              </w:rPr>
              <w:t xml:space="preserve">Si algún acto u omisión es declarado delito y no se establece la pena correspondiente, tal acto u omisión se penalizará como delito menos grave. </w:t>
            </w:r>
          </w:p>
          <w:p w14:paraId="1BE16185" w14:textId="77777777" w:rsidR="00AF3BF8" w:rsidRPr="001D7EA7" w:rsidRDefault="00AF3BF8" w:rsidP="00FA0059">
            <w:pPr>
              <w:tabs>
                <w:tab w:val="left" w:pos="-720"/>
              </w:tabs>
              <w:suppressAutoHyphens/>
              <w:spacing w:line="276" w:lineRule="auto"/>
              <w:jc w:val="both"/>
              <w:rPr>
                <w:rFonts w:ascii="Book Antiqua" w:hAnsi="Book Antiqua"/>
                <w:szCs w:val="24"/>
                <w:lang w:val="es-ES"/>
              </w:rPr>
            </w:pPr>
          </w:p>
          <w:p w14:paraId="3066F7F8" w14:textId="77777777" w:rsidR="00AF3BF8" w:rsidRPr="001D7EA7" w:rsidRDefault="00AF3BF8" w:rsidP="00FA0059">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35F55486" w14:textId="77777777" w:rsidR="00AF3BF8" w:rsidRDefault="00AF3BF8" w:rsidP="00AF3BF8">
      <w:pPr>
        <w:tabs>
          <w:tab w:val="left" w:pos="-720"/>
        </w:tabs>
        <w:suppressAutoHyphens/>
        <w:spacing w:line="276" w:lineRule="auto"/>
        <w:jc w:val="both"/>
        <w:rPr>
          <w:rFonts w:ascii="Book Antiqua" w:hAnsi="Book Antiqua"/>
          <w:szCs w:val="24"/>
          <w:lang w:val="es-PR"/>
        </w:rPr>
      </w:pPr>
    </w:p>
    <w:p w14:paraId="1FB871C6" w14:textId="77777777" w:rsidR="00AF3BF8" w:rsidRDefault="00AF3BF8" w:rsidP="00AF3BF8">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t>En ese sentido, el Código Penal de Puerto Rico 2012, en su Artículo 307, provee una</w:t>
      </w:r>
      <w:r w:rsidRPr="0050653B">
        <w:rPr>
          <w:rFonts w:ascii="Book Antiqua" w:hAnsi="Book Antiqua"/>
          <w:szCs w:val="24"/>
          <w:lang w:val="es-PR"/>
        </w:rPr>
        <w:t xml:space="preserve"> </w:t>
      </w:r>
      <w:r>
        <w:rPr>
          <w:rFonts w:ascii="Book Antiqua" w:hAnsi="Book Antiqua"/>
          <w:szCs w:val="24"/>
          <w:lang w:val="es-PR"/>
        </w:rPr>
        <w:t>c</w:t>
      </w:r>
      <w:r w:rsidRPr="0050653B">
        <w:rPr>
          <w:rFonts w:ascii="Book Antiqua" w:hAnsi="Book Antiqua"/>
          <w:szCs w:val="24"/>
          <w:lang w:val="es-PR"/>
        </w:rPr>
        <w:t xml:space="preserve">láusula de transición para la fijación de penas en las leyes penales especiales. </w:t>
      </w:r>
      <w:r>
        <w:rPr>
          <w:rFonts w:ascii="Book Antiqua" w:hAnsi="Book Antiqua"/>
          <w:szCs w:val="24"/>
          <w:lang w:val="es-PR"/>
        </w:rPr>
        <w:t>Conforme al marco legal vigente, l</w:t>
      </w:r>
      <w:r w:rsidRPr="0050653B">
        <w:rPr>
          <w:rFonts w:ascii="Book Antiqua" w:hAnsi="Book Antiqua"/>
          <w:szCs w:val="24"/>
          <w:lang w:val="es-PR"/>
        </w:rPr>
        <w:t>os delitos graves que se tipifican en leyes penales especiales bajo el sistema de clasificación de delitos de</w:t>
      </w:r>
      <w:r>
        <w:rPr>
          <w:rFonts w:ascii="Book Antiqua" w:hAnsi="Book Antiqua"/>
          <w:szCs w:val="24"/>
          <w:lang w:val="es-PR"/>
        </w:rPr>
        <w:t xml:space="preserve">l </w:t>
      </w:r>
      <w:r w:rsidRPr="0050653B">
        <w:rPr>
          <w:rFonts w:ascii="Book Antiqua" w:hAnsi="Book Antiqua"/>
          <w:szCs w:val="24"/>
          <w:lang w:val="es-PR"/>
        </w:rPr>
        <w:t xml:space="preserve">Código Penal del Estado Libre Asociado de Puerto Rico estarán sujetos a las siguientes penas, hasta que se proceda a </w:t>
      </w:r>
      <w:r w:rsidRPr="0050653B">
        <w:rPr>
          <w:rFonts w:ascii="Book Antiqua" w:hAnsi="Book Antiqua"/>
          <w:szCs w:val="24"/>
          <w:lang w:val="es-PR"/>
        </w:rPr>
        <w:lastRenderedPageBreak/>
        <w:t>enmendarlas para atemperarlas al sistema de sentencias fijas adoptado en el Código de 2012, según enmendado</w:t>
      </w:r>
      <w:r>
        <w:rPr>
          <w:rFonts w:ascii="Book Antiqua" w:hAnsi="Book Antiqua"/>
          <w:szCs w:val="24"/>
          <w:lang w:val="es-PR"/>
        </w:rPr>
        <w:t>:</w:t>
      </w:r>
    </w:p>
    <w:p w14:paraId="01F16B49"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25AD8565"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0CE33E2D"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04D4FD99"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7A11815D"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w:t>
      </w:r>
      <w:r w:rsidRPr="000F62FA">
        <w:rPr>
          <w:rFonts w:ascii="Book Antiqua" w:hAnsi="Book Antiqua"/>
          <w:szCs w:val="24"/>
          <w:lang w:val="es-PR"/>
        </w:rPr>
        <w:t xml:space="preserve">por la Junta de Libertad Bajo Palabra al cumplir el setenta y cinco (75) por ciento del término de reclusión impuesto. </w:t>
      </w:r>
    </w:p>
    <w:p w14:paraId="0C9CC220" w14:textId="77777777" w:rsidR="00AF3BF8" w:rsidRDefault="00AF3BF8" w:rsidP="00AF3BF8">
      <w:pPr>
        <w:pStyle w:val="ListParagraph"/>
        <w:numPr>
          <w:ilvl w:val="0"/>
          <w:numId w:val="7"/>
        </w:numPr>
        <w:tabs>
          <w:tab w:val="left" w:pos="-720"/>
        </w:tabs>
        <w:suppressAutoHyphens/>
        <w:spacing w:line="276" w:lineRule="auto"/>
        <w:jc w:val="both"/>
        <w:rPr>
          <w:rFonts w:ascii="Book Antiqua" w:hAnsi="Book Antiqua"/>
          <w:szCs w:val="24"/>
          <w:lang w:val="es-PR"/>
        </w:rPr>
      </w:pPr>
      <w:r w:rsidRPr="000F62FA">
        <w:rPr>
          <w:rFonts w:ascii="Book Antiqua" w:hAnsi="Book Antiqua"/>
          <w:szCs w:val="24"/>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r>
        <w:rPr>
          <w:rFonts w:ascii="Book Antiqua" w:hAnsi="Book Antiqua"/>
          <w:szCs w:val="24"/>
          <w:lang w:val="es-PR"/>
        </w:rPr>
        <w:t xml:space="preserve">. </w:t>
      </w:r>
    </w:p>
    <w:p w14:paraId="28FE6A2C" w14:textId="77777777" w:rsidR="00AF3BF8" w:rsidRDefault="00AF3BF8" w:rsidP="00283576">
      <w:pPr>
        <w:tabs>
          <w:tab w:val="left" w:pos="-720"/>
        </w:tabs>
        <w:suppressAutoHyphens/>
        <w:spacing w:line="276" w:lineRule="auto"/>
        <w:ind w:firstLine="360"/>
        <w:jc w:val="both"/>
        <w:rPr>
          <w:rFonts w:ascii="Book Antiqua" w:hAnsi="Book Antiqua"/>
          <w:lang w:val="es-PR"/>
        </w:rPr>
      </w:pPr>
    </w:p>
    <w:p w14:paraId="634BDB99" w14:textId="2A0F11C1" w:rsidR="00393CA6" w:rsidRDefault="009154BD" w:rsidP="00283576">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Pr="00337BB7">
        <w:rPr>
          <w:rFonts w:ascii="Book Antiqua" w:hAnsi="Book Antiqua"/>
          <w:spacing w:val="-3"/>
          <w:lang w:val="es-ES_tradnl"/>
        </w:rPr>
        <w:t xml:space="preserve">, como parte del estudio y evaluación del </w:t>
      </w:r>
      <w:r w:rsidR="00B64F4A">
        <w:rPr>
          <w:rFonts w:ascii="Book Antiqua" w:hAnsi="Book Antiqua"/>
          <w:spacing w:val="-3"/>
          <w:lang w:val="es-ES_tradnl"/>
        </w:rPr>
        <w:t>P. del S. 38</w:t>
      </w:r>
      <w:r w:rsidR="00481C39" w:rsidRPr="00A11ED0">
        <w:rPr>
          <w:rFonts w:ascii="Book Antiqua" w:hAnsi="Book Antiqua"/>
          <w:lang w:val="es-PR"/>
        </w:rPr>
        <w:t xml:space="preserve"> </w:t>
      </w:r>
      <w:r w:rsidR="00B64F4A">
        <w:rPr>
          <w:rFonts w:ascii="Book Antiqua" w:hAnsi="Book Antiqua"/>
          <w:lang w:val="es-PR"/>
        </w:rPr>
        <w:t>recibió un</w:t>
      </w:r>
      <w:r w:rsidR="006D5838" w:rsidRPr="00A11ED0">
        <w:rPr>
          <w:rFonts w:ascii="Book Antiqua" w:hAnsi="Book Antiqua"/>
          <w:lang w:val="es-PR"/>
        </w:rPr>
        <w:t xml:space="preserve"> </w:t>
      </w:r>
      <w:r w:rsidR="00B64F4A">
        <w:rPr>
          <w:rFonts w:ascii="Book Antiqua" w:hAnsi="Book Antiqua"/>
          <w:lang w:val="es-PR"/>
        </w:rPr>
        <w:t>memorial explicativo del Departamento de la Familia.</w:t>
      </w:r>
      <w:r w:rsidRPr="00A11ED0">
        <w:rPr>
          <w:rFonts w:ascii="Book Antiqua" w:hAnsi="Book Antiqua"/>
          <w:lang w:val="es-PR"/>
        </w:rPr>
        <w:t xml:space="preserve"> </w:t>
      </w:r>
    </w:p>
    <w:p w14:paraId="057A13B1" w14:textId="77777777" w:rsidR="009F47AE" w:rsidRDefault="009F47AE" w:rsidP="00283576">
      <w:pPr>
        <w:tabs>
          <w:tab w:val="left" w:pos="-720"/>
        </w:tabs>
        <w:suppressAutoHyphens/>
        <w:spacing w:line="276" w:lineRule="auto"/>
        <w:jc w:val="both"/>
        <w:rPr>
          <w:rFonts w:ascii="Book Antiqua" w:hAnsi="Book Antiqua"/>
          <w:lang w:val="es-PR"/>
        </w:rPr>
      </w:pPr>
    </w:p>
    <w:p w14:paraId="645A7A37" w14:textId="6D12CE1D" w:rsidR="00A52CD9" w:rsidRPr="00197D14" w:rsidRDefault="00082D7F" w:rsidP="00283576">
      <w:pPr>
        <w:tabs>
          <w:tab w:val="left" w:pos="-720"/>
        </w:tabs>
        <w:suppressAutoHyphens/>
        <w:spacing w:line="276" w:lineRule="auto"/>
        <w:jc w:val="center"/>
        <w:rPr>
          <w:rFonts w:ascii="Book Antiqua" w:hAnsi="Book Antiqua"/>
          <w:b/>
          <w:bCs/>
          <w:lang w:val="es-PR"/>
        </w:rPr>
      </w:pPr>
      <w:r w:rsidRPr="00197D14">
        <w:rPr>
          <w:rFonts w:ascii="Book Antiqua" w:hAnsi="Book Antiqua"/>
          <w:b/>
          <w:bCs/>
          <w:lang w:val="es-PR"/>
        </w:rPr>
        <w:t>DEPARTAMENTO DE LA FAMILIA</w:t>
      </w:r>
    </w:p>
    <w:p w14:paraId="2BB8B35A" w14:textId="77777777" w:rsidR="00082D7F" w:rsidRDefault="00082D7F" w:rsidP="00283576">
      <w:pPr>
        <w:tabs>
          <w:tab w:val="left" w:pos="-720"/>
        </w:tabs>
        <w:suppressAutoHyphens/>
        <w:spacing w:line="276" w:lineRule="auto"/>
        <w:jc w:val="both"/>
        <w:rPr>
          <w:rFonts w:ascii="Book Antiqua" w:hAnsi="Book Antiqua"/>
          <w:lang w:val="es-PR"/>
        </w:rPr>
      </w:pPr>
    </w:p>
    <w:p w14:paraId="506697A3" w14:textId="0F325D71" w:rsidR="00CA1098" w:rsidRPr="009313EE" w:rsidRDefault="00197D14" w:rsidP="00283576">
      <w:pPr>
        <w:tabs>
          <w:tab w:val="left" w:pos="-720"/>
        </w:tabs>
        <w:suppressAutoHyphens/>
        <w:spacing w:line="276" w:lineRule="auto"/>
        <w:jc w:val="both"/>
        <w:rPr>
          <w:rFonts w:ascii="Book Antiqua" w:hAnsi="Book Antiqua"/>
          <w:lang w:val="es-PR"/>
        </w:rPr>
      </w:pPr>
      <w:r>
        <w:rPr>
          <w:rFonts w:ascii="Book Antiqua" w:hAnsi="Book Antiqua"/>
          <w:lang w:val="es-PR"/>
        </w:rPr>
        <w:lastRenderedPageBreak/>
        <w:tab/>
      </w:r>
      <w:r w:rsidR="00AD4607">
        <w:rPr>
          <w:rFonts w:ascii="Book Antiqua" w:hAnsi="Book Antiqua"/>
          <w:lang w:val="es-PR"/>
        </w:rPr>
        <w:t xml:space="preserve">El Departamento de la Familia </w:t>
      </w:r>
      <w:r>
        <w:rPr>
          <w:rFonts w:ascii="Book Antiqua" w:hAnsi="Book Antiqua"/>
          <w:lang w:val="es-PR"/>
        </w:rPr>
        <w:t>(DF) luego</w:t>
      </w:r>
      <w:r w:rsidRPr="00197D14">
        <w:rPr>
          <w:rFonts w:ascii="Book Antiqua" w:hAnsi="Book Antiqua"/>
          <w:lang w:val="es-PR"/>
        </w:rPr>
        <w:t xml:space="preserve"> de examinar las enmiendas propuestas a la Ley 88 </w:t>
      </w:r>
      <w:r>
        <w:rPr>
          <w:rFonts w:ascii="Book Antiqua" w:hAnsi="Book Antiqua"/>
          <w:lang w:val="es-PR"/>
        </w:rPr>
        <w:t>concluyó</w:t>
      </w:r>
      <w:r w:rsidRPr="00197D14">
        <w:rPr>
          <w:rFonts w:ascii="Book Antiqua" w:hAnsi="Book Antiqua"/>
          <w:lang w:val="es-PR"/>
        </w:rPr>
        <w:t xml:space="preserve"> que las</w:t>
      </w:r>
      <w:r>
        <w:rPr>
          <w:rFonts w:ascii="Book Antiqua" w:hAnsi="Book Antiqua"/>
          <w:lang w:val="es-PR"/>
        </w:rPr>
        <w:t xml:space="preserve"> </w:t>
      </w:r>
      <w:r w:rsidRPr="00197D14">
        <w:rPr>
          <w:rFonts w:ascii="Book Antiqua" w:hAnsi="Book Antiqua"/>
          <w:lang w:val="es-PR"/>
        </w:rPr>
        <w:t xml:space="preserve">mismas son </w:t>
      </w:r>
      <w:r>
        <w:rPr>
          <w:rFonts w:ascii="Book Antiqua" w:hAnsi="Book Antiqua"/>
          <w:lang w:val="es-PR"/>
        </w:rPr>
        <w:t>coherentes</w:t>
      </w:r>
      <w:r w:rsidRPr="00197D14">
        <w:rPr>
          <w:rFonts w:ascii="Book Antiqua" w:hAnsi="Book Antiqua"/>
          <w:lang w:val="es-PR"/>
        </w:rPr>
        <w:t xml:space="preserve"> con lo establecido en el Código Penal vigente por lo que no</w:t>
      </w:r>
      <w:r>
        <w:rPr>
          <w:rFonts w:ascii="Book Antiqua" w:hAnsi="Book Antiqua"/>
          <w:lang w:val="es-PR"/>
        </w:rPr>
        <w:t xml:space="preserve"> presentó</w:t>
      </w:r>
      <w:r w:rsidRPr="00197D14">
        <w:rPr>
          <w:rFonts w:ascii="Book Antiqua" w:hAnsi="Book Antiqua"/>
          <w:lang w:val="es-PR"/>
        </w:rPr>
        <w:t xml:space="preserve"> objeción a que las mismas sean integradas. </w:t>
      </w:r>
      <w:r>
        <w:rPr>
          <w:rFonts w:ascii="Book Antiqua" w:hAnsi="Book Antiqua"/>
          <w:lang w:val="es-PR"/>
        </w:rPr>
        <w:t>Además expresó que el DF</w:t>
      </w:r>
      <w:r w:rsidRPr="00197D14">
        <w:rPr>
          <w:rFonts w:ascii="Book Antiqua" w:hAnsi="Book Antiqua"/>
          <w:lang w:val="es-PR"/>
        </w:rPr>
        <w:t xml:space="preserve"> </w:t>
      </w:r>
      <w:r>
        <w:rPr>
          <w:rFonts w:ascii="Book Antiqua" w:hAnsi="Book Antiqua"/>
          <w:lang w:val="es-PR"/>
        </w:rPr>
        <w:t>avala</w:t>
      </w:r>
      <w:r w:rsidRPr="00197D14">
        <w:rPr>
          <w:rFonts w:ascii="Book Antiqua" w:hAnsi="Book Antiqua"/>
          <w:lang w:val="es-PR"/>
        </w:rPr>
        <w:t xml:space="preserve"> toda medida que tome esta Asamblea</w:t>
      </w:r>
      <w:r>
        <w:rPr>
          <w:rFonts w:ascii="Book Antiqua" w:hAnsi="Book Antiqua"/>
          <w:lang w:val="es-PR"/>
        </w:rPr>
        <w:t xml:space="preserve"> </w:t>
      </w:r>
      <w:r w:rsidRPr="00197D14">
        <w:rPr>
          <w:rFonts w:ascii="Book Antiqua" w:hAnsi="Book Antiqua"/>
          <w:lang w:val="es-PR"/>
        </w:rPr>
        <w:t>Legislativa en todo lo relacionado a la seguridad y protección de los menores.</w:t>
      </w:r>
    </w:p>
    <w:p w14:paraId="35931FC5" w14:textId="77777777" w:rsidR="00940E84" w:rsidRDefault="00940E84" w:rsidP="00283576">
      <w:pPr>
        <w:tabs>
          <w:tab w:val="left" w:pos="-720"/>
        </w:tabs>
        <w:suppressAutoHyphens/>
        <w:spacing w:line="276" w:lineRule="auto"/>
        <w:jc w:val="both"/>
        <w:rPr>
          <w:rFonts w:ascii="Book Antiqua" w:hAnsi="Book Antiqua"/>
          <w:lang w:val="es-PR"/>
        </w:rPr>
      </w:pPr>
    </w:p>
    <w:p w14:paraId="302CAC3A" w14:textId="141F50AB" w:rsidR="00D13D23" w:rsidRDefault="0096171F" w:rsidP="00283576">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283576">
      <w:pPr>
        <w:tabs>
          <w:tab w:val="left" w:pos="-720"/>
        </w:tabs>
        <w:suppressAutoHyphens/>
        <w:spacing w:line="276" w:lineRule="auto"/>
        <w:ind w:firstLine="360"/>
        <w:jc w:val="center"/>
        <w:rPr>
          <w:rFonts w:ascii="Book Antiqua" w:hAnsi="Book Antiqua"/>
          <w:b/>
          <w:bCs/>
          <w:lang w:val="es-PR"/>
        </w:rPr>
      </w:pPr>
    </w:p>
    <w:p w14:paraId="3CD7EB56" w14:textId="643A3B45" w:rsidR="002C402D" w:rsidRPr="00DF45DC" w:rsidRDefault="004F6E72" w:rsidP="00283576">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5549C6">
        <w:rPr>
          <w:rFonts w:ascii="Book Antiqua" w:hAnsi="Book Antiqua"/>
          <w:spacing w:val="-3"/>
          <w:lang w:val="es-ES_tradnl"/>
        </w:rPr>
        <w:t>Comisión de lo Jurídico del Senado de Puerto Rico</w:t>
      </w:r>
      <w:r w:rsidR="005549C6" w:rsidRPr="00337BB7">
        <w:rPr>
          <w:rFonts w:ascii="Book Antiqua" w:hAnsi="Book Antiqua"/>
          <w:lang w:val="es-PR"/>
        </w:rPr>
        <w:t xml:space="preserve"> </w:t>
      </w:r>
      <w:r w:rsidRPr="00337BB7">
        <w:rPr>
          <w:rFonts w:ascii="Book Antiqua" w:hAnsi="Book Antiqua"/>
          <w:lang w:val="es-PR"/>
        </w:rPr>
        <w:t xml:space="preserve">certifica que el </w:t>
      </w:r>
      <w:r w:rsidR="002117B8">
        <w:rPr>
          <w:rFonts w:ascii="Book Antiqua" w:hAnsi="Book Antiqua"/>
          <w:lang w:val="es-PR"/>
        </w:rPr>
        <w:t>P. del S. 38</w:t>
      </w:r>
      <w:r w:rsidR="00D13D23" w:rsidRPr="00DF45DC">
        <w:rPr>
          <w:rFonts w:ascii="Book Antiqua" w:hAnsi="Book Antiqua"/>
          <w:lang w:val="es-PR"/>
        </w:rPr>
        <w:t xml:space="preserve"> 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283576">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283576">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283576">
      <w:pPr>
        <w:tabs>
          <w:tab w:val="left" w:pos="-720"/>
        </w:tabs>
        <w:suppressAutoHyphens/>
        <w:spacing w:line="276" w:lineRule="auto"/>
        <w:ind w:firstLine="360"/>
        <w:jc w:val="center"/>
        <w:rPr>
          <w:rFonts w:ascii="Book Antiqua" w:hAnsi="Book Antiqua"/>
          <w:b/>
          <w:bCs/>
          <w:lang w:val="es-PR"/>
        </w:rPr>
      </w:pPr>
    </w:p>
    <w:p w14:paraId="4D263BBC" w14:textId="563EFA5C" w:rsidR="001204E3" w:rsidRDefault="00006DDC" w:rsidP="00D01CC6">
      <w:pPr>
        <w:tabs>
          <w:tab w:val="left" w:pos="-720"/>
        </w:tabs>
        <w:suppressAutoHyphens/>
        <w:spacing w:line="276" w:lineRule="auto"/>
        <w:ind w:firstLine="360"/>
        <w:jc w:val="both"/>
        <w:rPr>
          <w:rFonts w:ascii="Book Antiqua" w:hAnsi="Book Antiqua"/>
          <w:lang w:val="es-ES"/>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Pr="00DF45DC">
        <w:rPr>
          <w:rFonts w:ascii="Book Antiqua" w:hAnsi="Book Antiqua"/>
          <w:lang w:val="es-PR"/>
        </w:rPr>
        <w:t xml:space="preserve">, reconociendo la importancia del </w:t>
      </w:r>
      <w:r w:rsidR="002117B8">
        <w:rPr>
          <w:rFonts w:ascii="Book Antiqua" w:hAnsi="Book Antiqua"/>
          <w:lang w:val="es-PR"/>
        </w:rPr>
        <w:t>P. del S. 38</w:t>
      </w:r>
      <w:r w:rsidR="00352C78" w:rsidRPr="00DF45DC">
        <w:rPr>
          <w:rFonts w:ascii="Book Antiqua" w:hAnsi="Book Antiqua"/>
          <w:lang w:val="es-PR"/>
        </w:rPr>
        <w:t xml:space="preserve"> </w:t>
      </w:r>
      <w:r w:rsidR="004F6E72" w:rsidRPr="00337BB7">
        <w:rPr>
          <w:rFonts w:ascii="Book Antiqua" w:hAnsi="Book Antiqua"/>
          <w:lang w:val="es-PR"/>
        </w:rPr>
        <w:t xml:space="preserve">efectuó un análisis minucioso de </w:t>
      </w:r>
      <w:r w:rsidR="00352C78" w:rsidRPr="00DF45DC">
        <w:rPr>
          <w:rFonts w:ascii="Book Antiqua" w:hAnsi="Book Antiqua"/>
          <w:lang w:val="es-PR"/>
        </w:rPr>
        <w:t xml:space="preserve">la </w:t>
      </w:r>
      <w:r w:rsidR="001D12A7">
        <w:rPr>
          <w:rFonts w:ascii="Book Antiqua" w:hAnsi="Book Antiqua"/>
          <w:lang w:val="es-PR"/>
        </w:rPr>
        <w:t xml:space="preserve">medida, </w:t>
      </w:r>
      <w:r w:rsidR="006E6036">
        <w:rPr>
          <w:rFonts w:ascii="Book Antiqua" w:hAnsi="Book Antiqua"/>
          <w:lang w:val="es-PR"/>
        </w:rPr>
        <w:t xml:space="preserve">así como de la </w:t>
      </w:r>
      <w:r w:rsidR="00AF7DB8" w:rsidRPr="00DE6EB4">
        <w:rPr>
          <w:rFonts w:ascii="Book Antiqua" w:hAnsi="Book Antiqua"/>
          <w:lang w:val="es-PR"/>
        </w:rPr>
        <w:t>Ley Núm. 88 de 9 de Julio de 1986, según enmendada, conocida como “Ley de Menores de Puerto Rico”</w:t>
      </w:r>
      <w:r w:rsidR="006E6036">
        <w:rPr>
          <w:rFonts w:ascii="Book Antiqua" w:hAnsi="Book Antiqua"/>
          <w:lang w:val="es-PR"/>
        </w:rPr>
        <w:t xml:space="preserve">, </w:t>
      </w:r>
      <w:r w:rsidR="00B275B1">
        <w:rPr>
          <w:rFonts w:ascii="Book Antiqua" w:hAnsi="Book Antiqua"/>
          <w:lang w:val="es-PR"/>
        </w:rPr>
        <w:t>de</w:t>
      </w:r>
      <w:r w:rsidR="006E6036">
        <w:rPr>
          <w:rFonts w:ascii="Book Antiqua" w:hAnsi="Book Antiqua"/>
          <w:lang w:val="es-PR"/>
        </w:rPr>
        <w:t xml:space="preserve"> la </w:t>
      </w:r>
      <w:r w:rsidR="00AF7DB8" w:rsidRPr="002117B8">
        <w:rPr>
          <w:rFonts w:ascii="Book Antiqua" w:hAnsi="Book Antiqua"/>
          <w:lang w:val="es-ES"/>
        </w:rPr>
        <w:t>Ley de Armas de Puerto Rico de 2020, Ley Núm. 168 de 11 de diciembre de 2019</w:t>
      </w:r>
      <w:r w:rsidR="005640D6">
        <w:rPr>
          <w:rFonts w:ascii="Book Antiqua" w:hAnsi="Book Antiqua"/>
          <w:lang w:val="es-PR"/>
        </w:rPr>
        <w:t xml:space="preserve">, </w:t>
      </w:r>
      <w:r w:rsidR="00B275B1">
        <w:rPr>
          <w:rFonts w:ascii="Book Antiqua" w:hAnsi="Book Antiqua"/>
          <w:lang w:val="es-ES"/>
        </w:rPr>
        <w:t>y del memorial explicativo recibido</w:t>
      </w:r>
      <w:r w:rsidR="00711A1F">
        <w:rPr>
          <w:rFonts w:ascii="Book Antiqua" w:hAnsi="Book Antiqua"/>
          <w:lang w:val="es-ES"/>
        </w:rPr>
        <w:t xml:space="preserve">. </w:t>
      </w:r>
    </w:p>
    <w:p w14:paraId="4EE7EA6C" w14:textId="5AD8DF2C" w:rsidR="001204E3" w:rsidRDefault="008A13DC" w:rsidP="00C11F88">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1204E3" w:rsidRPr="001D7EA7">
        <w:rPr>
          <w:rFonts w:ascii="Book Antiqua" w:hAnsi="Book Antiqua"/>
          <w:szCs w:val="24"/>
          <w:lang w:val="es-PR"/>
        </w:rPr>
        <w:t>La Comisión coincide en que la aprobación de la medida es necesaria para promover y mantener un ordenamiento jurídico-penal coherente y armonioso, y para que la aplicación de las penas sea uniforme, clara y consecuente, libre de ambiguedades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490798">
        <w:rPr>
          <w:rStyle w:val="FootnoteReference"/>
          <w:rFonts w:ascii="Book Antiqua" w:hAnsi="Book Antiqua"/>
          <w:szCs w:val="24"/>
          <w:lang w:val="es-PR"/>
        </w:rPr>
        <w:footnoteReference w:id="1"/>
      </w:r>
      <w:r w:rsidR="001204E3" w:rsidRPr="001D7EA7">
        <w:rPr>
          <w:rFonts w:ascii="Book Antiqua" w:hAnsi="Book Antiqua"/>
          <w:szCs w:val="24"/>
          <w:lang w:val="es-PR"/>
        </w:rPr>
        <w:t xml:space="preserve"> Asimismo, mediante la aprobación de la medida ante nuestra consideración se promueve un ejercicio más equilibrado del poder punitivo del Estado, al evitar decisiones arbitrarias o contradictorias derivadas de disposiciones vagas o inconexas. </w:t>
      </w:r>
      <w:r w:rsidR="00715047">
        <w:rPr>
          <w:rFonts w:ascii="Book Antiqua" w:hAnsi="Book Antiqua"/>
          <w:szCs w:val="24"/>
          <w:lang w:val="es-PR"/>
        </w:rPr>
        <w:t>Conviene recordar que l</w:t>
      </w:r>
      <w:r w:rsidR="00715047" w:rsidRPr="00825E79">
        <w:rPr>
          <w:rFonts w:ascii="Book Antiqua" w:hAnsi="Book Antiqua"/>
          <w:szCs w:val="24"/>
          <w:lang w:val="es-PR"/>
        </w:rPr>
        <w:t>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433924">
        <w:rPr>
          <w:rStyle w:val="FootnoteReference"/>
          <w:rFonts w:ascii="Book Antiqua" w:hAnsi="Book Antiqua"/>
          <w:szCs w:val="24"/>
          <w:lang w:val="es-PR"/>
        </w:rPr>
        <w:footnoteReference w:id="2"/>
      </w:r>
      <w:r w:rsidR="00715047" w:rsidRPr="00825E79">
        <w:rPr>
          <w:rFonts w:ascii="Book Antiqua" w:hAnsi="Book Antiqua"/>
          <w:szCs w:val="24"/>
          <w:lang w:val="es-PR"/>
        </w:rPr>
        <w:t xml:space="preserve"> En </w:t>
      </w:r>
      <w:r w:rsidR="00715047">
        <w:rPr>
          <w:rFonts w:ascii="Book Antiqua" w:hAnsi="Book Antiqua"/>
          <w:szCs w:val="24"/>
          <w:lang w:val="es-PR"/>
        </w:rPr>
        <w:t>esencia</w:t>
      </w:r>
      <w:r w:rsidR="00715047" w:rsidRPr="00825E79">
        <w:rPr>
          <w:rFonts w:ascii="Book Antiqua" w:hAnsi="Book Antiqua"/>
          <w:szCs w:val="24"/>
          <w:lang w:val="es-PR"/>
        </w:rPr>
        <w:t xml:space="preserve">, las penas no </w:t>
      </w:r>
      <w:r w:rsidR="00715047" w:rsidRPr="00825E79">
        <w:rPr>
          <w:rFonts w:ascii="Book Antiqua" w:hAnsi="Book Antiqua"/>
          <w:szCs w:val="24"/>
          <w:lang w:val="es-PR"/>
        </w:rPr>
        <w:lastRenderedPageBreak/>
        <w:t>pueden ser arbitrarias ni caprichosas, porque de serlo, se estaría violando la garantía constitucional contra delitos crueles e inusitados.</w:t>
      </w:r>
      <w:r w:rsidR="0068426D">
        <w:rPr>
          <w:rStyle w:val="FootnoteReference"/>
          <w:rFonts w:ascii="Book Antiqua" w:hAnsi="Book Antiqua"/>
          <w:szCs w:val="24"/>
          <w:lang w:val="es-PR"/>
        </w:rPr>
        <w:footnoteReference w:id="3"/>
      </w:r>
      <w:r w:rsidR="00715047">
        <w:rPr>
          <w:rFonts w:ascii="Book Antiqua" w:hAnsi="Book Antiqua"/>
          <w:szCs w:val="24"/>
          <w:lang w:val="es-PR"/>
        </w:rPr>
        <w:t xml:space="preserve"> </w:t>
      </w:r>
      <w:r w:rsidR="001204E3" w:rsidRPr="001D7EA7">
        <w:rPr>
          <w:rFonts w:ascii="Book Antiqua" w:hAnsi="Book Antiqua"/>
          <w:szCs w:val="24"/>
          <w:lang w:val="es-PR"/>
        </w:rPr>
        <w:t xml:space="preserve">Medidas </w:t>
      </w:r>
      <w:r w:rsidR="003957AE">
        <w:rPr>
          <w:rFonts w:ascii="Book Antiqua" w:hAnsi="Book Antiqua"/>
          <w:szCs w:val="24"/>
          <w:lang w:val="es-PR"/>
        </w:rPr>
        <w:t xml:space="preserve">legislativas </w:t>
      </w:r>
      <w:r w:rsidR="001204E3"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sidR="00490798">
        <w:rPr>
          <w:rStyle w:val="FootnoteReference"/>
          <w:rFonts w:ascii="Book Antiqua" w:hAnsi="Book Antiqua"/>
          <w:szCs w:val="24"/>
          <w:lang w:val="es-PR"/>
        </w:rPr>
        <w:footnoteReference w:id="4"/>
      </w:r>
      <w:r w:rsidR="001204E3" w:rsidRPr="001D7EA7">
        <w:rPr>
          <w:rFonts w:ascii="Book Antiqua" w:hAnsi="Book Antiqua"/>
          <w:szCs w:val="24"/>
          <w:lang w:val="es-PR"/>
        </w:rPr>
        <w:t xml:space="preserve"> </w:t>
      </w:r>
    </w:p>
    <w:p w14:paraId="1BCB7654" w14:textId="77777777" w:rsidR="00C11F88" w:rsidRPr="001D7EA7" w:rsidRDefault="00C11F88" w:rsidP="00C11F88">
      <w:pPr>
        <w:tabs>
          <w:tab w:val="left" w:pos="-720"/>
        </w:tabs>
        <w:suppressAutoHyphens/>
        <w:spacing w:line="276" w:lineRule="auto"/>
        <w:jc w:val="both"/>
        <w:rPr>
          <w:rFonts w:ascii="Book Antiqua" w:hAnsi="Book Antiqua"/>
          <w:szCs w:val="24"/>
          <w:lang w:val="es-PR"/>
        </w:rPr>
      </w:pPr>
    </w:p>
    <w:p w14:paraId="7885E90D" w14:textId="07300618" w:rsidR="00DF45DC" w:rsidRPr="00DF45DC" w:rsidRDefault="0096171F" w:rsidP="00283576">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B275B1">
        <w:rPr>
          <w:rFonts w:ascii="Book Antiqua" w:hAnsi="Book Antiqua"/>
          <w:b/>
          <w:bCs/>
          <w:lang w:val="es-PR"/>
        </w:rPr>
        <w:t>Proyecto del Senado 38</w:t>
      </w:r>
      <w:r w:rsidR="00006DDC" w:rsidRPr="00DF45DC">
        <w:rPr>
          <w:rFonts w:ascii="Book Antiqua" w:hAnsi="Book Antiqua"/>
          <w:lang w:val="es-PR"/>
        </w:rPr>
        <w:t xml:space="preserve"> recomendando su aprobación con las enmiendas contenidas en el entirillado electrónico que se acompaña. </w:t>
      </w:r>
    </w:p>
    <w:p w14:paraId="02F3C812" w14:textId="77777777" w:rsidR="006861CE" w:rsidRDefault="006861CE" w:rsidP="00283576">
      <w:pPr>
        <w:tabs>
          <w:tab w:val="left" w:pos="-720"/>
        </w:tabs>
        <w:suppressAutoHyphens/>
        <w:spacing w:line="276" w:lineRule="auto"/>
        <w:rPr>
          <w:rFonts w:ascii="Book Antiqua" w:hAnsi="Book Antiqua"/>
          <w:lang w:val="es-PR"/>
        </w:rPr>
      </w:pPr>
    </w:p>
    <w:p w14:paraId="10325F5D" w14:textId="2225106C" w:rsidR="00006DDC" w:rsidRDefault="002C402D" w:rsidP="00283576">
      <w:pPr>
        <w:tabs>
          <w:tab w:val="left" w:pos="-720"/>
        </w:tabs>
        <w:suppressAutoHyphens/>
        <w:spacing w:line="276"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07DE7A1A" w:rsidR="000B3411" w:rsidRPr="001D12A7" w:rsidRDefault="001D12A7" w:rsidP="001D12A7">
      <w:pPr>
        <w:tabs>
          <w:tab w:val="left" w:pos="-720"/>
        </w:tabs>
        <w:suppressAutoHyphens/>
        <w:rPr>
          <w:rFonts w:ascii="Book Antiqua" w:hAnsi="Book Antiqua"/>
          <w:lang w:val="es-ES_tradnl"/>
        </w:rPr>
      </w:pPr>
      <w:r>
        <w:rPr>
          <w:rFonts w:ascii="Book Antiqua" w:hAnsi="Book Antiqua"/>
          <w:spacing w:val="-3"/>
          <w:lang w:val="es-ES_tradnl"/>
        </w:rPr>
        <w:t>Senado de Puerto Rico</w:t>
      </w: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3D830" w14:textId="77777777" w:rsidR="009E77E5" w:rsidRDefault="009E77E5">
      <w:r>
        <w:separator/>
      </w:r>
    </w:p>
  </w:endnote>
  <w:endnote w:type="continuationSeparator" w:id="0">
    <w:p w14:paraId="168C0A66" w14:textId="77777777" w:rsidR="009E77E5" w:rsidRDefault="009E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6AB4C" w14:textId="77777777" w:rsidR="009E77E5" w:rsidRDefault="009E77E5">
      <w:r>
        <w:separator/>
      </w:r>
    </w:p>
  </w:footnote>
  <w:footnote w:type="continuationSeparator" w:id="0">
    <w:p w14:paraId="0E47D6CB" w14:textId="77777777" w:rsidR="009E77E5" w:rsidRDefault="009E77E5">
      <w:r>
        <w:continuationSeparator/>
      </w:r>
    </w:p>
  </w:footnote>
  <w:footnote w:id="1">
    <w:p w14:paraId="6461CD41" w14:textId="2EE5731D" w:rsidR="00490798" w:rsidRPr="00490798" w:rsidRDefault="00490798">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7BEE7C58" w14:textId="47F1004D" w:rsidR="00433924" w:rsidRPr="00433924" w:rsidRDefault="00433924">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w:t>
      </w:r>
      <w:r w:rsidR="008D1E01">
        <w:rPr>
          <w:lang w:val="es-ES"/>
        </w:rPr>
        <w:t>30 de agosto de 2017).</w:t>
      </w:r>
    </w:p>
  </w:footnote>
  <w:footnote w:id="3">
    <w:p w14:paraId="09683F0B" w14:textId="787319C1" w:rsidR="0068426D" w:rsidRPr="0068426D" w:rsidRDefault="0068426D" w:rsidP="0068426D">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60BCD2FF" w14:textId="2A18B318" w:rsidR="00490798" w:rsidRPr="00490798" w:rsidRDefault="00490798">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44943F7"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F04BBF">
      <w:rPr>
        <w:rFonts w:ascii="Book Antiqua" w:hAnsi="Book Antiqua"/>
        <w:i/>
        <w:iCs/>
        <w:sz w:val="20"/>
        <w:lang w:val="es-PR"/>
      </w:rPr>
      <w:t>P. del S. 38</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6AEC" w14:textId="77777777" w:rsidR="00B406ED" w:rsidRPr="007B4C52" w:rsidRDefault="00B406ED" w:rsidP="00B406ED">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38</w:t>
    </w:r>
  </w:p>
  <w:p w14:paraId="732DC8B5" w14:textId="77777777" w:rsidR="00B406ED" w:rsidRDefault="00B406ED" w:rsidP="00B406ED">
    <w:pPr>
      <w:pStyle w:val="Header"/>
      <w:jc w:val="right"/>
      <w:rPr>
        <w:rFonts w:ascii="Book Antiqua" w:hAnsi="Book Antiqua"/>
        <w:i/>
        <w:iCs/>
        <w:sz w:val="20"/>
        <w:lang w:val="es-PR"/>
      </w:rPr>
    </w:pPr>
    <w:r>
      <w:rPr>
        <w:rFonts w:ascii="Book Antiqua" w:hAnsi="Book Antiqua"/>
        <w:i/>
        <w:iCs/>
        <w:sz w:val="20"/>
        <w:lang w:val="es-PR"/>
      </w:rPr>
      <w:t>Comisión de lo Jurídico</w:t>
    </w:r>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5606D"/>
    <w:rsid w:val="00066916"/>
    <w:rsid w:val="0006720A"/>
    <w:rsid w:val="00082D7F"/>
    <w:rsid w:val="00086DCB"/>
    <w:rsid w:val="000879BC"/>
    <w:rsid w:val="000902F9"/>
    <w:rsid w:val="000945D3"/>
    <w:rsid w:val="000A0CEF"/>
    <w:rsid w:val="000A135C"/>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204E3"/>
    <w:rsid w:val="001312DC"/>
    <w:rsid w:val="00152956"/>
    <w:rsid w:val="00152AEE"/>
    <w:rsid w:val="00157BC8"/>
    <w:rsid w:val="00172EE0"/>
    <w:rsid w:val="00175DA4"/>
    <w:rsid w:val="00186AB6"/>
    <w:rsid w:val="00197D14"/>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B8C"/>
    <w:rsid w:val="002038D1"/>
    <w:rsid w:val="002117B8"/>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79B7"/>
    <w:rsid w:val="00283576"/>
    <w:rsid w:val="002B0B9E"/>
    <w:rsid w:val="002B62DE"/>
    <w:rsid w:val="002C18ED"/>
    <w:rsid w:val="002C3A96"/>
    <w:rsid w:val="002C402D"/>
    <w:rsid w:val="002D185B"/>
    <w:rsid w:val="002D4AC8"/>
    <w:rsid w:val="002E3F48"/>
    <w:rsid w:val="002E4A52"/>
    <w:rsid w:val="002E66F9"/>
    <w:rsid w:val="002F0440"/>
    <w:rsid w:val="002F79D4"/>
    <w:rsid w:val="00303FA5"/>
    <w:rsid w:val="003059D5"/>
    <w:rsid w:val="00311782"/>
    <w:rsid w:val="0031531F"/>
    <w:rsid w:val="00316786"/>
    <w:rsid w:val="003239C5"/>
    <w:rsid w:val="003278F6"/>
    <w:rsid w:val="00330372"/>
    <w:rsid w:val="00334935"/>
    <w:rsid w:val="00337BB7"/>
    <w:rsid w:val="0034055D"/>
    <w:rsid w:val="003465C8"/>
    <w:rsid w:val="00352C78"/>
    <w:rsid w:val="00363583"/>
    <w:rsid w:val="00380D86"/>
    <w:rsid w:val="00381F18"/>
    <w:rsid w:val="0038390D"/>
    <w:rsid w:val="003857EC"/>
    <w:rsid w:val="00386D32"/>
    <w:rsid w:val="0039037B"/>
    <w:rsid w:val="003906D8"/>
    <w:rsid w:val="00393CA6"/>
    <w:rsid w:val="003957AE"/>
    <w:rsid w:val="003A0F23"/>
    <w:rsid w:val="003A201A"/>
    <w:rsid w:val="003B0348"/>
    <w:rsid w:val="003D7045"/>
    <w:rsid w:val="00402413"/>
    <w:rsid w:val="004076B9"/>
    <w:rsid w:val="00412A61"/>
    <w:rsid w:val="004227D1"/>
    <w:rsid w:val="00424144"/>
    <w:rsid w:val="004278D1"/>
    <w:rsid w:val="00433924"/>
    <w:rsid w:val="004408DF"/>
    <w:rsid w:val="004440CB"/>
    <w:rsid w:val="00444FD2"/>
    <w:rsid w:val="00445E69"/>
    <w:rsid w:val="004713D2"/>
    <w:rsid w:val="004817F3"/>
    <w:rsid w:val="00481C39"/>
    <w:rsid w:val="00487AC3"/>
    <w:rsid w:val="00490798"/>
    <w:rsid w:val="004918F1"/>
    <w:rsid w:val="004A05FC"/>
    <w:rsid w:val="004A0FD4"/>
    <w:rsid w:val="004A18C6"/>
    <w:rsid w:val="004B0082"/>
    <w:rsid w:val="004C370E"/>
    <w:rsid w:val="004D2BC7"/>
    <w:rsid w:val="004D44AF"/>
    <w:rsid w:val="004D4E14"/>
    <w:rsid w:val="004E7F65"/>
    <w:rsid w:val="004F6E72"/>
    <w:rsid w:val="004F7173"/>
    <w:rsid w:val="0051050B"/>
    <w:rsid w:val="00510569"/>
    <w:rsid w:val="00530395"/>
    <w:rsid w:val="00540B6A"/>
    <w:rsid w:val="00540DDE"/>
    <w:rsid w:val="00541FE3"/>
    <w:rsid w:val="005478C9"/>
    <w:rsid w:val="00550023"/>
    <w:rsid w:val="00550412"/>
    <w:rsid w:val="00552B8A"/>
    <w:rsid w:val="005549C6"/>
    <w:rsid w:val="00555018"/>
    <w:rsid w:val="005640D6"/>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35EA5"/>
    <w:rsid w:val="00645AB1"/>
    <w:rsid w:val="00650D8E"/>
    <w:rsid w:val="0066129F"/>
    <w:rsid w:val="00662809"/>
    <w:rsid w:val="006807C0"/>
    <w:rsid w:val="0068426D"/>
    <w:rsid w:val="006861CE"/>
    <w:rsid w:val="006A24A9"/>
    <w:rsid w:val="006B3D07"/>
    <w:rsid w:val="006B6346"/>
    <w:rsid w:val="006B7E26"/>
    <w:rsid w:val="006D01F6"/>
    <w:rsid w:val="006D49D8"/>
    <w:rsid w:val="006D5838"/>
    <w:rsid w:val="006D6359"/>
    <w:rsid w:val="006E5B7A"/>
    <w:rsid w:val="006E6036"/>
    <w:rsid w:val="006F226E"/>
    <w:rsid w:val="006F51A8"/>
    <w:rsid w:val="00711A1F"/>
    <w:rsid w:val="00714102"/>
    <w:rsid w:val="00715047"/>
    <w:rsid w:val="007163D8"/>
    <w:rsid w:val="007167F5"/>
    <w:rsid w:val="00720B6F"/>
    <w:rsid w:val="007229E9"/>
    <w:rsid w:val="0072411B"/>
    <w:rsid w:val="00725174"/>
    <w:rsid w:val="0073675F"/>
    <w:rsid w:val="00741F18"/>
    <w:rsid w:val="007472C1"/>
    <w:rsid w:val="007535BB"/>
    <w:rsid w:val="007611FE"/>
    <w:rsid w:val="00777E1D"/>
    <w:rsid w:val="00785050"/>
    <w:rsid w:val="00793E19"/>
    <w:rsid w:val="00794302"/>
    <w:rsid w:val="007B4C52"/>
    <w:rsid w:val="007C04E5"/>
    <w:rsid w:val="007C156B"/>
    <w:rsid w:val="007C592E"/>
    <w:rsid w:val="007D0BAB"/>
    <w:rsid w:val="007D5A59"/>
    <w:rsid w:val="007E17BE"/>
    <w:rsid w:val="007E3B6D"/>
    <w:rsid w:val="007F0829"/>
    <w:rsid w:val="007F62AB"/>
    <w:rsid w:val="00801610"/>
    <w:rsid w:val="00803A23"/>
    <w:rsid w:val="008061C2"/>
    <w:rsid w:val="00815BF2"/>
    <w:rsid w:val="008174F0"/>
    <w:rsid w:val="00820C41"/>
    <w:rsid w:val="008235BE"/>
    <w:rsid w:val="00825E79"/>
    <w:rsid w:val="00855CD6"/>
    <w:rsid w:val="0086515A"/>
    <w:rsid w:val="00865634"/>
    <w:rsid w:val="008A13DC"/>
    <w:rsid w:val="008A154B"/>
    <w:rsid w:val="008A40E0"/>
    <w:rsid w:val="008C18B2"/>
    <w:rsid w:val="008C331F"/>
    <w:rsid w:val="008C39D5"/>
    <w:rsid w:val="008D1E01"/>
    <w:rsid w:val="008E051A"/>
    <w:rsid w:val="008F717C"/>
    <w:rsid w:val="00904165"/>
    <w:rsid w:val="00905655"/>
    <w:rsid w:val="00907E93"/>
    <w:rsid w:val="009133CF"/>
    <w:rsid w:val="009154BD"/>
    <w:rsid w:val="0092080B"/>
    <w:rsid w:val="009313EE"/>
    <w:rsid w:val="009374E4"/>
    <w:rsid w:val="00940E84"/>
    <w:rsid w:val="00946BB4"/>
    <w:rsid w:val="00946E55"/>
    <w:rsid w:val="0096171F"/>
    <w:rsid w:val="009645CD"/>
    <w:rsid w:val="00967A6B"/>
    <w:rsid w:val="00970DEB"/>
    <w:rsid w:val="00981A1F"/>
    <w:rsid w:val="00984F56"/>
    <w:rsid w:val="009A08E8"/>
    <w:rsid w:val="009A4A2C"/>
    <w:rsid w:val="009A4FB3"/>
    <w:rsid w:val="009B5669"/>
    <w:rsid w:val="009B619C"/>
    <w:rsid w:val="009C455C"/>
    <w:rsid w:val="009E20DD"/>
    <w:rsid w:val="009E2B9D"/>
    <w:rsid w:val="009E77E5"/>
    <w:rsid w:val="009F15D0"/>
    <w:rsid w:val="009F427F"/>
    <w:rsid w:val="009F47AE"/>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42101"/>
    <w:rsid w:val="00A46E6A"/>
    <w:rsid w:val="00A4789D"/>
    <w:rsid w:val="00A52A66"/>
    <w:rsid w:val="00A52CD9"/>
    <w:rsid w:val="00A6445C"/>
    <w:rsid w:val="00A83C12"/>
    <w:rsid w:val="00A870EF"/>
    <w:rsid w:val="00A90DAD"/>
    <w:rsid w:val="00A93C47"/>
    <w:rsid w:val="00AA0006"/>
    <w:rsid w:val="00AA2FC3"/>
    <w:rsid w:val="00AB2E69"/>
    <w:rsid w:val="00AC3813"/>
    <w:rsid w:val="00AD076F"/>
    <w:rsid w:val="00AD4607"/>
    <w:rsid w:val="00AD4B71"/>
    <w:rsid w:val="00AE555C"/>
    <w:rsid w:val="00AF12FB"/>
    <w:rsid w:val="00AF3BF8"/>
    <w:rsid w:val="00AF56F5"/>
    <w:rsid w:val="00AF7DB8"/>
    <w:rsid w:val="00B03E1C"/>
    <w:rsid w:val="00B216D4"/>
    <w:rsid w:val="00B21F9C"/>
    <w:rsid w:val="00B24B05"/>
    <w:rsid w:val="00B25721"/>
    <w:rsid w:val="00B275B1"/>
    <w:rsid w:val="00B316DC"/>
    <w:rsid w:val="00B36F9D"/>
    <w:rsid w:val="00B37EF9"/>
    <w:rsid w:val="00B406ED"/>
    <w:rsid w:val="00B46464"/>
    <w:rsid w:val="00B47BDF"/>
    <w:rsid w:val="00B571D9"/>
    <w:rsid w:val="00B57451"/>
    <w:rsid w:val="00B6135D"/>
    <w:rsid w:val="00B64F4A"/>
    <w:rsid w:val="00B70EB9"/>
    <w:rsid w:val="00B807DC"/>
    <w:rsid w:val="00B8514B"/>
    <w:rsid w:val="00B8540B"/>
    <w:rsid w:val="00BA03DB"/>
    <w:rsid w:val="00BA0F95"/>
    <w:rsid w:val="00BA43F4"/>
    <w:rsid w:val="00BB20A7"/>
    <w:rsid w:val="00BB6946"/>
    <w:rsid w:val="00BB7826"/>
    <w:rsid w:val="00BC7625"/>
    <w:rsid w:val="00BD3BEF"/>
    <w:rsid w:val="00BE1535"/>
    <w:rsid w:val="00BF3095"/>
    <w:rsid w:val="00BF358A"/>
    <w:rsid w:val="00C0210B"/>
    <w:rsid w:val="00C11F88"/>
    <w:rsid w:val="00C20997"/>
    <w:rsid w:val="00C21A5A"/>
    <w:rsid w:val="00C22AFC"/>
    <w:rsid w:val="00C32ECE"/>
    <w:rsid w:val="00C41CC9"/>
    <w:rsid w:val="00C4275E"/>
    <w:rsid w:val="00C6071A"/>
    <w:rsid w:val="00C65A5F"/>
    <w:rsid w:val="00C7303D"/>
    <w:rsid w:val="00C760D6"/>
    <w:rsid w:val="00C869B3"/>
    <w:rsid w:val="00C86FB5"/>
    <w:rsid w:val="00C9772C"/>
    <w:rsid w:val="00CA1098"/>
    <w:rsid w:val="00CA5E1E"/>
    <w:rsid w:val="00CA6DDD"/>
    <w:rsid w:val="00CB5806"/>
    <w:rsid w:val="00CC4859"/>
    <w:rsid w:val="00CE532D"/>
    <w:rsid w:val="00CE7DA0"/>
    <w:rsid w:val="00CF32AA"/>
    <w:rsid w:val="00CF4C00"/>
    <w:rsid w:val="00D0004D"/>
    <w:rsid w:val="00D01A55"/>
    <w:rsid w:val="00D01CC6"/>
    <w:rsid w:val="00D12BFA"/>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37D6"/>
    <w:rsid w:val="00DB4C88"/>
    <w:rsid w:val="00DC2909"/>
    <w:rsid w:val="00DC7D84"/>
    <w:rsid w:val="00DD122E"/>
    <w:rsid w:val="00DD48C9"/>
    <w:rsid w:val="00DD58BD"/>
    <w:rsid w:val="00DE189A"/>
    <w:rsid w:val="00DE6362"/>
    <w:rsid w:val="00DE6EB4"/>
    <w:rsid w:val="00DF0352"/>
    <w:rsid w:val="00DF45DC"/>
    <w:rsid w:val="00E14B9C"/>
    <w:rsid w:val="00E16605"/>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C743B"/>
    <w:rsid w:val="00EE4536"/>
    <w:rsid w:val="00EE7574"/>
    <w:rsid w:val="00EF237A"/>
    <w:rsid w:val="00EF62F7"/>
    <w:rsid w:val="00F02F4A"/>
    <w:rsid w:val="00F042CB"/>
    <w:rsid w:val="00F04BBF"/>
    <w:rsid w:val="00F3003D"/>
    <w:rsid w:val="00F44E24"/>
    <w:rsid w:val="00F4638C"/>
    <w:rsid w:val="00F4686E"/>
    <w:rsid w:val="00F566F4"/>
    <w:rsid w:val="00F65FAA"/>
    <w:rsid w:val="00F816B8"/>
    <w:rsid w:val="00F85B37"/>
    <w:rsid w:val="00F86C0C"/>
    <w:rsid w:val="00F90AAD"/>
    <w:rsid w:val="00F969D4"/>
    <w:rsid w:val="00FB10AE"/>
    <w:rsid w:val="00FB3617"/>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AF3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4SQX5P7U7WPY-958212181-817410</_dlc_DocId>
    <_dlc_DocIdUrl xmlns="c890fddd-4e87-4e08-8b51-545f2a3f7b06">
      <Url>https://senpr.sharepoint.com/sites/obralegislativa/_layouts/15/DocIdRedir.aspx?ID=4SQX5P7U7WPY-958212181-817410</Url>
      <Description>4SQX5P7U7WPY-958212181-817410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7426F3-84C1-4183-8F14-6AFB3A77396A}"/>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99F79CF1-1017-4962-9A31-AA4C0627B900}"/>
</file>

<file path=docProps/app.xml><?xml version="1.0" encoding="utf-8"?>
<Properties xmlns="http://schemas.openxmlformats.org/officeDocument/2006/extended-properties" xmlns:vt="http://schemas.openxmlformats.org/officeDocument/2006/docPropsVTypes">
  <Template>Medida-V2009</Template>
  <TotalTime>1</TotalTime>
  <Pages>9</Pages>
  <Words>2955</Words>
  <Characters>14942</Characters>
  <Application>Microsoft Office Word</Application>
  <DocSecurity>0</DocSecurity>
  <Lines>124</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2025-08-14T19:04:00Z</dcterms:created>
  <dcterms:modified xsi:type="dcterms:W3CDTF">2025-08-14T19:04:00Z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079eedc0-4b2e-4732-9bf1-59cf85cbd066</vt:lpwstr>
  </property>
  <property fmtid="{D5CDD505-2E9C-101B-9397-08002B2CF9AE}" pid="4" name="MediaServiceImageTags">
    <vt:lpwstr/>
  </property>
</Properties>
</file>