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0D126151"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1757A2">
        <w:rPr>
          <w:rFonts w:ascii="Book Antiqua" w:hAnsi="Book Antiqua"/>
          <w:lang w:val="es-ES_tradnl"/>
        </w:rPr>
        <w:t>2</w:t>
      </w:r>
      <w:r>
        <w:rPr>
          <w:rFonts w:ascii="Book Antiqua" w:hAnsi="Book Antiqua"/>
          <w:lang w:val="es-ES_tradnl"/>
        </w:rPr>
        <w:t xml:space="preserve"> </w:t>
      </w:r>
      <w:r w:rsidR="001757A2">
        <w:rPr>
          <w:rFonts w:ascii="Book Antiqua" w:hAnsi="Book Antiqua"/>
          <w:vertAlign w:val="superscript"/>
          <w:lang w:val="es-ES_tradnl"/>
        </w:rPr>
        <w:t>da</w:t>
      </w:r>
      <w:r>
        <w:rPr>
          <w:rFonts w:ascii="Book Antiqua" w:hAnsi="Book Antiqua"/>
          <w:vertAlign w:val="superscript"/>
          <w:lang w:val="es-ES_tradnl"/>
        </w:rPr>
        <w:t>.</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5F3FBC6D" w:rsidR="000F6729"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P. de</w:t>
      </w:r>
      <w:r w:rsidR="005D4D15">
        <w:rPr>
          <w:rFonts w:ascii="Book Antiqua" w:hAnsi="Book Antiqua"/>
          <w:b/>
          <w:sz w:val="52"/>
          <w:szCs w:val="52"/>
          <w:lang w:val="es-ES_tradnl"/>
        </w:rPr>
        <w:t xml:space="preserve"> </w:t>
      </w:r>
      <w:r w:rsidRPr="00BC74F8">
        <w:rPr>
          <w:rFonts w:ascii="Book Antiqua" w:hAnsi="Book Antiqua"/>
          <w:b/>
          <w:sz w:val="52"/>
          <w:szCs w:val="52"/>
          <w:lang w:val="es-ES_tradnl"/>
        </w:rPr>
        <w:t>l</w:t>
      </w:r>
      <w:r w:rsidR="005D4D15">
        <w:rPr>
          <w:rFonts w:ascii="Book Antiqua" w:hAnsi="Book Antiqua"/>
          <w:b/>
          <w:sz w:val="52"/>
          <w:szCs w:val="52"/>
          <w:lang w:val="es-ES_tradnl"/>
        </w:rPr>
        <w:t>a</w:t>
      </w:r>
      <w:r w:rsidRPr="00BC74F8">
        <w:rPr>
          <w:rFonts w:ascii="Book Antiqua" w:hAnsi="Book Antiqua"/>
          <w:b/>
          <w:sz w:val="52"/>
          <w:szCs w:val="52"/>
          <w:lang w:val="es-ES_tradnl"/>
        </w:rPr>
        <w:t xml:space="preserve"> </w:t>
      </w:r>
      <w:r w:rsidR="005D4D15">
        <w:rPr>
          <w:rFonts w:ascii="Book Antiqua" w:hAnsi="Book Antiqua"/>
          <w:b/>
          <w:sz w:val="52"/>
          <w:szCs w:val="52"/>
          <w:lang w:val="es-ES_tradnl"/>
        </w:rPr>
        <w:t>C</w:t>
      </w:r>
      <w:r w:rsidRPr="00BC74F8">
        <w:rPr>
          <w:rFonts w:ascii="Book Antiqua" w:hAnsi="Book Antiqua"/>
          <w:b/>
          <w:sz w:val="52"/>
          <w:szCs w:val="52"/>
          <w:lang w:val="es-ES_tradnl"/>
        </w:rPr>
        <w:t xml:space="preserve">. </w:t>
      </w:r>
      <w:r w:rsidR="005D4D15">
        <w:rPr>
          <w:rFonts w:ascii="Book Antiqua" w:hAnsi="Book Antiqua"/>
          <w:b/>
          <w:sz w:val="52"/>
          <w:szCs w:val="52"/>
          <w:lang w:val="es-ES_tradnl"/>
        </w:rPr>
        <w:t>200</w:t>
      </w:r>
    </w:p>
    <w:p w14:paraId="4257DA47" w14:textId="5C68A7A0" w:rsidR="00365E0C" w:rsidRPr="00365E0C" w:rsidRDefault="00E12FBD" w:rsidP="000F6729">
      <w:pPr>
        <w:spacing w:line="360" w:lineRule="auto"/>
        <w:jc w:val="center"/>
        <w:rPr>
          <w:rFonts w:ascii="Book Antiqua" w:hAnsi="Book Antiqua"/>
          <w:b/>
          <w:sz w:val="28"/>
          <w:szCs w:val="28"/>
          <w:lang w:val="es-ES_tradnl"/>
        </w:rPr>
      </w:pPr>
      <w:r>
        <w:rPr>
          <w:rFonts w:ascii="Book Antiqua" w:hAnsi="Book Antiqua"/>
          <w:b/>
          <w:sz w:val="28"/>
          <w:szCs w:val="28"/>
          <w:lang w:val="es-ES_tradnl"/>
        </w:rPr>
        <w:t>INFORME POSITIVO</w:t>
      </w:r>
    </w:p>
    <w:p w14:paraId="77734161" w14:textId="1B713665" w:rsidR="000F6729" w:rsidRPr="007E538D" w:rsidRDefault="00494D8B" w:rsidP="007E538D">
      <w:pPr>
        <w:spacing w:line="360" w:lineRule="auto"/>
        <w:jc w:val="center"/>
        <w:rPr>
          <w:rFonts w:ascii="Book Antiqua" w:hAnsi="Book Antiqua"/>
          <w:i/>
          <w:szCs w:val="24"/>
          <w:lang w:val="es-419"/>
        </w:rPr>
      </w:pPr>
      <w:r>
        <w:rPr>
          <w:rFonts w:ascii="Book Antiqua" w:hAnsi="Book Antiqua"/>
          <w:lang w:val="es-ES_tradnl"/>
        </w:rPr>
        <w:t>1 de octubre</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14E07B01" w:rsidR="001D401B" w:rsidRPr="005D4D15" w:rsidRDefault="00F269DA" w:rsidP="001D401B">
      <w:pPr>
        <w:tabs>
          <w:tab w:val="left" w:pos="-720"/>
        </w:tabs>
        <w:suppressAutoHyphens/>
        <w:spacing w:before="120" w:after="120"/>
        <w:jc w:val="both"/>
        <w:rPr>
          <w:rFonts w:ascii="Book Antiqua" w:hAnsi="Book Antiqua"/>
          <w:bCs/>
          <w:szCs w:val="24"/>
          <w:lang w:val="es-ES_tradnl"/>
        </w:rPr>
      </w:pPr>
      <w:r>
        <w:rPr>
          <w:rFonts w:ascii="Book Antiqua" w:hAnsi="Book Antiqua"/>
          <w:bCs/>
          <w:szCs w:val="24"/>
          <w:lang w:val="es-ES_tradnl"/>
        </w:rPr>
        <w:tab/>
      </w:r>
      <w:r w:rsidR="00DE2902" w:rsidRPr="00F1366C">
        <w:rPr>
          <w:rFonts w:ascii="Book Antiqua" w:hAnsi="Book Antiqua"/>
          <w:bCs/>
          <w:szCs w:val="24"/>
          <w:lang w:val="es-ES_tradnl"/>
        </w:rPr>
        <w:t xml:space="preserve">La Comisión de </w:t>
      </w:r>
      <w:r w:rsidR="00BB2EDB" w:rsidRPr="00F1366C">
        <w:rPr>
          <w:rFonts w:ascii="Book Antiqua" w:hAnsi="Book Antiqua"/>
          <w:bCs/>
          <w:szCs w:val="24"/>
          <w:lang w:val="es-ES_tradnl"/>
        </w:rPr>
        <w:t xml:space="preserve">Educación, Arte y Cultura </w:t>
      </w:r>
      <w:r w:rsidR="00DE2902" w:rsidRPr="00F1366C">
        <w:rPr>
          <w:rFonts w:ascii="Book Antiqua" w:hAnsi="Book Antiqua"/>
          <w:bCs/>
          <w:szCs w:val="24"/>
          <w:lang w:val="es-ES_tradnl"/>
        </w:rPr>
        <w:t>del Senado de Puerto Rico, previo estudio y consideración</w:t>
      </w:r>
      <w:r w:rsidR="006A6960" w:rsidRPr="00F1366C">
        <w:rPr>
          <w:rFonts w:ascii="Book Antiqua" w:hAnsi="Book Antiqua"/>
          <w:bCs/>
          <w:szCs w:val="24"/>
          <w:lang w:val="es-ES_tradnl"/>
        </w:rPr>
        <w:t xml:space="preserve"> del Proyecto de</w:t>
      </w:r>
      <w:r w:rsidR="005D4D15">
        <w:rPr>
          <w:rFonts w:ascii="Book Antiqua" w:hAnsi="Book Antiqua"/>
          <w:bCs/>
          <w:szCs w:val="24"/>
          <w:lang w:val="es-ES_tradnl"/>
        </w:rPr>
        <w:t xml:space="preserve"> </w:t>
      </w:r>
      <w:r w:rsidR="006A6960" w:rsidRPr="00F1366C">
        <w:rPr>
          <w:rFonts w:ascii="Book Antiqua" w:hAnsi="Book Antiqua"/>
          <w:bCs/>
          <w:szCs w:val="24"/>
          <w:lang w:val="es-ES_tradnl"/>
        </w:rPr>
        <w:t>l</w:t>
      </w:r>
      <w:r w:rsidR="005D4D15">
        <w:rPr>
          <w:rFonts w:ascii="Book Antiqua" w:hAnsi="Book Antiqua"/>
          <w:bCs/>
          <w:szCs w:val="24"/>
          <w:lang w:val="es-ES_tradnl"/>
        </w:rPr>
        <w:t>a</w:t>
      </w:r>
      <w:r w:rsidR="006A6960" w:rsidRPr="00F1366C">
        <w:rPr>
          <w:rFonts w:ascii="Book Antiqua" w:hAnsi="Book Antiqua"/>
          <w:bCs/>
          <w:szCs w:val="24"/>
          <w:lang w:val="es-ES_tradnl"/>
        </w:rPr>
        <w:t xml:space="preserve"> </w:t>
      </w:r>
      <w:r w:rsidR="005D4D15">
        <w:rPr>
          <w:rFonts w:ascii="Book Antiqua" w:hAnsi="Book Antiqua"/>
          <w:bCs/>
          <w:szCs w:val="24"/>
          <w:lang w:val="es-ES_tradnl"/>
        </w:rPr>
        <w:t>Cámara</w:t>
      </w:r>
      <w:r w:rsidR="006A6960" w:rsidRPr="00F1366C">
        <w:rPr>
          <w:rFonts w:ascii="Book Antiqua" w:hAnsi="Book Antiqua"/>
          <w:bCs/>
          <w:szCs w:val="24"/>
          <w:lang w:val="es-ES_tradnl"/>
        </w:rPr>
        <w:t xml:space="preserve"> </w:t>
      </w:r>
      <w:r w:rsidR="00F1366C">
        <w:rPr>
          <w:rFonts w:ascii="Book Antiqua" w:hAnsi="Book Antiqua"/>
          <w:bCs/>
          <w:szCs w:val="24"/>
          <w:lang w:val="es-ES_tradnl"/>
        </w:rPr>
        <w:t>2</w:t>
      </w:r>
      <w:r w:rsidR="00513999">
        <w:rPr>
          <w:rFonts w:ascii="Book Antiqua" w:hAnsi="Book Antiqua"/>
          <w:bCs/>
          <w:szCs w:val="24"/>
          <w:lang w:val="es-ES_tradnl"/>
        </w:rPr>
        <w:t>00</w:t>
      </w:r>
      <w:r w:rsidR="00DE2902" w:rsidRPr="00F1366C">
        <w:rPr>
          <w:rFonts w:ascii="Book Antiqua" w:hAnsi="Book Antiqua"/>
          <w:bCs/>
          <w:szCs w:val="24"/>
          <w:lang w:val="es-ES_tradnl"/>
        </w:rPr>
        <w:t>,</w:t>
      </w:r>
      <w:r w:rsidR="006A6960" w:rsidRPr="00F1366C">
        <w:rPr>
          <w:rFonts w:ascii="Book Antiqua" w:hAnsi="Book Antiqua"/>
          <w:bCs/>
          <w:szCs w:val="24"/>
          <w:lang w:val="es-ES_tradnl"/>
        </w:rPr>
        <w:t xml:space="preserve"> presenta a este Alto Cuerpo Legislativo el Informe Positivo de la presente medida,</w:t>
      </w:r>
      <w:r w:rsidRPr="00F1366C">
        <w:rPr>
          <w:rFonts w:ascii="Book Antiqua" w:hAnsi="Book Antiqua"/>
          <w:szCs w:val="24"/>
          <w:lang w:val="es-PR"/>
        </w:rPr>
        <w:t xml:space="preserve"> </w:t>
      </w:r>
      <w:r w:rsidR="001D401B" w:rsidRPr="00F1366C">
        <w:rPr>
          <w:rFonts w:ascii="Book Antiqua" w:hAnsi="Book Antiqua"/>
          <w:szCs w:val="24"/>
          <w:lang w:val="es-PR"/>
        </w:rPr>
        <w:t xml:space="preserve">con las enmiendas contenidas en el </w:t>
      </w:r>
      <w:proofErr w:type="spellStart"/>
      <w:r w:rsidR="001D401B" w:rsidRPr="00F1366C">
        <w:rPr>
          <w:rFonts w:ascii="Book Antiqua" w:hAnsi="Book Antiqua"/>
          <w:szCs w:val="24"/>
          <w:lang w:val="es-PR"/>
        </w:rPr>
        <w:t>entirillado</w:t>
      </w:r>
      <w:proofErr w:type="spellEnd"/>
      <w:r w:rsidR="001D401B" w:rsidRPr="00F1366C">
        <w:rPr>
          <w:rFonts w:ascii="Book Antiqua" w:hAnsi="Book Antiqua"/>
          <w:szCs w:val="24"/>
          <w:lang w:val="es-PR"/>
        </w:rPr>
        <w:t xml:space="preserve">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6C5CEDDB" w14:textId="77777777" w:rsidR="00DF7AF5" w:rsidRPr="00BF1DCC" w:rsidRDefault="00B5351A" w:rsidP="0063205D">
      <w:pPr>
        <w:ind w:firstLine="540"/>
        <w:jc w:val="both"/>
        <w:rPr>
          <w:rFonts w:ascii="Book Antiqua" w:hAnsi="Book Antiqua"/>
          <w:szCs w:val="24"/>
          <w:lang w:val="es-ES_tradnl"/>
        </w:rPr>
      </w:pPr>
      <w:r w:rsidRPr="00B5351A">
        <w:rPr>
          <w:rFonts w:ascii="Book Antiqua" w:hAnsi="Book Antiqua"/>
          <w:bCs/>
          <w:szCs w:val="24"/>
          <w:lang w:val="es-ES_tradnl"/>
        </w:rPr>
        <w:t>El Proyecto de</w:t>
      </w:r>
      <w:r w:rsidR="00513999">
        <w:rPr>
          <w:rFonts w:ascii="Book Antiqua" w:hAnsi="Book Antiqua"/>
          <w:bCs/>
          <w:szCs w:val="24"/>
          <w:lang w:val="es-ES_tradnl"/>
        </w:rPr>
        <w:t xml:space="preserve"> </w:t>
      </w:r>
      <w:r w:rsidRPr="00B5351A">
        <w:rPr>
          <w:rFonts w:ascii="Book Antiqua" w:hAnsi="Book Antiqua"/>
          <w:bCs/>
          <w:szCs w:val="24"/>
          <w:lang w:val="es-ES_tradnl"/>
        </w:rPr>
        <w:t>l</w:t>
      </w:r>
      <w:r w:rsidR="00513999">
        <w:rPr>
          <w:rFonts w:ascii="Book Antiqua" w:hAnsi="Book Antiqua"/>
          <w:bCs/>
          <w:szCs w:val="24"/>
          <w:lang w:val="es-ES_tradnl"/>
        </w:rPr>
        <w:t>a</w:t>
      </w:r>
      <w:r w:rsidRPr="00B5351A">
        <w:rPr>
          <w:rFonts w:ascii="Book Antiqua" w:hAnsi="Book Antiqua"/>
          <w:bCs/>
          <w:szCs w:val="24"/>
          <w:lang w:val="es-ES_tradnl"/>
        </w:rPr>
        <w:t xml:space="preserve"> </w:t>
      </w:r>
      <w:r w:rsidR="00513999">
        <w:rPr>
          <w:rFonts w:ascii="Book Antiqua" w:hAnsi="Book Antiqua"/>
          <w:bCs/>
          <w:szCs w:val="24"/>
          <w:lang w:val="es-ES_tradnl"/>
        </w:rPr>
        <w:t>Cámara</w:t>
      </w:r>
      <w:r w:rsidRPr="00B5351A">
        <w:rPr>
          <w:rFonts w:ascii="Book Antiqua" w:hAnsi="Book Antiqua"/>
          <w:bCs/>
          <w:szCs w:val="24"/>
          <w:lang w:val="es-ES_tradnl"/>
        </w:rPr>
        <w:t xml:space="preserve"> 2</w:t>
      </w:r>
      <w:r w:rsidR="00E31E46">
        <w:rPr>
          <w:rFonts w:ascii="Book Antiqua" w:hAnsi="Book Antiqua"/>
          <w:bCs/>
          <w:szCs w:val="24"/>
          <w:lang w:val="es-ES_tradnl"/>
        </w:rPr>
        <w:t>00</w:t>
      </w:r>
      <w:r w:rsidRPr="00B5351A">
        <w:rPr>
          <w:rFonts w:ascii="Book Antiqua" w:hAnsi="Book Antiqua"/>
          <w:bCs/>
          <w:szCs w:val="24"/>
          <w:lang w:val="es-ES_tradnl"/>
        </w:rPr>
        <w:t xml:space="preserve"> tiene como propósito </w:t>
      </w:r>
      <w:r w:rsidR="00DF7AF5" w:rsidRPr="00BF1DCC">
        <w:rPr>
          <w:rFonts w:ascii="Book Antiqua" w:hAnsi="Book Antiqua"/>
          <w:szCs w:val="24"/>
          <w:lang w:val="es-ES_tradnl"/>
        </w:rPr>
        <w:t xml:space="preserve">añadir un nuevo </w:t>
      </w:r>
      <w:proofErr w:type="spellStart"/>
      <w:r w:rsidR="00DF7AF5" w:rsidRPr="00BF1DCC">
        <w:rPr>
          <w:rFonts w:ascii="Book Antiqua" w:hAnsi="Book Antiqua"/>
          <w:szCs w:val="24"/>
          <w:lang w:val="es-ES_tradnl"/>
        </w:rPr>
        <w:t>subinciso</w:t>
      </w:r>
      <w:proofErr w:type="spellEnd"/>
      <w:r w:rsidR="00DF7AF5" w:rsidRPr="00BF1DCC">
        <w:rPr>
          <w:rFonts w:ascii="Book Antiqua" w:hAnsi="Book Antiqua"/>
          <w:szCs w:val="24"/>
          <w:lang w:val="es-ES_tradnl"/>
        </w:rPr>
        <w:t xml:space="preserve">  </w:t>
      </w:r>
      <w:r w:rsidR="00DF7AF5" w:rsidRPr="00BF1DCC">
        <w:rPr>
          <w:rFonts w:ascii="Book Antiqua" w:hAnsi="Book Antiqua"/>
          <w:szCs w:val="24"/>
          <w:lang w:val="es-PR"/>
        </w:rPr>
        <w:t>(69) al inciso (b)</w:t>
      </w:r>
      <w:r w:rsidR="00DF7AF5" w:rsidRPr="00BF1DCC">
        <w:rPr>
          <w:rFonts w:ascii="Book Antiqua" w:hAnsi="Book Antiqua"/>
          <w:szCs w:val="24"/>
          <w:lang w:val="es-ES_tradnl"/>
        </w:rPr>
        <w:t xml:space="preserve"> del Artículo 2.04 de la Ley Núm. 85-2018, denominada “Ley de Reforma Educativa de Puerto Rico”, según enmendada, y enmendar e</w:t>
      </w:r>
      <w:r w:rsidR="00DF7AF5" w:rsidRPr="00BF1DCC">
        <w:rPr>
          <w:rFonts w:ascii="Book Antiqua" w:hAnsi="Book Antiqua"/>
          <w:szCs w:val="24"/>
          <w:lang w:val="es-PR"/>
        </w:rPr>
        <w:t>l inciso (</w:t>
      </w:r>
      <w:proofErr w:type="spellStart"/>
      <w:r w:rsidR="00DF7AF5" w:rsidRPr="00BF1DCC">
        <w:rPr>
          <w:rFonts w:ascii="Book Antiqua" w:hAnsi="Book Antiqua"/>
          <w:szCs w:val="24"/>
          <w:lang w:val="es-PR"/>
        </w:rPr>
        <w:t>dd</w:t>
      </w:r>
      <w:proofErr w:type="spellEnd"/>
      <w:r w:rsidR="00DF7AF5" w:rsidRPr="00BF1DCC">
        <w:rPr>
          <w:rFonts w:ascii="Book Antiqua" w:hAnsi="Book Antiqua"/>
          <w:szCs w:val="24"/>
          <w:lang w:val="es-PR"/>
        </w:rPr>
        <w:t xml:space="preserve">) del Artículo 3 de la Ley 160-2020, </w:t>
      </w:r>
      <w:r w:rsidR="00DF7AF5" w:rsidRPr="00BF1DCC">
        <w:rPr>
          <w:rFonts w:ascii="Book Antiqua" w:hAnsi="Book Antiqua"/>
          <w:szCs w:val="24"/>
          <w:lang w:val="es-ES_tradnl"/>
        </w:rPr>
        <w:t>denominada “Carta de Derechos de los Maestros del Sistema Público de Enseñanza”, con el fin de establecer un término temporal máximo durante el cual una persona empleada por el Departamento de Educación podrá permanecer aislada o trasladada temporeramente del área de trabajo como parte de una medida cautelar, de manera que se garantice el derecho al Debido Proceso de Ley del personal docente; y para decretar otras disposiciones complementarias.</w:t>
      </w:r>
    </w:p>
    <w:p w14:paraId="3B3470BE" w14:textId="441DE571" w:rsidR="00513999" w:rsidRDefault="00513999" w:rsidP="00B5351A">
      <w:pPr>
        <w:ind w:firstLine="540"/>
        <w:jc w:val="both"/>
        <w:rPr>
          <w:rFonts w:ascii="Book Antiqua" w:hAnsi="Book Antiqua"/>
          <w:bCs/>
          <w:szCs w:val="24"/>
          <w:lang w:val="es-ES_tradnl"/>
        </w:rPr>
      </w:pPr>
    </w:p>
    <w:p w14:paraId="3566A56C" w14:textId="77777777" w:rsidR="00FB54A5" w:rsidRPr="00B5351A" w:rsidRDefault="00FB54A5" w:rsidP="00816D27">
      <w:pPr>
        <w:ind w:firstLine="540"/>
        <w:jc w:val="both"/>
        <w:rPr>
          <w:rFonts w:ascii="Book Antiqua" w:hAnsi="Book Antiqua"/>
          <w:bCs/>
          <w:szCs w:val="24"/>
          <w:lang w:val="es-ES_tradnl"/>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A11E4">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1E40F2C4" w14:textId="77777777" w:rsidR="005A11E4" w:rsidRDefault="005A11E4" w:rsidP="005A11E4">
      <w:pPr>
        <w:jc w:val="both"/>
        <w:rPr>
          <w:rFonts w:ascii="Book Antiqua" w:hAnsi="Book Antiqua"/>
          <w:iCs/>
          <w:spacing w:val="-3"/>
          <w:szCs w:val="24"/>
          <w:lang w:val="es-PR"/>
        </w:rPr>
      </w:pPr>
    </w:p>
    <w:p w14:paraId="2722E2E9" w14:textId="2289DF1C" w:rsidR="005A11E4" w:rsidRPr="005A11E4" w:rsidRDefault="005A11E4" w:rsidP="005A11E4">
      <w:pPr>
        <w:ind w:firstLine="720"/>
        <w:jc w:val="both"/>
        <w:rPr>
          <w:rFonts w:ascii="Book Antiqua" w:hAnsi="Book Antiqua"/>
          <w:iCs/>
          <w:spacing w:val="-3"/>
          <w:szCs w:val="24"/>
          <w:lang w:val="es-PR"/>
        </w:rPr>
      </w:pPr>
      <w:r w:rsidRPr="005A11E4">
        <w:rPr>
          <w:rFonts w:ascii="Book Antiqua" w:hAnsi="Book Antiqua"/>
          <w:iCs/>
          <w:spacing w:val="-3"/>
          <w:szCs w:val="24"/>
          <w:lang w:val="es-PR"/>
        </w:rPr>
        <w:t xml:space="preserve">La presente medida reviste un alto grado de pertinencia y mérito, toda vez que responde a una problemática real y documentada en el sistema educativo de Puerto Rico. </w:t>
      </w:r>
      <w:r w:rsidRPr="005A11E4">
        <w:rPr>
          <w:rFonts w:ascii="Book Antiqua" w:hAnsi="Book Antiqua"/>
          <w:iCs/>
          <w:spacing w:val="-3"/>
          <w:szCs w:val="24"/>
          <w:lang w:val="es-PR"/>
        </w:rPr>
        <w:lastRenderedPageBreak/>
        <w:t>La “Ley de Reforma Educativa de Puerto Rico”, según enmendada, así como el Reglamento 7565 sobre Medidas Correctivas y Acciones Disciplinarias del Departamento de Educación, establecen mecanismos de control para atender situaciones que requieren acciones inmediatas con el fin de proteger la seguridad, el orden y el buen funcionamiento de la comunidad escolar. Entre esas acciones, se contempla la separación temporal del área de trabajo de un empleado como medida cautelar. No obstante, la normativa vigente carece de un término máximo que delimite la extensión de dicha separación, lo cual ha generado casos en los que docentes han permanecido aislados de sus funciones por periodos excesivos, incluso superiores a cinco años, sin que se adjudique la querella presentada en su contra.</w:t>
      </w:r>
    </w:p>
    <w:p w14:paraId="14800AC6" w14:textId="77777777" w:rsidR="005A11E4" w:rsidRDefault="005A11E4" w:rsidP="005A11E4">
      <w:pPr>
        <w:jc w:val="both"/>
        <w:rPr>
          <w:rFonts w:ascii="Book Antiqua" w:hAnsi="Book Antiqua"/>
          <w:iCs/>
          <w:spacing w:val="-3"/>
          <w:szCs w:val="24"/>
          <w:lang w:val="es-PR"/>
        </w:rPr>
      </w:pPr>
    </w:p>
    <w:p w14:paraId="0067D665" w14:textId="5E9EFDEB" w:rsidR="005A11E4" w:rsidRPr="005A11E4" w:rsidRDefault="005A11E4" w:rsidP="005A11E4">
      <w:pPr>
        <w:ind w:firstLine="720"/>
        <w:jc w:val="both"/>
        <w:rPr>
          <w:rFonts w:ascii="Book Antiqua" w:hAnsi="Book Antiqua"/>
          <w:iCs/>
          <w:spacing w:val="-3"/>
          <w:szCs w:val="24"/>
          <w:lang w:val="es-PR"/>
        </w:rPr>
      </w:pPr>
      <w:r w:rsidRPr="005A11E4">
        <w:rPr>
          <w:rFonts w:ascii="Book Antiqua" w:hAnsi="Book Antiqua"/>
          <w:iCs/>
          <w:spacing w:val="-3"/>
          <w:szCs w:val="24"/>
          <w:lang w:val="es-PR"/>
        </w:rPr>
        <w:t>La ausencia de un límite temporal para estas medidas cautelares ha resultado en dilaciones arbitrarias que menoscaban derechos fundamentales del magisterio, en particular el derecho constitucional al debido proceso de ley. Asimismo, se afecta el derecho propietario sobre la plaza docente, que constituye una garantía esencial en la carrera del personal del sistema público de enseñanza. El propio récord legislativo recoge que, a inicios de 2023, se contabilizaban aproximadamente cien empleados separados de su área de trabajo bajo esta modalidad, sin que mediara una actualización o resolución oportuna de los señalamientos en su contra.</w:t>
      </w:r>
    </w:p>
    <w:p w14:paraId="591D491C" w14:textId="77777777" w:rsidR="005A11E4" w:rsidRDefault="005A11E4" w:rsidP="005A11E4">
      <w:pPr>
        <w:jc w:val="both"/>
        <w:rPr>
          <w:rFonts w:ascii="Book Antiqua" w:hAnsi="Book Antiqua"/>
          <w:iCs/>
          <w:spacing w:val="-3"/>
          <w:szCs w:val="24"/>
          <w:lang w:val="es-PR"/>
        </w:rPr>
      </w:pPr>
    </w:p>
    <w:p w14:paraId="2A989AB0" w14:textId="0F29FEB6" w:rsidR="005A11E4" w:rsidRPr="005A11E4" w:rsidRDefault="005A11E4" w:rsidP="005A11E4">
      <w:pPr>
        <w:ind w:firstLine="720"/>
        <w:jc w:val="both"/>
        <w:rPr>
          <w:rFonts w:ascii="Book Antiqua" w:hAnsi="Book Antiqua"/>
          <w:iCs/>
          <w:spacing w:val="-3"/>
          <w:szCs w:val="24"/>
          <w:lang w:val="es-PR"/>
        </w:rPr>
      </w:pPr>
      <w:r w:rsidRPr="005A11E4">
        <w:rPr>
          <w:rFonts w:ascii="Book Antiqua" w:hAnsi="Book Antiqua"/>
          <w:iCs/>
          <w:spacing w:val="-3"/>
          <w:szCs w:val="24"/>
          <w:lang w:val="es-PR"/>
        </w:rPr>
        <w:t>Es ante este escenario que la Asamblea Legislativa reconoce la necesidad impostergable de corregir dicha situación mediante la aprobación de esta Ley, cuyo objetivo principal es garantizar un término máximo durante el cual el personal docente puede ser separado del empleo como medida cautelar. La medida establece un plazo no mayor de un año natural, prorrogable únicamente por causa justificada o fuerza mayor debidamente fundamentada, de manera que se salvaguarde tanto el derecho al debido proceso de ley como la estabilidad profesional del magisterio. Este marco temporal busca asegurar que el Departamento de Educación cumpla con su deber de investigar y adjudicar con prontitud las controversias, evitando que las medidas preventivas se conviertan en sanciones de facto sin adjudicación final.</w:t>
      </w:r>
    </w:p>
    <w:p w14:paraId="05153B56" w14:textId="77777777" w:rsidR="005A11E4" w:rsidRDefault="005A11E4" w:rsidP="005A11E4">
      <w:pPr>
        <w:jc w:val="both"/>
        <w:rPr>
          <w:rFonts w:ascii="Book Antiqua" w:hAnsi="Book Antiqua"/>
          <w:iCs/>
          <w:spacing w:val="-3"/>
          <w:szCs w:val="24"/>
          <w:lang w:val="es-PR"/>
        </w:rPr>
      </w:pPr>
    </w:p>
    <w:p w14:paraId="3B731C0B" w14:textId="10BFF5FC" w:rsidR="005A11E4" w:rsidRPr="005A11E4" w:rsidRDefault="005A11E4" w:rsidP="005A11E4">
      <w:pPr>
        <w:ind w:firstLine="720"/>
        <w:jc w:val="both"/>
        <w:rPr>
          <w:rFonts w:ascii="Book Antiqua" w:hAnsi="Book Antiqua"/>
          <w:iCs/>
          <w:spacing w:val="-3"/>
          <w:szCs w:val="24"/>
          <w:lang w:val="es-PR"/>
        </w:rPr>
      </w:pPr>
      <w:r w:rsidRPr="005A11E4">
        <w:rPr>
          <w:rFonts w:ascii="Book Antiqua" w:hAnsi="Book Antiqua"/>
          <w:iCs/>
          <w:spacing w:val="-3"/>
          <w:szCs w:val="24"/>
          <w:lang w:val="es-PR"/>
        </w:rPr>
        <w:t xml:space="preserve">De igual forma, la medida enmienda la “Carta de Derechos de los Maestros del Sistema Público de Enseñanza”, a fin de reconocer expresamente el derecho de los docentes a no ser separados de su empleo como medida cautelar por un periodo indefinido. Con ello, se fortalece la política pública educativa y se armonizan las responsabilidades del </w:t>
      </w:r>
      <w:proofErr w:type="gramStart"/>
      <w:r w:rsidRPr="005A11E4">
        <w:rPr>
          <w:rFonts w:ascii="Book Antiqua" w:hAnsi="Book Antiqua"/>
          <w:iCs/>
          <w:spacing w:val="-3"/>
          <w:szCs w:val="24"/>
          <w:lang w:val="es-PR"/>
        </w:rPr>
        <w:t>Secretario</w:t>
      </w:r>
      <w:proofErr w:type="gramEnd"/>
      <w:r w:rsidRPr="005A11E4">
        <w:rPr>
          <w:rFonts w:ascii="Book Antiqua" w:hAnsi="Book Antiqua"/>
          <w:iCs/>
          <w:spacing w:val="-3"/>
          <w:szCs w:val="24"/>
          <w:lang w:val="es-PR"/>
        </w:rPr>
        <w:t xml:space="preserve"> de Educación con las garantías constitucionales que amparan a todo servidor público. En síntesis, la aprobación de esta medida resulta meritoria porque atiende una laguna normativa que ha dado paso a prácticas administrativas lesivas, y porque restituye el balance entre la protección del entorno escolar y la defensa de los derechos individuales del personal docente</w:t>
      </w:r>
      <w:r>
        <w:rPr>
          <w:rFonts w:ascii="Book Antiqua" w:hAnsi="Book Antiqua"/>
          <w:iCs/>
          <w:spacing w:val="-3"/>
          <w:szCs w:val="24"/>
          <w:lang w:val="es-PR"/>
        </w:rPr>
        <w:t>.</w:t>
      </w:r>
    </w:p>
    <w:p w14:paraId="6EB81C3D" w14:textId="19510792" w:rsidR="007F75BB" w:rsidRDefault="006C5F9B" w:rsidP="008B279A">
      <w:pPr>
        <w:spacing w:line="360" w:lineRule="auto"/>
        <w:jc w:val="both"/>
        <w:rPr>
          <w:rFonts w:ascii="Book Antiqua" w:hAnsi="Book Antiqua"/>
          <w:iCs/>
          <w:spacing w:val="-3"/>
          <w:szCs w:val="24"/>
          <w:lang w:val="es-ES_tradnl"/>
        </w:rPr>
      </w:pPr>
      <w:r w:rsidRPr="00B31419">
        <w:rPr>
          <w:rFonts w:ascii="Book Antiqua" w:hAnsi="Book Antiqua"/>
          <w:iCs/>
          <w:spacing w:val="-3"/>
          <w:szCs w:val="24"/>
          <w:lang w:val="es-ES_tradnl"/>
        </w:rPr>
        <w:tab/>
      </w:r>
    </w:p>
    <w:p w14:paraId="6E9639A7" w14:textId="77777777" w:rsidR="005A11E4" w:rsidRDefault="005A11E4" w:rsidP="00391980">
      <w:pPr>
        <w:tabs>
          <w:tab w:val="left" w:pos="-720"/>
        </w:tabs>
        <w:suppressAutoHyphens/>
        <w:spacing w:before="120" w:after="120" w:line="360" w:lineRule="auto"/>
        <w:jc w:val="center"/>
        <w:rPr>
          <w:rFonts w:ascii="Book Antiqua" w:hAnsi="Book Antiqua"/>
          <w:b/>
          <w:bCs/>
          <w:szCs w:val="24"/>
          <w:lang w:val="es-ES"/>
        </w:rPr>
      </w:pPr>
    </w:p>
    <w:p w14:paraId="5C9D11C7" w14:textId="77777777" w:rsidR="005A11E4" w:rsidRDefault="005A11E4" w:rsidP="00391980">
      <w:pPr>
        <w:tabs>
          <w:tab w:val="left" w:pos="-720"/>
        </w:tabs>
        <w:suppressAutoHyphens/>
        <w:spacing w:before="120" w:after="120" w:line="360" w:lineRule="auto"/>
        <w:jc w:val="center"/>
        <w:rPr>
          <w:rFonts w:ascii="Book Antiqua" w:hAnsi="Book Antiqua"/>
          <w:b/>
          <w:bCs/>
          <w:szCs w:val="24"/>
          <w:lang w:val="es-ES"/>
        </w:rPr>
      </w:pPr>
    </w:p>
    <w:p w14:paraId="52037E3D" w14:textId="142EA5D8"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570FD26" w14:textId="36766BB8" w:rsidR="00140F42" w:rsidRPr="00140F42" w:rsidRDefault="00391980" w:rsidP="005A11E4">
      <w:pPr>
        <w:jc w:val="both"/>
        <w:rPr>
          <w:rFonts w:ascii="Book Antiqua" w:hAnsi="Book Antiqua"/>
          <w:lang w:val="es-ES"/>
        </w:rPr>
      </w:pPr>
      <w:r>
        <w:rPr>
          <w:rFonts w:ascii="Book Antiqua" w:hAnsi="Book Antiqua"/>
          <w:b/>
          <w:bCs/>
          <w:szCs w:val="24"/>
          <w:lang w:val="es-ES"/>
        </w:rPr>
        <w:tab/>
      </w:r>
      <w:r w:rsidR="00F95679" w:rsidRPr="00140F42">
        <w:rPr>
          <w:rFonts w:ascii="Book Antiqua" w:hAnsi="Book Antiqua"/>
          <w:szCs w:val="24"/>
          <w:lang w:val="es-ES"/>
        </w:rPr>
        <w:t>L</w:t>
      </w:r>
      <w:r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Pr="00140F42">
        <w:rPr>
          <w:rFonts w:ascii="Book Antiqua" w:hAnsi="Book Antiqua"/>
          <w:szCs w:val="24"/>
          <w:lang w:val="es-ES"/>
        </w:rPr>
        <w:t>P. de</w:t>
      </w:r>
      <w:r w:rsidR="003A7058">
        <w:rPr>
          <w:rFonts w:ascii="Book Antiqua" w:hAnsi="Book Antiqua"/>
          <w:szCs w:val="24"/>
          <w:lang w:val="es-ES"/>
        </w:rPr>
        <w:t xml:space="preserve"> </w:t>
      </w:r>
      <w:r w:rsidRPr="00140F42">
        <w:rPr>
          <w:rFonts w:ascii="Book Antiqua" w:hAnsi="Book Antiqua"/>
          <w:szCs w:val="24"/>
          <w:lang w:val="es-ES"/>
        </w:rPr>
        <w:t>l</w:t>
      </w:r>
      <w:r w:rsidR="003A7058">
        <w:rPr>
          <w:rFonts w:ascii="Book Antiqua" w:hAnsi="Book Antiqua"/>
          <w:szCs w:val="24"/>
          <w:lang w:val="es-ES"/>
        </w:rPr>
        <w:t>a</w:t>
      </w:r>
      <w:r w:rsidRPr="00140F42">
        <w:rPr>
          <w:rFonts w:ascii="Book Antiqua" w:hAnsi="Book Antiqua"/>
          <w:szCs w:val="24"/>
          <w:lang w:val="es-ES"/>
        </w:rPr>
        <w:t xml:space="preserve"> </w:t>
      </w:r>
      <w:r w:rsidR="003A7058">
        <w:rPr>
          <w:rFonts w:ascii="Book Antiqua" w:hAnsi="Book Antiqua"/>
          <w:szCs w:val="24"/>
          <w:lang w:val="es-ES"/>
        </w:rPr>
        <w:t>C</w:t>
      </w:r>
      <w:r w:rsidRPr="00140F42">
        <w:rPr>
          <w:rFonts w:ascii="Book Antiqua" w:hAnsi="Book Antiqua"/>
          <w:szCs w:val="24"/>
          <w:lang w:val="es-ES"/>
        </w:rPr>
        <w:t xml:space="preserve">. </w:t>
      </w:r>
      <w:r w:rsidR="00C84BA8">
        <w:rPr>
          <w:rFonts w:ascii="Book Antiqua" w:hAnsi="Book Antiqua"/>
          <w:szCs w:val="24"/>
          <w:lang w:val="es-ES"/>
        </w:rPr>
        <w:t>2</w:t>
      </w:r>
      <w:r w:rsidR="003A7058">
        <w:rPr>
          <w:rFonts w:ascii="Book Antiqua" w:hAnsi="Book Antiqua"/>
          <w:szCs w:val="24"/>
          <w:lang w:val="es-ES"/>
        </w:rPr>
        <w:t>00</w:t>
      </w:r>
      <w:r w:rsidR="00F95679" w:rsidRPr="00140F42">
        <w:rPr>
          <w:rFonts w:ascii="Book Antiqua" w:hAnsi="Book Antiqua"/>
          <w:szCs w:val="24"/>
          <w:lang w:val="es-ES"/>
        </w:rPr>
        <w:t>,</w:t>
      </w:r>
      <w:r w:rsidRPr="00140F42">
        <w:rPr>
          <w:rFonts w:ascii="Book Antiqua" w:hAnsi="Book Antiqua"/>
          <w:szCs w:val="24"/>
          <w:lang w:val="es-ES"/>
        </w:rPr>
        <w:t xml:space="preserve"> </w:t>
      </w:r>
      <w:r w:rsidR="00A56440" w:rsidRPr="00140F42">
        <w:rPr>
          <w:rFonts w:ascii="Book Antiqua" w:hAnsi="Book Antiqua"/>
          <w:szCs w:val="24"/>
          <w:lang w:val="es-ES"/>
        </w:rPr>
        <w:t>solicitó memoriales</w:t>
      </w:r>
      <w:r w:rsidR="00B9437F">
        <w:rPr>
          <w:rFonts w:ascii="Book Antiqua" w:hAnsi="Book Antiqua"/>
          <w:szCs w:val="24"/>
          <w:lang w:val="es-ES"/>
        </w:rPr>
        <w:t xml:space="preserve"> </w:t>
      </w:r>
      <w:r w:rsidR="00C94CE2">
        <w:rPr>
          <w:rFonts w:ascii="Book Antiqua" w:hAnsi="Book Antiqua"/>
          <w:szCs w:val="24"/>
          <w:lang w:val="es-ES"/>
        </w:rPr>
        <w:t>al</w:t>
      </w:r>
      <w:r w:rsidR="00A56440" w:rsidRPr="00140F42">
        <w:rPr>
          <w:rFonts w:ascii="Book Antiqua" w:hAnsi="Book Antiqua"/>
          <w:szCs w:val="24"/>
          <w:lang w:val="es-ES"/>
        </w:rPr>
        <w:t xml:space="preserve"> Departamento de Educación; Departamento de </w:t>
      </w:r>
      <w:r w:rsidR="00BB6571">
        <w:rPr>
          <w:rFonts w:ascii="Book Antiqua" w:hAnsi="Book Antiqua"/>
          <w:szCs w:val="24"/>
          <w:lang w:val="es-ES"/>
        </w:rPr>
        <w:t>Justicia</w:t>
      </w:r>
      <w:r w:rsidR="00B9437F">
        <w:rPr>
          <w:rFonts w:ascii="Book Antiqua" w:hAnsi="Book Antiqua"/>
          <w:szCs w:val="24"/>
          <w:lang w:val="es-ES"/>
        </w:rPr>
        <w:t xml:space="preserve">; </w:t>
      </w:r>
      <w:r w:rsidR="00B570C6">
        <w:rPr>
          <w:rFonts w:ascii="Book Antiqua" w:hAnsi="Book Antiqua"/>
          <w:szCs w:val="24"/>
          <w:lang w:val="es-ES"/>
        </w:rPr>
        <w:t>A</w:t>
      </w:r>
      <w:r w:rsidR="00BE468C">
        <w:rPr>
          <w:rFonts w:ascii="Book Antiqua" w:hAnsi="Book Antiqua"/>
          <w:szCs w:val="24"/>
          <w:lang w:val="es-ES"/>
        </w:rPr>
        <w:t>sociación de Maestros</w:t>
      </w:r>
      <w:r w:rsidR="00A56440" w:rsidRPr="00140F42">
        <w:rPr>
          <w:rFonts w:ascii="Book Antiqua" w:hAnsi="Book Antiqua"/>
          <w:szCs w:val="24"/>
          <w:lang w:val="es-ES"/>
        </w:rPr>
        <w:t xml:space="preserve"> y la </w:t>
      </w:r>
      <w:r w:rsidR="00281D1D" w:rsidRPr="00896132">
        <w:rPr>
          <w:rFonts w:ascii="Book Antiqua" w:hAnsi="Book Antiqua"/>
          <w:szCs w:val="24"/>
          <w:lang w:val="es-ES_tradnl"/>
        </w:rPr>
        <w:t>Unión Americana de Libertades Civiles</w:t>
      </w:r>
      <w:r w:rsidR="00A56440" w:rsidRPr="00896132">
        <w:rPr>
          <w:rFonts w:ascii="Book Antiqua" w:hAnsi="Book Antiqua"/>
          <w:szCs w:val="24"/>
          <w:lang w:val="es-ES"/>
        </w:rPr>
        <w:t>.</w:t>
      </w:r>
      <w:r w:rsidR="00140F42" w:rsidRPr="00140F42">
        <w:rPr>
          <w:rFonts w:ascii="Book Antiqua" w:hAnsi="Book Antiqua"/>
          <w:szCs w:val="24"/>
          <w:lang w:val="es-ES"/>
        </w:rPr>
        <w:t xml:space="preserve"> </w:t>
      </w:r>
    </w:p>
    <w:p w14:paraId="0872BF01" w14:textId="48BB071D" w:rsidR="0004421B" w:rsidRDefault="006547BF" w:rsidP="003F575E">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009B5C77">
        <w:rPr>
          <w:rFonts w:ascii="Book Antiqua" w:hAnsi="Book Antiqua"/>
          <w:szCs w:val="24"/>
          <w:lang w:val="es-ES"/>
        </w:rPr>
        <w:tab/>
      </w:r>
    </w:p>
    <w:p w14:paraId="633523D5" w14:textId="77777777" w:rsidR="00FC5EE3" w:rsidRDefault="00FC5EE3" w:rsidP="003F575E">
      <w:pPr>
        <w:tabs>
          <w:tab w:val="left" w:pos="-720"/>
        </w:tabs>
        <w:suppressAutoHyphens/>
        <w:spacing w:before="120" w:after="120"/>
        <w:jc w:val="both"/>
        <w:rPr>
          <w:rFonts w:ascii="Book Antiqua" w:hAnsi="Book Antiqua"/>
          <w:b/>
          <w:bCs/>
          <w:szCs w:val="24"/>
          <w:lang w:val="es-ES"/>
        </w:rPr>
      </w:pPr>
    </w:p>
    <w:p w14:paraId="3059C77C" w14:textId="79ED244E"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6E5C9655" w14:textId="404F0C21" w:rsidR="00944921" w:rsidRPr="00944921" w:rsidRDefault="002A0893" w:rsidP="00944921">
      <w:pPr>
        <w:jc w:val="both"/>
        <w:rPr>
          <w:rFonts w:ascii="Book Antiqua" w:hAnsi="Book Antiqua"/>
          <w:lang w:val="es-ES_tradnl"/>
        </w:rPr>
      </w:pPr>
      <w:r>
        <w:rPr>
          <w:rFonts w:ascii="Book Antiqua" w:hAnsi="Book Antiqua"/>
          <w:szCs w:val="24"/>
          <w:lang w:val="es-ES"/>
        </w:rPr>
        <w:tab/>
      </w:r>
      <w:r w:rsidR="00174D12">
        <w:rPr>
          <w:rFonts w:ascii="Book Antiqua" w:hAnsi="Book Antiqua"/>
          <w:szCs w:val="24"/>
          <w:lang w:val="es-ES"/>
        </w:rPr>
        <w:t>E</w:t>
      </w:r>
      <w:r w:rsidR="00944921" w:rsidRPr="00944921">
        <w:rPr>
          <w:rFonts w:ascii="Book Antiqua" w:hAnsi="Book Antiqua"/>
          <w:lang w:val="es-ES_tradnl"/>
        </w:rPr>
        <w:t>l Departamento de Educación de Puerto Rico (</w:t>
      </w:r>
      <w:r w:rsidR="00944921">
        <w:rPr>
          <w:rFonts w:ascii="Book Antiqua" w:hAnsi="Book Antiqua"/>
          <w:lang w:val="es-ES_tradnl"/>
        </w:rPr>
        <w:t xml:space="preserve">en adelante </w:t>
      </w:r>
      <w:r w:rsidR="00944921" w:rsidRPr="00944921">
        <w:rPr>
          <w:rFonts w:ascii="Book Antiqua" w:hAnsi="Book Antiqua"/>
          <w:lang w:val="es-ES_tradnl"/>
        </w:rPr>
        <w:t xml:space="preserve">DEPR) </w:t>
      </w:r>
      <w:r w:rsidR="00F035B4">
        <w:rPr>
          <w:rFonts w:ascii="Book Antiqua" w:hAnsi="Book Antiqua"/>
          <w:lang w:val="es-ES_tradnl"/>
        </w:rPr>
        <w:t xml:space="preserve">evaluó </w:t>
      </w:r>
      <w:proofErr w:type="gramStart"/>
      <w:r w:rsidR="00F035B4">
        <w:rPr>
          <w:rFonts w:ascii="Book Antiqua" w:hAnsi="Book Antiqua"/>
          <w:lang w:val="es-ES_tradnl"/>
        </w:rPr>
        <w:t xml:space="preserve">el </w:t>
      </w:r>
      <w:r w:rsidR="00944921" w:rsidRPr="00944921">
        <w:rPr>
          <w:rFonts w:ascii="Book Antiqua" w:hAnsi="Book Antiqua"/>
          <w:lang w:val="es-ES_tradnl"/>
        </w:rPr>
        <w:t xml:space="preserve"> Proyecto</w:t>
      </w:r>
      <w:proofErr w:type="gramEnd"/>
      <w:r w:rsidR="00944921" w:rsidRPr="00944921">
        <w:rPr>
          <w:rFonts w:ascii="Book Antiqua" w:hAnsi="Book Antiqua"/>
          <w:lang w:val="es-ES_tradnl"/>
        </w:rPr>
        <w:t xml:space="preserve"> de la Cámara 200</w:t>
      </w:r>
      <w:r w:rsidR="00315792">
        <w:rPr>
          <w:rFonts w:ascii="Book Antiqua" w:hAnsi="Book Antiqua"/>
          <w:lang w:val="es-ES_tradnl"/>
        </w:rPr>
        <w:t xml:space="preserve"> y m</w:t>
      </w:r>
      <w:r w:rsidR="00944921" w:rsidRPr="00944921">
        <w:rPr>
          <w:rFonts w:ascii="Book Antiqua" w:hAnsi="Book Antiqua"/>
          <w:lang w:val="es-ES_tradnl"/>
        </w:rPr>
        <w:t xml:space="preserve">anifestó de forma clara su </w:t>
      </w:r>
      <w:r w:rsidR="00944921" w:rsidRPr="000464E3">
        <w:rPr>
          <w:rFonts w:ascii="Book Antiqua" w:hAnsi="Book Antiqua"/>
          <w:lang w:val="es-ES_tradnl"/>
        </w:rPr>
        <w:t>apoyo a la aprobación de la medida</w:t>
      </w:r>
      <w:r w:rsidR="00944921" w:rsidRPr="00944921">
        <w:rPr>
          <w:rFonts w:ascii="Book Antiqua" w:hAnsi="Book Antiqua"/>
          <w:lang w:val="es-ES_tradnl"/>
        </w:rPr>
        <w:t>, señalando que esta promueve un balance adecuado entre la eficiencia administrativa y la protección de los derechos constitucionales de los maestros. La agencia enfatizó que establecer un término definido para atender los casos en los que un docente se encuentre bajo una medida cautelar es necesario para garantizar mayor transparencia, certeza y agilidad en los procesos disciplinarios.</w:t>
      </w:r>
    </w:p>
    <w:p w14:paraId="5D557462" w14:textId="77777777" w:rsidR="00944921" w:rsidRPr="00944921" w:rsidRDefault="00944921" w:rsidP="00944921">
      <w:pPr>
        <w:jc w:val="both"/>
        <w:rPr>
          <w:rFonts w:ascii="Book Antiqua" w:hAnsi="Book Antiqua"/>
          <w:lang w:val="es-ES_tradnl"/>
        </w:rPr>
      </w:pPr>
    </w:p>
    <w:p w14:paraId="71001B4F" w14:textId="77777777" w:rsidR="00944921" w:rsidRDefault="00944921" w:rsidP="00944921">
      <w:pPr>
        <w:ind w:firstLine="720"/>
        <w:jc w:val="both"/>
        <w:rPr>
          <w:rFonts w:ascii="Book Antiqua" w:hAnsi="Book Antiqua"/>
          <w:lang w:val="es-ES_tradnl"/>
        </w:rPr>
      </w:pPr>
      <w:r w:rsidRPr="00944921">
        <w:rPr>
          <w:rFonts w:ascii="Book Antiqua" w:hAnsi="Book Antiqua"/>
          <w:lang w:val="es-ES_tradnl"/>
        </w:rPr>
        <w:t xml:space="preserve">El memorial recordó que la Constitución de Puerto Rico y la Ley Núm. 85-2018, conocida como </w:t>
      </w:r>
      <w:r w:rsidRPr="00944921">
        <w:rPr>
          <w:rFonts w:ascii="Book Antiqua" w:hAnsi="Book Antiqua"/>
          <w:i/>
          <w:iCs/>
          <w:lang w:val="es-ES_tradnl"/>
        </w:rPr>
        <w:t>Ley de Reforma Educativa</w:t>
      </w:r>
      <w:r w:rsidRPr="00944921">
        <w:rPr>
          <w:rFonts w:ascii="Book Antiqua" w:hAnsi="Book Antiqua"/>
          <w:lang w:val="es-ES_tradnl"/>
        </w:rPr>
        <w:t xml:space="preserve">, establecen como política pública la garantía del derecho a una educación de calidad, lo cual incluye asegurar el respeto a los derechos de los maestros y la protección del debido proceso de ley. Además, la Ley Núm. 160-2020, </w:t>
      </w:r>
      <w:r w:rsidRPr="00944921">
        <w:rPr>
          <w:rFonts w:ascii="Book Antiqua" w:hAnsi="Book Antiqua"/>
          <w:i/>
          <w:iCs/>
          <w:lang w:val="es-ES_tradnl"/>
        </w:rPr>
        <w:t>Carta de Derechos de los Maestros</w:t>
      </w:r>
      <w:r w:rsidRPr="00944921">
        <w:rPr>
          <w:rFonts w:ascii="Book Antiqua" w:hAnsi="Book Antiqua"/>
          <w:lang w:val="es-ES_tradnl"/>
        </w:rPr>
        <w:t>, reconoce el derecho a que ninguna acción disciplinaria ni medida cautelar se prolongue indefinidamente sin adjudicación. En este contexto, el DEPR resaltó que el Reglamento Núm. 9416 de Medidas Correctivas y Acciones Disciplinarias, vigente desde noviembre de 2022, regula la imposición de medidas cautelares y las acciones disciplinarias en el sistema educativo, distinguiendo entre remedios provisionales, como el aislamiento o traslado temporal, y sanciones disciplinarias finales.</w:t>
      </w:r>
    </w:p>
    <w:p w14:paraId="76DA0694" w14:textId="77777777" w:rsidR="00944921" w:rsidRPr="00944921" w:rsidRDefault="00944921" w:rsidP="00944921">
      <w:pPr>
        <w:ind w:firstLine="720"/>
        <w:jc w:val="both"/>
        <w:rPr>
          <w:rFonts w:ascii="Book Antiqua" w:hAnsi="Book Antiqua"/>
          <w:lang w:val="es-ES_tradnl"/>
        </w:rPr>
      </w:pPr>
    </w:p>
    <w:p w14:paraId="2C249D36" w14:textId="77777777" w:rsidR="00944921" w:rsidRDefault="00944921" w:rsidP="00944921">
      <w:pPr>
        <w:ind w:firstLine="720"/>
        <w:jc w:val="both"/>
        <w:rPr>
          <w:rFonts w:ascii="Book Antiqua" w:hAnsi="Book Antiqua"/>
          <w:lang w:val="es-ES_tradnl"/>
        </w:rPr>
      </w:pPr>
      <w:r w:rsidRPr="00944921">
        <w:rPr>
          <w:rFonts w:ascii="Book Antiqua" w:hAnsi="Book Antiqua"/>
          <w:lang w:val="es-ES_tradnl"/>
        </w:rPr>
        <w:t>La agencia explicó que las medidas cautelares no deben considerarse un castigo, sino un remedio temporal para garantizar la seguridad, la vida, la propiedad y la moral en el área de trabajo. Señaló que, de conformidad con el reglamento vigente, estas medidas incluyen la custodia de documentos, la reubicación temporal de un empleado o el referido a la Policía de Puerto Rico, y que, en todos los casos, el empleado mantiene su salario mientras dure la medida. El memorial detalló también el procedimiento administrativo aplicable, que incluye la notificación al empleado, la investigación por parte de la Unidad de Querellas Administrativas, la preparación de informes, vistas informales y la eventual determinación final.</w:t>
      </w:r>
    </w:p>
    <w:p w14:paraId="71C844E4" w14:textId="77777777" w:rsidR="00944921" w:rsidRPr="00944921" w:rsidRDefault="00944921" w:rsidP="00944921">
      <w:pPr>
        <w:ind w:firstLine="720"/>
        <w:jc w:val="both"/>
        <w:rPr>
          <w:rFonts w:ascii="Book Antiqua" w:hAnsi="Book Antiqua"/>
          <w:lang w:val="es-ES_tradnl"/>
        </w:rPr>
      </w:pPr>
    </w:p>
    <w:p w14:paraId="13AFEFAB" w14:textId="1059A755" w:rsidR="00944921" w:rsidRDefault="00944921" w:rsidP="00944921">
      <w:pPr>
        <w:ind w:firstLine="720"/>
        <w:jc w:val="both"/>
        <w:rPr>
          <w:rFonts w:ascii="Book Antiqua" w:hAnsi="Book Antiqua"/>
          <w:lang w:val="es-ES_tradnl"/>
        </w:rPr>
      </w:pPr>
      <w:r w:rsidRPr="00944921">
        <w:rPr>
          <w:rFonts w:ascii="Book Antiqua" w:hAnsi="Book Antiqua"/>
          <w:lang w:val="es-ES_tradnl"/>
        </w:rPr>
        <w:t xml:space="preserve">El DEPR reconoció, sin embargo, que las investigaciones pueden enfrentar retrasos debido a factores externos. Entre ellos mencionó la necesidad de obtener declaraciones juradas de testigos, muchos de los cuales son estudiantes menores de edad que requieren el consentimiento de sus padres, así como los periodos de receso académico, como el verano y la Navidad, durante los cuales la disponibilidad del personal escolar es limitada. Estos factores, señaló el Departamento, pueden incidir en el tiempo que toma culminar un proceso disciplinario. Por ello, consideró acertada la inclusión en el proyecto de una disposición que permita extender el término de un año en casos de fuerza mayor o causa justificada, previa solicitud fundamentada ante el </w:t>
      </w:r>
      <w:proofErr w:type="gramStart"/>
      <w:r w:rsidRPr="00944921">
        <w:rPr>
          <w:rFonts w:ascii="Book Antiqua" w:hAnsi="Book Antiqua"/>
          <w:lang w:val="es-ES_tradnl"/>
        </w:rPr>
        <w:t>Secretario</w:t>
      </w:r>
      <w:proofErr w:type="gramEnd"/>
      <w:r w:rsidRPr="00944921">
        <w:rPr>
          <w:rFonts w:ascii="Book Antiqua" w:hAnsi="Book Antiqua"/>
          <w:lang w:val="es-ES_tradnl"/>
        </w:rPr>
        <w:t xml:space="preserve"> de Educación.</w:t>
      </w:r>
    </w:p>
    <w:p w14:paraId="2A60163D" w14:textId="77777777" w:rsidR="00944921" w:rsidRPr="00944921" w:rsidRDefault="00944921" w:rsidP="00944921">
      <w:pPr>
        <w:ind w:firstLine="720"/>
        <w:jc w:val="both"/>
        <w:rPr>
          <w:rFonts w:ascii="Book Antiqua" w:hAnsi="Book Antiqua"/>
          <w:lang w:val="es-ES_tradnl"/>
        </w:rPr>
      </w:pPr>
    </w:p>
    <w:p w14:paraId="5F8A3ECC" w14:textId="77777777" w:rsidR="00944921" w:rsidRPr="00944921" w:rsidRDefault="00944921" w:rsidP="00944921">
      <w:pPr>
        <w:ind w:firstLine="720"/>
        <w:jc w:val="both"/>
        <w:rPr>
          <w:rFonts w:ascii="Book Antiqua" w:hAnsi="Book Antiqua"/>
          <w:lang w:val="es-ES_tradnl"/>
        </w:rPr>
      </w:pPr>
      <w:r w:rsidRPr="00944921">
        <w:rPr>
          <w:rFonts w:ascii="Book Antiqua" w:hAnsi="Book Antiqua"/>
          <w:lang w:val="es-ES_tradnl"/>
        </w:rPr>
        <w:t>Finalmente, en su conclusión, el DEPR reafirmó su respaldo al Proyecto de la Cámara 200, entendiendo que este corrige deficiencias actuales y asegura que las medidas cautelares no se prolonguen arbitrariamente. La agencia consideró que la medida fortalece los principios de justicia administrativa, garantiza el debido proceso de ley y protege tanto el interés público como los derechos de los maestros.</w:t>
      </w:r>
    </w:p>
    <w:p w14:paraId="4A07B0CC" w14:textId="5598037B" w:rsidR="007F75BB" w:rsidRPr="00140F42" w:rsidRDefault="007F75BB" w:rsidP="00944921">
      <w:pPr>
        <w:jc w:val="both"/>
        <w:rPr>
          <w:rFonts w:ascii="Book Antiqua" w:hAnsi="Book Antiqua"/>
          <w:b/>
          <w:bCs/>
          <w:lang w:val="es-ES_tradnl"/>
        </w:rPr>
      </w:pPr>
    </w:p>
    <w:p w14:paraId="61AB45A5" w14:textId="137AED9F" w:rsidR="00F77766" w:rsidRPr="00140F42" w:rsidRDefault="00F77766" w:rsidP="00140F42">
      <w:pPr>
        <w:jc w:val="both"/>
        <w:rPr>
          <w:rFonts w:ascii="Book Antiqua" w:hAnsi="Book Antiqua"/>
          <w:szCs w:val="24"/>
          <w:lang w:val="es-ES_tradnl"/>
        </w:rPr>
      </w:pPr>
    </w:p>
    <w:p w14:paraId="5E028752" w14:textId="77777777" w:rsidR="007F75BB" w:rsidRPr="00140F42" w:rsidRDefault="007F75BB" w:rsidP="00140F42">
      <w:pPr>
        <w:jc w:val="both"/>
        <w:rPr>
          <w:rFonts w:ascii="Book Antiqua" w:hAnsi="Book Antiqua"/>
          <w:szCs w:val="24"/>
          <w:lang w:val="es-ES_tradnl"/>
        </w:rPr>
      </w:pPr>
    </w:p>
    <w:p w14:paraId="63ADE0CB" w14:textId="5100A601" w:rsidR="00422A92" w:rsidRPr="00140F42" w:rsidRDefault="00CB43BF" w:rsidP="00140F42">
      <w:pPr>
        <w:tabs>
          <w:tab w:val="left" w:pos="-720"/>
        </w:tabs>
        <w:suppressAutoHyphens/>
        <w:spacing w:before="120" w:after="120"/>
        <w:jc w:val="center"/>
        <w:rPr>
          <w:rFonts w:ascii="Book Antiqua" w:hAnsi="Book Antiqua"/>
          <w:b/>
          <w:bCs/>
          <w:szCs w:val="24"/>
          <w:u w:val="single"/>
          <w:lang w:val="es-ES"/>
        </w:rPr>
      </w:pPr>
      <w:r w:rsidRPr="00140F42">
        <w:rPr>
          <w:rFonts w:ascii="Book Antiqua" w:hAnsi="Book Antiqua"/>
          <w:b/>
          <w:bCs/>
          <w:szCs w:val="24"/>
          <w:u w:val="single"/>
          <w:lang w:val="es-ES"/>
        </w:rPr>
        <w:t xml:space="preserve">DEPARTAMENTO DE </w:t>
      </w:r>
      <w:r w:rsidR="00FB5CA8">
        <w:rPr>
          <w:rFonts w:ascii="Book Antiqua" w:hAnsi="Book Antiqua"/>
          <w:b/>
          <w:bCs/>
          <w:szCs w:val="24"/>
          <w:u w:val="single"/>
          <w:lang w:val="es-ES"/>
        </w:rPr>
        <w:t>JUSTICIA</w:t>
      </w:r>
    </w:p>
    <w:p w14:paraId="22EB55C5" w14:textId="53A1036E" w:rsidR="004949BF" w:rsidRPr="00057A98" w:rsidRDefault="00AF1F99" w:rsidP="004949BF">
      <w:pPr>
        <w:tabs>
          <w:tab w:val="left" w:pos="-720"/>
        </w:tabs>
        <w:suppressAutoHyphens/>
        <w:spacing w:before="120" w:after="120"/>
        <w:jc w:val="both"/>
        <w:rPr>
          <w:rFonts w:ascii="Book Antiqua" w:hAnsi="Book Antiqua"/>
          <w:lang w:val="es-ES_tradnl"/>
        </w:rPr>
      </w:pPr>
      <w:r w:rsidRPr="00FB5CA8">
        <w:rPr>
          <w:rFonts w:ascii="Book Antiqua" w:hAnsi="Book Antiqua"/>
          <w:szCs w:val="24"/>
          <w:lang w:val="es-ES"/>
        </w:rPr>
        <w:tab/>
      </w:r>
      <w:r w:rsidR="004949BF" w:rsidRPr="00057A98">
        <w:rPr>
          <w:rFonts w:ascii="Book Antiqua" w:hAnsi="Book Antiqua"/>
          <w:lang w:val="es-ES_tradnl"/>
        </w:rPr>
        <w:t>El Departamento de Justicia no manifestó oposición a la medida y concluyó que no existe impedimento legal para su aprobación, limitando su examen a la evaluación de la constitucionalidad de las disposiciones y destacando que la materia atendida corresponde principalmente a la jurisdicción del Departamento de Educación.</w:t>
      </w:r>
    </w:p>
    <w:p w14:paraId="394628BB" w14:textId="600C8125" w:rsidR="004949BF" w:rsidRPr="004949BF" w:rsidRDefault="00057A98" w:rsidP="004949BF">
      <w:pPr>
        <w:tabs>
          <w:tab w:val="left" w:pos="-720"/>
        </w:tabs>
        <w:suppressAutoHyphens/>
        <w:spacing w:before="120" w:after="120"/>
        <w:jc w:val="both"/>
        <w:rPr>
          <w:rFonts w:ascii="Book Antiqua" w:hAnsi="Book Antiqua"/>
          <w:lang w:val="es-ES_tradnl"/>
        </w:rPr>
      </w:pPr>
      <w:r w:rsidRPr="00057A98">
        <w:rPr>
          <w:rFonts w:ascii="Book Antiqua" w:hAnsi="Book Antiqua"/>
          <w:lang w:val="es-ES_tradnl"/>
        </w:rPr>
        <w:tab/>
      </w:r>
      <w:r w:rsidR="004949BF" w:rsidRPr="004949BF">
        <w:rPr>
          <w:rFonts w:ascii="Book Antiqua" w:hAnsi="Book Antiqua"/>
          <w:lang w:val="es-ES_tradnl"/>
        </w:rPr>
        <w:t xml:space="preserve">En su exposición, el Departamento explicó que la pieza legislativa busca enmendar la </w:t>
      </w:r>
      <w:r w:rsidR="004949BF" w:rsidRPr="004949BF">
        <w:rPr>
          <w:rFonts w:ascii="Book Antiqua" w:hAnsi="Book Antiqua"/>
          <w:i/>
          <w:iCs/>
          <w:lang w:val="es-ES_tradnl"/>
        </w:rPr>
        <w:t>Ley de Reforma Educativa de Puerto Rico</w:t>
      </w:r>
      <w:r w:rsidR="004949BF" w:rsidRPr="004949BF">
        <w:rPr>
          <w:rFonts w:ascii="Book Antiqua" w:hAnsi="Book Antiqua"/>
          <w:lang w:val="es-ES_tradnl"/>
        </w:rPr>
        <w:t xml:space="preserve"> (Ley Núm. 85-2018) y la </w:t>
      </w:r>
      <w:r w:rsidR="004949BF" w:rsidRPr="004949BF">
        <w:rPr>
          <w:rFonts w:ascii="Book Antiqua" w:hAnsi="Book Antiqua"/>
          <w:i/>
          <w:iCs/>
          <w:lang w:val="es-ES_tradnl"/>
        </w:rPr>
        <w:t>Carta de Derechos de los Maestros del Sistema Público de Enseñanza</w:t>
      </w:r>
      <w:r w:rsidR="004949BF" w:rsidRPr="004949BF">
        <w:rPr>
          <w:rFonts w:ascii="Book Antiqua" w:hAnsi="Book Antiqua"/>
          <w:lang w:val="es-ES_tradnl"/>
        </w:rPr>
        <w:t xml:space="preserve"> (Ley Núm. 160-2020) para establecer un término máximo de un año en el cual el personal docente puede ser separado de su puesto bajo una medida cautelar, con posibilidad de extensión por causa justificada o fuerza mayor. Según indicó, la reglamentación vigente del Departamento de Educación no contempla un límite temporal, lo que ha provocado dilaciones excesivas en los procesos investigativos y adjudicativos, situación que ha sido señalada como una violación al debido proceso de ley.</w:t>
      </w:r>
    </w:p>
    <w:p w14:paraId="53955052" w14:textId="5AC3633F" w:rsidR="004949BF" w:rsidRPr="004949BF" w:rsidRDefault="00057A98" w:rsidP="004949BF">
      <w:pPr>
        <w:tabs>
          <w:tab w:val="left" w:pos="-720"/>
        </w:tabs>
        <w:suppressAutoHyphens/>
        <w:spacing w:before="120" w:after="120"/>
        <w:jc w:val="both"/>
        <w:rPr>
          <w:rFonts w:ascii="Book Antiqua" w:hAnsi="Book Antiqua"/>
          <w:lang w:val="es-ES_tradnl"/>
        </w:rPr>
      </w:pPr>
      <w:r>
        <w:rPr>
          <w:rFonts w:ascii="Book Antiqua" w:hAnsi="Book Antiqua"/>
          <w:lang w:val="es-ES_tradnl"/>
        </w:rPr>
        <w:tab/>
      </w:r>
      <w:r w:rsidR="004949BF" w:rsidRPr="004949BF">
        <w:rPr>
          <w:rFonts w:ascii="Book Antiqua" w:hAnsi="Book Antiqua"/>
          <w:lang w:val="es-ES_tradnl"/>
        </w:rPr>
        <w:t xml:space="preserve">El memorial subrayó que la Ley 85-2018 establece la política pública educativa y faculta al </w:t>
      </w:r>
      <w:proofErr w:type="gramStart"/>
      <w:r w:rsidR="004949BF" w:rsidRPr="004949BF">
        <w:rPr>
          <w:rFonts w:ascii="Book Antiqua" w:hAnsi="Book Antiqua"/>
          <w:lang w:val="es-ES_tradnl"/>
        </w:rPr>
        <w:t>Secretario</w:t>
      </w:r>
      <w:proofErr w:type="gramEnd"/>
      <w:r w:rsidR="004949BF" w:rsidRPr="004949BF">
        <w:rPr>
          <w:rFonts w:ascii="Book Antiqua" w:hAnsi="Book Antiqua"/>
          <w:lang w:val="es-ES_tradnl"/>
        </w:rPr>
        <w:t xml:space="preserve"> de Educación a adoptar normas y reglamentos para garantizar la visión y misión del sistema educativo. Asimismo, la Carta de Derechos de los Maestros reconoce garantías relacionadas con la dignidad, el trato justo y la protección del debido proceso. En este contexto, Justicia puntualizó que el Reglamento Núm. 9416 de Medidas Correctivas y Acciones Disciplinarias, aprobado por el Departamento de Educación en 2022, regula los procedimientos para imponer medidas cautelares y establece que estas </w:t>
      </w:r>
      <w:r w:rsidR="004949BF" w:rsidRPr="004949BF">
        <w:rPr>
          <w:rFonts w:ascii="Book Antiqua" w:hAnsi="Book Antiqua"/>
          <w:lang w:val="es-ES_tradnl"/>
        </w:rPr>
        <w:lastRenderedPageBreak/>
        <w:t>no deben ser consideradas como sanciones, sino como remedios provisionales para proteger la seguridad, la vida y la moral en el área de trabajo.</w:t>
      </w:r>
    </w:p>
    <w:p w14:paraId="22373115" w14:textId="14C35CED" w:rsidR="004949BF" w:rsidRPr="004949BF" w:rsidRDefault="00057A98" w:rsidP="004949BF">
      <w:pPr>
        <w:tabs>
          <w:tab w:val="left" w:pos="-720"/>
        </w:tabs>
        <w:suppressAutoHyphens/>
        <w:spacing w:before="120" w:after="120"/>
        <w:jc w:val="both"/>
        <w:rPr>
          <w:rFonts w:ascii="Book Antiqua" w:hAnsi="Book Antiqua"/>
          <w:lang w:val="es-ES_tradnl"/>
        </w:rPr>
      </w:pPr>
      <w:r>
        <w:rPr>
          <w:rFonts w:ascii="Book Antiqua" w:hAnsi="Book Antiqua"/>
          <w:lang w:val="es-ES_tradnl"/>
        </w:rPr>
        <w:tab/>
      </w:r>
      <w:r w:rsidR="004949BF" w:rsidRPr="004949BF">
        <w:rPr>
          <w:rFonts w:ascii="Book Antiqua" w:hAnsi="Book Antiqua"/>
          <w:lang w:val="es-ES_tradnl"/>
        </w:rPr>
        <w:t>El Departamento enfatizó que las medidas cautelares son de carácter temporal y que, entre ellas, se incluye la custodia de documentos, el aislamiento o traslado temporal de un empleado, el llamado a la Policía de Puerto Rico y la reubicación a otra oficina. En este sentido, advirtió que el lenguaje del proyecto debe armonizarse con la terminología empleada en el reglamento vigente. Señaló, por ejemplo, que mientras el texto legislativo utiliza el concepto de “separación del empleo”, el Reglamento 9416 hace referencia a “aislar o trasladar temporalmente”. Por ello, recomendó enmendar la redacción del proyecto para que se ajuste a esta última expresión, lo cual brindaría mayor consistencia entre la ley y la reglamentación aplicable.</w:t>
      </w:r>
    </w:p>
    <w:p w14:paraId="3A62BD8F" w14:textId="25D0BF4C" w:rsidR="004949BF" w:rsidRPr="004949BF" w:rsidRDefault="00057A98" w:rsidP="004949BF">
      <w:pPr>
        <w:tabs>
          <w:tab w:val="left" w:pos="-720"/>
        </w:tabs>
        <w:suppressAutoHyphens/>
        <w:spacing w:before="120" w:after="120"/>
        <w:jc w:val="both"/>
        <w:rPr>
          <w:rFonts w:ascii="Book Antiqua" w:hAnsi="Book Antiqua"/>
          <w:lang w:val="es-ES_tradnl"/>
        </w:rPr>
      </w:pPr>
      <w:r>
        <w:rPr>
          <w:rFonts w:ascii="Book Antiqua" w:hAnsi="Book Antiqua"/>
          <w:lang w:val="es-ES_tradnl"/>
        </w:rPr>
        <w:tab/>
      </w:r>
      <w:r w:rsidR="004949BF" w:rsidRPr="004949BF">
        <w:rPr>
          <w:rFonts w:ascii="Book Antiqua" w:hAnsi="Book Antiqua"/>
          <w:lang w:val="es-ES_tradnl"/>
        </w:rPr>
        <w:t xml:space="preserve">De igual forma, el Departamento observó que en la Exposición de Motivos de la medida se hace referencia al Reglamento Núm. 7565 de 2008, el cual fue derogado por el Reglamento Núm. 9416. También señaló que el proyecto propone añadir un nuevo </w:t>
      </w:r>
      <w:proofErr w:type="spellStart"/>
      <w:r w:rsidR="004949BF" w:rsidRPr="004949BF">
        <w:rPr>
          <w:rFonts w:ascii="Book Antiqua" w:hAnsi="Book Antiqua"/>
          <w:lang w:val="es-ES_tradnl"/>
        </w:rPr>
        <w:t>subinciso</w:t>
      </w:r>
      <w:proofErr w:type="spellEnd"/>
      <w:r w:rsidR="004949BF" w:rsidRPr="004949BF">
        <w:rPr>
          <w:rFonts w:ascii="Book Antiqua" w:hAnsi="Book Antiqua"/>
          <w:lang w:val="es-ES_tradnl"/>
        </w:rPr>
        <w:t xml:space="preserve"> “69” al Artículo 2.04 de la Ley 85-2018, cuando en realidad correspondería enumerarlo como </w:t>
      </w:r>
      <w:proofErr w:type="spellStart"/>
      <w:r w:rsidR="004949BF" w:rsidRPr="004949BF">
        <w:rPr>
          <w:rFonts w:ascii="Book Antiqua" w:hAnsi="Book Antiqua"/>
          <w:lang w:val="es-ES_tradnl"/>
        </w:rPr>
        <w:t>subinciso</w:t>
      </w:r>
      <w:proofErr w:type="spellEnd"/>
      <w:r w:rsidR="004949BF" w:rsidRPr="004949BF">
        <w:rPr>
          <w:rFonts w:ascii="Book Antiqua" w:hAnsi="Book Antiqua"/>
          <w:lang w:val="es-ES_tradnl"/>
        </w:rPr>
        <w:t xml:space="preserve"> “68”. Estas observaciones fueron presentadas como recomendaciones técnicas para mejorar la claridad y precisión del texto legislativo.</w:t>
      </w:r>
    </w:p>
    <w:p w14:paraId="790EE300" w14:textId="5447A039" w:rsidR="004949BF" w:rsidRPr="004949BF" w:rsidRDefault="00057A98" w:rsidP="004949BF">
      <w:pPr>
        <w:tabs>
          <w:tab w:val="left" w:pos="-720"/>
        </w:tabs>
        <w:suppressAutoHyphens/>
        <w:spacing w:before="120" w:after="120"/>
        <w:jc w:val="both"/>
        <w:rPr>
          <w:rFonts w:ascii="Book Antiqua" w:hAnsi="Book Antiqua"/>
          <w:lang w:val="es-ES_tradnl"/>
        </w:rPr>
      </w:pPr>
      <w:r>
        <w:rPr>
          <w:rFonts w:ascii="Book Antiqua" w:hAnsi="Book Antiqua"/>
          <w:lang w:val="es-ES_tradnl"/>
        </w:rPr>
        <w:tab/>
      </w:r>
      <w:r w:rsidR="004949BF" w:rsidRPr="004949BF">
        <w:rPr>
          <w:rFonts w:ascii="Book Antiqua" w:hAnsi="Book Antiqua"/>
          <w:lang w:val="es-ES_tradnl"/>
        </w:rPr>
        <w:t>En conclusión, el Departamento de Justicia sostuvo que no existen impedimentos constitucionales para la aprobación del Proyecto de la Cámara 200. No obstante, recalcó que su análisis no abarcó la conveniencia o viabilidad administrativa de la medida, ya que tales aspectos corresponden al Departamento de Educación como agencia responsable de implementar el marco regulatorio aplicable. En ese sentido, manifestó deferencia a la posición que pueda adoptar el Departamento de Educación, al tiempo que recomendó ajustes al lenguaje del proyecto para hacerlo compatible con el reglamento vigente y con la realidad normativa actual.</w:t>
      </w:r>
    </w:p>
    <w:p w14:paraId="7EDFBB45" w14:textId="4B275EDA" w:rsidR="00A56440" w:rsidRDefault="00A56440" w:rsidP="004949BF">
      <w:pPr>
        <w:tabs>
          <w:tab w:val="left" w:pos="-720"/>
        </w:tabs>
        <w:suppressAutoHyphens/>
        <w:spacing w:before="120" w:after="120"/>
        <w:jc w:val="both"/>
        <w:rPr>
          <w:rFonts w:ascii="Book Antiqua" w:hAnsi="Book Antiqua"/>
          <w:lang w:val="es-ES_tradnl"/>
        </w:rPr>
      </w:pPr>
    </w:p>
    <w:p w14:paraId="1DBFD7E6" w14:textId="77777777" w:rsidR="00FC5EE3" w:rsidRPr="00A56440" w:rsidRDefault="00FC5EE3" w:rsidP="004949BF">
      <w:pPr>
        <w:tabs>
          <w:tab w:val="left" w:pos="-720"/>
        </w:tabs>
        <w:suppressAutoHyphens/>
        <w:spacing w:before="120" w:after="120"/>
        <w:jc w:val="both"/>
        <w:rPr>
          <w:rFonts w:ascii="Book Antiqua" w:hAnsi="Book Antiqua"/>
          <w:lang w:val="es-ES_tradnl"/>
        </w:rPr>
      </w:pPr>
    </w:p>
    <w:p w14:paraId="402F98D6" w14:textId="782EFF3F" w:rsidR="00004DA7" w:rsidRPr="00A56440" w:rsidRDefault="00004DA7" w:rsidP="00004DA7">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 xml:space="preserve">ASOCIACIÓN DE </w:t>
      </w:r>
      <w:r w:rsidR="006E2E91">
        <w:rPr>
          <w:rFonts w:ascii="Book Antiqua" w:hAnsi="Book Antiqua"/>
          <w:b/>
          <w:bCs/>
          <w:u w:val="single"/>
          <w:lang w:val="es-PR"/>
        </w:rPr>
        <w:t>MAESTROS</w:t>
      </w:r>
    </w:p>
    <w:p w14:paraId="097CB69B" w14:textId="77777777" w:rsidR="00FC5EE3" w:rsidRDefault="00FC5EE3" w:rsidP="000A7D27">
      <w:pPr>
        <w:ind w:firstLine="720"/>
        <w:jc w:val="both"/>
        <w:rPr>
          <w:rFonts w:ascii="Book Antiqua" w:hAnsi="Book Antiqua"/>
          <w:lang w:val="es-ES_tradnl"/>
        </w:rPr>
      </w:pPr>
    </w:p>
    <w:p w14:paraId="60B8D598" w14:textId="38415756" w:rsidR="00BE398D" w:rsidRDefault="00BE398D" w:rsidP="000A7D27">
      <w:pPr>
        <w:ind w:firstLine="720"/>
        <w:jc w:val="both"/>
        <w:rPr>
          <w:rFonts w:ascii="Book Antiqua" w:hAnsi="Book Antiqua"/>
          <w:lang w:val="es-ES_tradnl"/>
        </w:rPr>
      </w:pPr>
      <w:r w:rsidRPr="00BE398D">
        <w:rPr>
          <w:rFonts w:ascii="Book Antiqua" w:hAnsi="Book Antiqua"/>
          <w:lang w:val="es-ES_tradnl"/>
        </w:rPr>
        <w:t>La Asociación de Maestros de Puerto Rico (</w:t>
      </w:r>
      <w:r w:rsidR="00FC5EE3">
        <w:rPr>
          <w:rFonts w:ascii="Book Antiqua" w:hAnsi="Book Antiqua"/>
          <w:lang w:val="es-ES_tradnl"/>
        </w:rPr>
        <w:t xml:space="preserve">en adelante </w:t>
      </w:r>
      <w:r w:rsidRPr="00BE398D">
        <w:rPr>
          <w:rFonts w:ascii="Book Antiqua" w:hAnsi="Book Antiqua"/>
          <w:lang w:val="es-ES_tradnl"/>
        </w:rPr>
        <w:t>AMPR</w:t>
      </w:r>
      <w:r w:rsidR="00FC5EE3">
        <w:rPr>
          <w:rFonts w:ascii="Book Antiqua" w:hAnsi="Book Antiqua"/>
          <w:lang w:val="es-ES_tradnl"/>
        </w:rPr>
        <w:t xml:space="preserve">) expresó </w:t>
      </w:r>
      <w:r w:rsidRPr="00BE398D">
        <w:rPr>
          <w:rFonts w:ascii="Book Antiqua" w:hAnsi="Book Antiqua"/>
          <w:lang w:val="es-ES_tradnl"/>
        </w:rPr>
        <w:t>su posición favorable, aunque con reservas, respecto al Proyecto de</w:t>
      </w:r>
      <w:r w:rsidR="001636B3">
        <w:rPr>
          <w:rFonts w:ascii="Book Antiqua" w:hAnsi="Book Antiqua"/>
          <w:lang w:val="es-ES_tradnl"/>
        </w:rPr>
        <w:t xml:space="preserve"> la Cámara 200</w:t>
      </w:r>
      <w:r w:rsidRPr="00BE398D">
        <w:rPr>
          <w:rFonts w:ascii="Book Antiqua" w:hAnsi="Book Antiqua"/>
          <w:lang w:val="es-ES_tradnl"/>
        </w:rPr>
        <w:t>. La Asociación, con más de un siglo de trayectoria en defensa de los derechos del magisterio y la educación pública, reconoció que la medida representa un paso importante para atender una problemática persistente: la reubicación prolongada de maestros como medida cautelar sin adjudicación final por parte del Departamento de Educación.</w:t>
      </w:r>
    </w:p>
    <w:p w14:paraId="4228179E" w14:textId="77777777" w:rsidR="00D777B2" w:rsidRPr="00BE398D" w:rsidRDefault="00D777B2" w:rsidP="00BE398D">
      <w:pPr>
        <w:jc w:val="both"/>
        <w:rPr>
          <w:rFonts w:ascii="Book Antiqua" w:hAnsi="Book Antiqua"/>
          <w:lang w:val="es-ES_tradnl"/>
        </w:rPr>
      </w:pPr>
    </w:p>
    <w:p w14:paraId="2DE71F6E" w14:textId="3E7349CA" w:rsidR="00BE398D" w:rsidRDefault="00BE398D" w:rsidP="000A7D27">
      <w:pPr>
        <w:ind w:firstLine="720"/>
        <w:jc w:val="both"/>
        <w:rPr>
          <w:rFonts w:ascii="Book Antiqua" w:hAnsi="Book Antiqua"/>
          <w:lang w:val="es-ES_tradnl"/>
        </w:rPr>
      </w:pPr>
      <w:r w:rsidRPr="00BE398D">
        <w:rPr>
          <w:rFonts w:ascii="Book Antiqua" w:hAnsi="Book Antiqua"/>
          <w:lang w:val="es-ES_tradnl"/>
        </w:rPr>
        <w:t xml:space="preserve">El proyecto propone enmendar la Ley Núm. 85-2018 y la Ley Núm. 160-2020 para establecer un término máximo de un (1) año durante el cual un maestro o empleado </w:t>
      </w:r>
      <w:r w:rsidRPr="00BE398D">
        <w:rPr>
          <w:rFonts w:ascii="Book Antiqua" w:hAnsi="Book Antiqua"/>
          <w:lang w:val="es-ES_tradnl"/>
        </w:rPr>
        <w:lastRenderedPageBreak/>
        <w:t>pueda permanecer bajo medida cautelar</w:t>
      </w:r>
      <w:r w:rsidR="00BD33A0">
        <w:rPr>
          <w:rFonts w:ascii="Book Antiqua" w:hAnsi="Book Antiqua"/>
          <w:lang w:val="es-ES_tradnl"/>
        </w:rPr>
        <w:t xml:space="preserve">, </w:t>
      </w:r>
      <w:r w:rsidRPr="00BE398D">
        <w:rPr>
          <w:rFonts w:ascii="Book Antiqua" w:hAnsi="Book Antiqua"/>
          <w:lang w:val="es-ES_tradnl"/>
        </w:rPr>
        <w:t>específicamente aislado o trasladado temporalmente</w:t>
      </w:r>
      <w:r w:rsidR="00EB6EB3">
        <w:rPr>
          <w:rFonts w:ascii="Book Antiqua" w:hAnsi="Book Antiqua"/>
          <w:lang w:val="es-ES_tradnl"/>
        </w:rPr>
        <w:t xml:space="preserve">, </w:t>
      </w:r>
      <w:r w:rsidRPr="00BE398D">
        <w:rPr>
          <w:rFonts w:ascii="Book Antiqua" w:hAnsi="Book Antiqua"/>
          <w:lang w:val="es-ES_tradnl"/>
        </w:rPr>
        <w:t>mientras se investiga una querella en su contra. La AMPR explicó que estas medidas, tal como dispone el Reglamento Núm. 7565 (aún referido a pesar de haber sido derogado), permiten al Departamento tomar acción inmediata para salvaguardar la integridad del entorno escolar, y que usualmente implican la reubicación del docente a una oficina regional mientras se mantiene su salario intacto.</w:t>
      </w:r>
    </w:p>
    <w:p w14:paraId="55CC42DF" w14:textId="77777777" w:rsidR="00D777B2" w:rsidRPr="00BE398D" w:rsidRDefault="00D777B2" w:rsidP="00BE398D">
      <w:pPr>
        <w:jc w:val="both"/>
        <w:rPr>
          <w:rFonts w:ascii="Book Antiqua" w:hAnsi="Book Antiqua"/>
          <w:lang w:val="es-ES_tradnl"/>
        </w:rPr>
      </w:pPr>
    </w:p>
    <w:p w14:paraId="16AD986E" w14:textId="7965A4F0" w:rsidR="00BE398D" w:rsidRDefault="00BE398D" w:rsidP="000A7D27">
      <w:pPr>
        <w:ind w:firstLine="720"/>
        <w:jc w:val="both"/>
        <w:rPr>
          <w:rFonts w:ascii="Book Antiqua" w:hAnsi="Book Antiqua"/>
          <w:lang w:val="es-ES_tradnl"/>
        </w:rPr>
      </w:pPr>
      <w:r w:rsidRPr="00BE398D">
        <w:rPr>
          <w:rFonts w:ascii="Book Antiqua" w:hAnsi="Book Antiqua"/>
          <w:lang w:val="es-ES_tradnl"/>
        </w:rPr>
        <w:t>No obstante, la Asociación alertó que existen casos en los que los docentes han permanecido por años bajo este tipo de medida sin recibir una resolución o notificación de cierre o continuación del proceso. En ese sentido, valoran que el Proyecto de</w:t>
      </w:r>
      <w:r w:rsidR="00BA5B7E">
        <w:rPr>
          <w:rFonts w:ascii="Book Antiqua" w:hAnsi="Book Antiqua"/>
          <w:lang w:val="es-ES_tradnl"/>
        </w:rPr>
        <w:t xml:space="preserve"> la Cámara</w:t>
      </w:r>
      <w:r w:rsidRPr="00BE398D">
        <w:rPr>
          <w:rFonts w:ascii="Book Antiqua" w:hAnsi="Book Antiqua"/>
          <w:lang w:val="es-ES_tradnl"/>
        </w:rPr>
        <w:t xml:space="preserve"> 2</w:t>
      </w:r>
      <w:r w:rsidR="00BA5B7E">
        <w:rPr>
          <w:rFonts w:ascii="Book Antiqua" w:hAnsi="Book Antiqua"/>
          <w:lang w:val="es-ES_tradnl"/>
        </w:rPr>
        <w:t>00,</w:t>
      </w:r>
      <w:r w:rsidRPr="00BE398D">
        <w:rPr>
          <w:rFonts w:ascii="Book Antiqua" w:hAnsi="Book Antiqua"/>
          <w:lang w:val="es-ES_tradnl"/>
        </w:rPr>
        <w:t xml:space="preserve"> busca corregir esta deficiencia administrativa y brindar mayor certeza a los empleados afectados, reconociéndoles además el derecho a recurrir al tribunal mediante </w:t>
      </w:r>
      <w:proofErr w:type="spellStart"/>
      <w:r w:rsidRPr="00BE398D">
        <w:rPr>
          <w:rFonts w:ascii="Book Antiqua" w:hAnsi="Book Antiqua"/>
          <w:lang w:val="es-ES_tradnl"/>
        </w:rPr>
        <w:t>mandamus</w:t>
      </w:r>
      <w:proofErr w:type="spellEnd"/>
      <w:r w:rsidRPr="00BE398D">
        <w:rPr>
          <w:rFonts w:ascii="Book Antiqua" w:hAnsi="Book Antiqua"/>
          <w:lang w:val="es-ES_tradnl"/>
        </w:rPr>
        <w:t xml:space="preserve"> si el término de un año expira sin adjudicación.</w:t>
      </w:r>
    </w:p>
    <w:p w14:paraId="14CC0780" w14:textId="77777777" w:rsidR="00D777B2" w:rsidRPr="00BE398D" w:rsidRDefault="00D777B2" w:rsidP="00BE398D">
      <w:pPr>
        <w:jc w:val="both"/>
        <w:rPr>
          <w:rFonts w:ascii="Book Antiqua" w:hAnsi="Book Antiqua"/>
          <w:lang w:val="es-ES_tradnl"/>
        </w:rPr>
      </w:pPr>
    </w:p>
    <w:p w14:paraId="1CBD62CB" w14:textId="77777777" w:rsidR="00BE398D" w:rsidRDefault="00BE398D" w:rsidP="000A7D27">
      <w:pPr>
        <w:ind w:firstLine="720"/>
        <w:jc w:val="both"/>
        <w:rPr>
          <w:rFonts w:ascii="Book Antiqua" w:hAnsi="Book Antiqua"/>
          <w:lang w:val="es-ES_tradnl"/>
        </w:rPr>
      </w:pPr>
      <w:r w:rsidRPr="00BE398D">
        <w:rPr>
          <w:rFonts w:ascii="Book Antiqua" w:hAnsi="Book Antiqua"/>
          <w:lang w:val="es-ES_tradnl"/>
        </w:rPr>
        <w:t>Pese a este respaldo general, la AMPR también expresó preocupación sobre la capacidad real del Departamento de Educación para cumplir con ese término de un año, señalando que la División Legal enfrenta una alta carga de trabajo y limitaciones de personal. Advirtieron que un término rígido podría propiciar investigaciones superficiales o decisiones apresuradas que afecten injustamente al docente involucrado.</w:t>
      </w:r>
    </w:p>
    <w:p w14:paraId="6340F9AF" w14:textId="77777777" w:rsidR="00D777B2" w:rsidRPr="00BE398D" w:rsidRDefault="00D777B2" w:rsidP="00BE398D">
      <w:pPr>
        <w:jc w:val="both"/>
        <w:rPr>
          <w:rFonts w:ascii="Book Antiqua" w:hAnsi="Book Antiqua"/>
          <w:lang w:val="es-ES_tradnl"/>
        </w:rPr>
      </w:pPr>
    </w:p>
    <w:p w14:paraId="2883CD61" w14:textId="77777777" w:rsidR="00BE398D" w:rsidRDefault="00BE398D" w:rsidP="000A7D27">
      <w:pPr>
        <w:ind w:firstLine="720"/>
        <w:jc w:val="both"/>
        <w:rPr>
          <w:rFonts w:ascii="Book Antiqua" w:hAnsi="Book Antiqua"/>
          <w:lang w:val="es-ES_tradnl"/>
        </w:rPr>
      </w:pPr>
      <w:r w:rsidRPr="00BE398D">
        <w:rPr>
          <w:rFonts w:ascii="Book Antiqua" w:hAnsi="Book Antiqua"/>
          <w:lang w:val="es-ES_tradnl"/>
        </w:rPr>
        <w:t>En vista de lo anterior, la Asociación recomendó que, previo a la aprobación del proyecto, se evalúe la viabilidad operativa de imponer este límite de tiempo, de forma que se logre un balance entre proteger al empleado de procesos indefinidos y asegurar una investigación justa, completa y rigurosa.</w:t>
      </w:r>
    </w:p>
    <w:p w14:paraId="74773F77" w14:textId="77777777" w:rsidR="00D777B2" w:rsidRPr="00BE398D" w:rsidRDefault="00D777B2" w:rsidP="00BE398D">
      <w:pPr>
        <w:jc w:val="both"/>
        <w:rPr>
          <w:rFonts w:ascii="Book Antiqua" w:hAnsi="Book Antiqua"/>
          <w:lang w:val="es-ES_tradnl"/>
        </w:rPr>
      </w:pPr>
    </w:p>
    <w:p w14:paraId="636ACE97" w14:textId="77777777" w:rsidR="00BE398D" w:rsidRDefault="00BE398D" w:rsidP="000A7D27">
      <w:pPr>
        <w:ind w:firstLine="720"/>
        <w:jc w:val="both"/>
        <w:rPr>
          <w:rFonts w:ascii="Book Antiqua" w:hAnsi="Book Antiqua"/>
          <w:lang w:val="es-ES_tradnl"/>
        </w:rPr>
      </w:pPr>
      <w:r w:rsidRPr="00BE398D">
        <w:rPr>
          <w:rFonts w:ascii="Book Antiqua" w:hAnsi="Book Antiqua"/>
          <w:lang w:val="es-ES_tradnl"/>
        </w:rPr>
        <w:t>En conclusión, la Asociación de Maestros reiteró su compromiso con la defensa de los derechos del magisterio y su disposición a continuar colaborando en la búsqueda de soluciones que dignifiquen la profesión docente y fortalezcan el sistema de educación pública del país.</w:t>
      </w:r>
    </w:p>
    <w:p w14:paraId="17C6843A" w14:textId="77777777" w:rsidR="00095FBF" w:rsidRDefault="00095FBF" w:rsidP="00BE398D">
      <w:pPr>
        <w:jc w:val="both"/>
        <w:rPr>
          <w:rFonts w:ascii="Book Antiqua" w:hAnsi="Book Antiqua"/>
          <w:lang w:val="es-ES_tradnl"/>
        </w:rPr>
      </w:pPr>
    </w:p>
    <w:p w14:paraId="0F1BDE22" w14:textId="77777777" w:rsidR="00FC5EE3" w:rsidRDefault="00FC5EE3" w:rsidP="00095FBF">
      <w:pPr>
        <w:tabs>
          <w:tab w:val="left" w:pos="-720"/>
        </w:tabs>
        <w:suppressAutoHyphens/>
        <w:spacing w:before="120" w:after="120"/>
        <w:jc w:val="center"/>
        <w:rPr>
          <w:rFonts w:ascii="Book Antiqua" w:hAnsi="Book Antiqua"/>
          <w:b/>
          <w:bCs/>
          <w:u w:val="single"/>
          <w:lang w:val="es-PR"/>
        </w:rPr>
      </w:pPr>
    </w:p>
    <w:p w14:paraId="5FCA27CF" w14:textId="1C33ED1B" w:rsidR="00095FBF" w:rsidRPr="00A56440" w:rsidRDefault="00E246EC" w:rsidP="00095FBF">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 xml:space="preserve">UNIÓN </w:t>
      </w:r>
      <w:r w:rsidR="00A64155">
        <w:rPr>
          <w:rFonts w:ascii="Book Antiqua" w:hAnsi="Book Antiqua"/>
          <w:b/>
          <w:bCs/>
          <w:u w:val="single"/>
          <w:lang w:val="es-PR"/>
        </w:rPr>
        <w:t>AMERICANA DE LIBERTADES CIVILES</w:t>
      </w:r>
    </w:p>
    <w:p w14:paraId="264A86AA" w14:textId="77777777" w:rsidR="00FC5EE3" w:rsidRDefault="00FC5EE3" w:rsidP="003573F5">
      <w:pPr>
        <w:ind w:firstLine="720"/>
        <w:jc w:val="both"/>
        <w:rPr>
          <w:rFonts w:ascii="Book Antiqua" w:hAnsi="Book Antiqua"/>
          <w:lang w:val="es-ES_tradnl"/>
        </w:rPr>
      </w:pPr>
    </w:p>
    <w:p w14:paraId="17ADF8A7" w14:textId="41B9B4B2" w:rsidR="003573F5" w:rsidRDefault="003573F5" w:rsidP="003573F5">
      <w:pPr>
        <w:ind w:firstLine="720"/>
        <w:jc w:val="both"/>
        <w:rPr>
          <w:rFonts w:ascii="Book Antiqua" w:hAnsi="Book Antiqua"/>
          <w:lang w:val="es-ES_tradnl"/>
        </w:rPr>
      </w:pPr>
      <w:r w:rsidRPr="003573F5">
        <w:rPr>
          <w:rFonts w:ascii="Book Antiqua" w:hAnsi="Book Antiqua"/>
          <w:lang w:val="es-ES_tradnl"/>
        </w:rPr>
        <w:t xml:space="preserve">La American Civil </w:t>
      </w:r>
      <w:proofErr w:type="spellStart"/>
      <w:r w:rsidRPr="003573F5">
        <w:rPr>
          <w:rFonts w:ascii="Book Antiqua" w:hAnsi="Book Antiqua"/>
          <w:lang w:val="es-ES_tradnl"/>
        </w:rPr>
        <w:t>Liberties</w:t>
      </w:r>
      <w:proofErr w:type="spellEnd"/>
      <w:r w:rsidRPr="003573F5">
        <w:rPr>
          <w:rFonts w:ascii="Book Antiqua" w:hAnsi="Book Antiqua"/>
          <w:lang w:val="es-ES_tradnl"/>
        </w:rPr>
        <w:t xml:space="preserve"> </w:t>
      </w:r>
      <w:proofErr w:type="spellStart"/>
      <w:r w:rsidRPr="003573F5">
        <w:rPr>
          <w:rFonts w:ascii="Book Antiqua" w:hAnsi="Book Antiqua"/>
          <w:lang w:val="es-ES_tradnl"/>
        </w:rPr>
        <w:t>Union</w:t>
      </w:r>
      <w:proofErr w:type="spellEnd"/>
      <w:r w:rsidRPr="003573F5">
        <w:rPr>
          <w:rFonts w:ascii="Book Antiqua" w:hAnsi="Book Antiqua"/>
          <w:lang w:val="es-ES_tradnl"/>
        </w:rPr>
        <w:t xml:space="preserve"> (</w:t>
      </w:r>
      <w:r>
        <w:rPr>
          <w:rFonts w:ascii="Book Antiqua" w:hAnsi="Book Antiqua"/>
          <w:lang w:val="es-ES_tradnl"/>
        </w:rPr>
        <w:t xml:space="preserve">en adelante </w:t>
      </w:r>
      <w:r w:rsidRPr="003573F5">
        <w:rPr>
          <w:rFonts w:ascii="Book Antiqua" w:hAnsi="Book Antiqua"/>
          <w:lang w:val="es-ES_tradnl"/>
        </w:rPr>
        <w:t>ACLU) de Puerto Rico</w:t>
      </w:r>
      <w:r w:rsidR="00FC5EE3">
        <w:rPr>
          <w:rFonts w:ascii="Book Antiqua" w:hAnsi="Book Antiqua"/>
          <w:lang w:val="es-ES_tradnl"/>
        </w:rPr>
        <w:t>,</w:t>
      </w:r>
      <w:r w:rsidRPr="003573F5">
        <w:rPr>
          <w:rFonts w:ascii="Book Antiqua" w:hAnsi="Book Antiqua"/>
          <w:lang w:val="es-ES_tradnl"/>
        </w:rPr>
        <w:t xml:space="preserve"> </w:t>
      </w:r>
      <w:r w:rsidR="00FC5EE3">
        <w:rPr>
          <w:rFonts w:ascii="Book Antiqua" w:hAnsi="Book Antiqua"/>
          <w:lang w:val="es-ES_tradnl"/>
        </w:rPr>
        <w:t xml:space="preserve">expresó </w:t>
      </w:r>
      <w:r w:rsidRPr="003573F5">
        <w:rPr>
          <w:rFonts w:ascii="Book Antiqua" w:hAnsi="Book Antiqua"/>
          <w:lang w:val="es-ES_tradnl"/>
        </w:rPr>
        <w:t>su posición respecto al Proyecto de la Cámara 200. En su memorial, la entidad manifestó estar a favor de la medida, destacando que esta contribuye a garantizar el debido proceso de ley y a evitar que los maestros y empleados del Departamento de Educación permanezcan bajo medidas cautelares indefinidas que lesionen sus derechos fundamentales.</w:t>
      </w:r>
    </w:p>
    <w:p w14:paraId="5C560270" w14:textId="77777777" w:rsidR="003573F5" w:rsidRPr="003573F5" w:rsidRDefault="003573F5" w:rsidP="003573F5">
      <w:pPr>
        <w:ind w:firstLine="720"/>
        <w:jc w:val="both"/>
        <w:rPr>
          <w:rFonts w:ascii="Book Antiqua" w:hAnsi="Book Antiqua"/>
          <w:lang w:val="es-ES_tradnl"/>
        </w:rPr>
      </w:pPr>
    </w:p>
    <w:p w14:paraId="0828EA46" w14:textId="77777777" w:rsidR="003573F5" w:rsidRDefault="003573F5" w:rsidP="003573F5">
      <w:pPr>
        <w:ind w:firstLine="720"/>
        <w:jc w:val="both"/>
        <w:rPr>
          <w:rFonts w:ascii="Book Antiqua" w:hAnsi="Book Antiqua"/>
          <w:lang w:val="es-ES_tradnl"/>
        </w:rPr>
      </w:pPr>
      <w:r w:rsidRPr="003573F5">
        <w:rPr>
          <w:rFonts w:ascii="Book Antiqua" w:hAnsi="Book Antiqua"/>
          <w:lang w:val="es-ES_tradnl"/>
        </w:rPr>
        <w:lastRenderedPageBreak/>
        <w:t>La organización subrayó que la ausencia de un límite temporal para las medidas cautelares ha permitido que, en múltiples ocasiones, docentes y personal no docente sean separados de sus funciones por periodos que se extienden por años, sin que medie una adjudicación final de las alegaciones en su contra. Esta situación, según la ACLU, no solo menoscaba la presunción de inocencia, sino que también equivale a un castigo anticipado sin una determinación de responsabilidad. Recalcó que la medida en discusión es un paso necesario para corregir una práctica administrativa que ha tenido efectos adversos en la vida profesional, económica y emocional de muchos trabajadores de la educación.</w:t>
      </w:r>
    </w:p>
    <w:p w14:paraId="5C4526EC" w14:textId="77777777" w:rsidR="003573F5" w:rsidRPr="003573F5" w:rsidRDefault="003573F5" w:rsidP="003573F5">
      <w:pPr>
        <w:ind w:firstLine="720"/>
        <w:jc w:val="both"/>
        <w:rPr>
          <w:rFonts w:ascii="Book Antiqua" w:hAnsi="Book Antiqua"/>
          <w:lang w:val="es-ES_tradnl"/>
        </w:rPr>
      </w:pPr>
    </w:p>
    <w:p w14:paraId="24B03D79" w14:textId="52F07692" w:rsidR="003573F5" w:rsidRDefault="003573F5" w:rsidP="003573F5">
      <w:pPr>
        <w:ind w:firstLine="720"/>
        <w:jc w:val="both"/>
        <w:rPr>
          <w:rFonts w:ascii="Book Antiqua" w:hAnsi="Book Antiqua"/>
          <w:lang w:val="es-ES_tradnl"/>
        </w:rPr>
      </w:pPr>
      <w:r w:rsidRPr="003573F5">
        <w:rPr>
          <w:rFonts w:ascii="Book Antiqua" w:hAnsi="Book Antiqua"/>
          <w:lang w:val="es-ES_tradnl"/>
        </w:rPr>
        <w:t>En su argumentación, la ACLU enfatizó los fundamentos constitucionales y legales que respaldan la medida, en particular las garantías reconocidas tanto en la Constitución de los Estados Unidos como en la de</w:t>
      </w:r>
      <w:r w:rsidR="00FC5EE3">
        <w:rPr>
          <w:rFonts w:ascii="Book Antiqua" w:hAnsi="Book Antiqua"/>
          <w:lang w:val="es-ES_tradnl"/>
        </w:rPr>
        <w:t xml:space="preserve"> </w:t>
      </w:r>
      <w:r w:rsidRPr="003573F5">
        <w:rPr>
          <w:rFonts w:ascii="Book Antiqua" w:hAnsi="Book Antiqua"/>
          <w:lang w:val="es-ES_tradnl"/>
        </w:rPr>
        <w:t>Puerto Rico, que prohíben privar a una persona de su libertad o propiedad sin el debido proceso de ley. En este contexto, la organización sostuvo que el Proyecto de la Cámara 200 aporta un marco más justo y equitativo, al establecer un término de un año para la duración de las medidas cautelares, con la posibilidad de extender dicho periodo únicamente en casos de fuerza mayor o causa justificada, previa solicitud fundamentada.</w:t>
      </w:r>
    </w:p>
    <w:p w14:paraId="00CA204E" w14:textId="77777777" w:rsidR="003573F5" w:rsidRPr="003573F5" w:rsidRDefault="003573F5" w:rsidP="003573F5">
      <w:pPr>
        <w:ind w:firstLine="720"/>
        <w:jc w:val="both"/>
        <w:rPr>
          <w:rFonts w:ascii="Book Antiqua" w:hAnsi="Book Antiqua"/>
          <w:lang w:val="es-ES_tradnl"/>
        </w:rPr>
      </w:pPr>
    </w:p>
    <w:p w14:paraId="18330DB9" w14:textId="77777777" w:rsidR="003573F5" w:rsidRDefault="003573F5" w:rsidP="003573F5">
      <w:pPr>
        <w:ind w:firstLine="720"/>
        <w:jc w:val="both"/>
        <w:rPr>
          <w:rFonts w:ascii="Book Antiqua" w:hAnsi="Book Antiqua"/>
          <w:lang w:val="es-ES_tradnl"/>
        </w:rPr>
      </w:pPr>
      <w:r w:rsidRPr="003573F5">
        <w:rPr>
          <w:rFonts w:ascii="Book Antiqua" w:hAnsi="Book Antiqua"/>
          <w:lang w:val="es-ES_tradnl"/>
        </w:rPr>
        <w:t>La ACLU también resaltó la dimensión social de la medida, señalando que el uso indefinido de medidas cautelares ha afectado de manera desproporcionada a maestros que, a pesar de continuar devengando su salario, quedan marginados de sus funciones docentes y experimentan un estigma profesional que incide en su reputación pública y en su integración al sistema educativo. Expuso que esta realidad crea un ambiente de incertidumbre que erosiona la confianza en los procesos administrativos y en la capacidad del Departamento de Educación para actuar de manera justa y transparente.</w:t>
      </w:r>
    </w:p>
    <w:p w14:paraId="00EED4B7" w14:textId="77777777" w:rsidR="003573F5" w:rsidRPr="003573F5" w:rsidRDefault="003573F5" w:rsidP="003573F5">
      <w:pPr>
        <w:ind w:firstLine="720"/>
        <w:jc w:val="both"/>
        <w:rPr>
          <w:rFonts w:ascii="Book Antiqua" w:hAnsi="Book Antiqua"/>
          <w:lang w:val="es-ES_tradnl"/>
        </w:rPr>
      </w:pPr>
    </w:p>
    <w:p w14:paraId="79A21F9C" w14:textId="77777777" w:rsidR="003573F5" w:rsidRPr="003573F5" w:rsidRDefault="003573F5" w:rsidP="003573F5">
      <w:pPr>
        <w:ind w:firstLine="720"/>
        <w:jc w:val="both"/>
        <w:rPr>
          <w:rFonts w:ascii="Book Antiqua" w:hAnsi="Book Antiqua"/>
          <w:lang w:val="es-ES_tradnl"/>
        </w:rPr>
      </w:pPr>
      <w:r w:rsidRPr="003573F5">
        <w:rPr>
          <w:rFonts w:ascii="Book Antiqua" w:hAnsi="Book Antiqua"/>
          <w:lang w:val="es-ES_tradnl"/>
        </w:rPr>
        <w:t>En conclusión, la ACLU de Puerto Rico recomendó la aprobación del Proyecto de la Cámara 200, reconociendo que su implementación fortalece el respeto a los derechos constitucionales, asegura un balance entre la facultad del Estado para disciplinar a sus empleados y la obligación de garantizar justicia, y contribuye a la construcción de un sistema educativo más equitativo y respetuoso de la dignidad de los maestros.</w:t>
      </w:r>
    </w:p>
    <w:p w14:paraId="783C665B" w14:textId="77777777" w:rsidR="00004DA7" w:rsidRDefault="00004DA7" w:rsidP="00A56440">
      <w:pPr>
        <w:jc w:val="both"/>
        <w:rPr>
          <w:rFonts w:ascii="Book Antiqua" w:hAnsi="Book Antiqua"/>
          <w:b/>
          <w:bCs/>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032C1E">
      <w:pPr>
        <w:tabs>
          <w:tab w:val="left" w:pos="-720"/>
        </w:tabs>
        <w:suppressAutoHyphens/>
        <w:spacing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2F68B3FB" w:rsidR="007F30C2" w:rsidRDefault="00286C08" w:rsidP="001F1CD6">
      <w:pPr>
        <w:tabs>
          <w:tab w:val="left" w:pos="-720"/>
        </w:tabs>
        <w:suppressAutoHyphens/>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w:t>
      </w:r>
      <w:r w:rsidR="00032C1E">
        <w:rPr>
          <w:rFonts w:ascii="Book Antiqua" w:hAnsi="Book Antiqua"/>
          <w:szCs w:val="24"/>
          <w:lang w:val="es-PR"/>
        </w:rPr>
        <w:t xml:space="preserve"> </w:t>
      </w:r>
      <w:r w:rsidR="007F30C2" w:rsidRPr="007F30C2">
        <w:rPr>
          <w:rFonts w:ascii="Book Antiqua" w:hAnsi="Book Antiqua"/>
          <w:szCs w:val="24"/>
          <w:lang w:val="es-PR"/>
        </w:rPr>
        <w:t>l</w:t>
      </w:r>
      <w:r w:rsidR="00032C1E">
        <w:rPr>
          <w:rFonts w:ascii="Book Antiqua" w:hAnsi="Book Antiqua"/>
          <w:szCs w:val="24"/>
          <w:lang w:val="es-PR"/>
        </w:rPr>
        <w:t>a</w:t>
      </w:r>
      <w:r w:rsidR="007F30C2" w:rsidRPr="007F30C2">
        <w:rPr>
          <w:rFonts w:ascii="Book Antiqua" w:hAnsi="Book Antiqua"/>
          <w:szCs w:val="24"/>
          <w:lang w:val="es-PR"/>
        </w:rPr>
        <w:t xml:space="preserve"> </w:t>
      </w:r>
      <w:r w:rsidR="00032C1E">
        <w:rPr>
          <w:rFonts w:ascii="Book Antiqua" w:hAnsi="Book Antiqua"/>
          <w:szCs w:val="24"/>
          <w:lang w:val="es-PR"/>
        </w:rPr>
        <w:t>C</w:t>
      </w:r>
      <w:r w:rsidR="007F30C2" w:rsidRPr="007F30C2">
        <w:rPr>
          <w:rFonts w:ascii="Book Antiqua" w:hAnsi="Book Antiqua"/>
          <w:szCs w:val="24"/>
          <w:lang w:val="es-PR"/>
        </w:rPr>
        <w:t>.</w:t>
      </w:r>
      <w:r w:rsidR="00FB2E20">
        <w:rPr>
          <w:rFonts w:ascii="Book Antiqua" w:hAnsi="Book Antiqua"/>
          <w:szCs w:val="24"/>
          <w:lang w:val="es-PR"/>
        </w:rPr>
        <w:t xml:space="preserve"> </w:t>
      </w:r>
      <w:r w:rsidR="00032C1E">
        <w:rPr>
          <w:rFonts w:ascii="Book Antiqua" w:hAnsi="Book Antiqua"/>
          <w:szCs w:val="24"/>
          <w:lang w:val="es-PR"/>
        </w:rPr>
        <w:t>200</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16059F8A" w14:textId="77777777" w:rsidR="001F1CD6" w:rsidRDefault="001F1CD6" w:rsidP="001F1CD6">
      <w:pPr>
        <w:tabs>
          <w:tab w:val="left" w:pos="-720"/>
        </w:tabs>
        <w:suppressAutoHyphens/>
        <w:jc w:val="both"/>
        <w:rPr>
          <w:rFonts w:ascii="Book Antiqua" w:hAnsi="Book Antiqua"/>
          <w:szCs w:val="24"/>
          <w:lang w:val="es-PR"/>
        </w:rPr>
      </w:pPr>
    </w:p>
    <w:p w14:paraId="1DBFA409" w14:textId="77777777" w:rsidR="001F1CD6" w:rsidRDefault="001F1CD6" w:rsidP="001F1CD6">
      <w:pPr>
        <w:tabs>
          <w:tab w:val="left" w:pos="-720"/>
        </w:tabs>
        <w:suppressAutoHyphens/>
        <w:jc w:val="both"/>
        <w:rPr>
          <w:rFonts w:ascii="Book Antiqua" w:hAnsi="Book Antiqua"/>
          <w:szCs w:val="24"/>
          <w:lang w:val="es-PR"/>
        </w:rPr>
      </w:pPr>
    </w:p>
    <w:p w14:paraId="4FFC2E45" w14:textId="77777777" w:rsidR="00FC5EE3" w:rsidRDefault="00FC5EE3" w:rsidP="00032C1E">
      <w:pPr>
        <w:tabs>
          <w:tab w:val="left" w:pos="-720"/>
        </w:tabs>
        <w:suppressAutoHyphens/>
        <w:spacing w:line="360" w:lineRule="auto"/>
        <w:jc w:val="center"/>
        <w:rPr>
          <w:rFonts w:ascii="Book Antiqua" w:hAnsi="Book Antiqua"/>
          <w:b/>
          <w:bCs/>
          <w:szCs w:val="24"/>
          <w:lang w:val="es-PR"/>
        </w:rPr>
      </w:pPr>
    </w:p>
    <w:p w14:paraId="313C1DBF" w14:textId="77777777" w:rsidR="00FC5EE3" w:rsidRDefault="00FC5EE3" w:rsidP="00032C1E">
      <w:pPr>
        <w:tabs>
          <w:tab w:val="left" w:pos="-720"/>
        </w:tabs>
        <w:suppressAutoHyphens/>
        <w:spacing w:line="360" w:lineRule="auto"/>
        <w:jc w:val="center"/>
        <w:rPr>
          <w:rFonts w:ascii="Book Antiqua" w:hAnsi="Book Antiqua"/>
          <w:b/>
          <w:bCs/>
          <w:szCs w:val="24"/>
          <w:lang w:val="es-PR"/>
        </w:rPr>
      </w:pPr>
    </w:p>
    <w:p w14:paraId="3426750F" w14:textId="77777777" w:rsidR="009E46F8" w:rsidRDefault="009E46F8" w:rsidP="00032C1E">
      <w:pPr>
        <w:tabs>
          <w:tab w:val="left" w:pos="-720"/>
        </w:tabs>
        <w:suppressAutoHyphens/>
        <w:spacing w:line="360" w:lineRule="auto"/>
        <w:jc w:val="center"/>
        <w:rPr>
          <w:rFonts w:ascii="Book Antiqua" w:hAnsi="Book Antiqua"/>
          <w:b/>
          <w:bCs/>
          <w:szCs w:val="24"/>
          <w:lang w:val="es-PR"/>
        </w:rPr>
      </w:pPr>
    </w:p>
    <w:p w14:paraId="4B6F204C" w14:textId="42BBA7F0" w:rsidR="001F1CD6" w:rsidRDefault="0028497D" w:rsidP="00032C1E">
      <w:pPr>
        <w:tabs>
          <w:tab w:val="left" w:pos="-720"/>
        </w:tabs>
        <w:suppressAutoHyphens/>
        <w:spacing w:line="360" w:lineRule="auto"/>
        <w:jc w:val="center"/>
        <w:rPr>
          <w:rFonts w:ascii="Book Antiqua" w:hAnsi="Book Antiqua"/>
          <w:b/>
          <w:bCs/>
          <w:szCs w:val="24"/>
          <w:lang w:val="es-PR"/>
        </w:rPr>
      </w:pPr>
      <w:r>
        <w:rPr>
          <w:rFonts w:ascii="Book Antiqua" w:hAnsi="Book Antiqua"/>
          <w:b/>
          <w:bCs/>
          <w:szCs w:val="24"/>
          <w:lang w:val="es-PR"/>
        </w:rPr>
        <w:t>C</w:t>
      </w:r>
      <w:r w:rsidR="007F30C2" w:rsidRPr="007F30C2">
        <w:rPr>
          <w:rFonts w:ascii="Book Antiqua" w:hAnsi="Book Antiqua"/>
          <w:b/>
          <w:bCs/>
          <w:szCs w:val="24"/>
          <w:lang w:val="es-PR"/>
        </w:rPr>
        <w:t xml:space="preserve">ONCLUSIÓN </w:t>
      </w:r>
    </w:p>
    <w:p w14:paraId="6D1B6401" w14:textId="1AF6D633" w:rsidR="00FC5EE3" w:rsidRPr="00FC5EE3" w:rsidRDefault="001F1CD6" w:rsidP="00FC5EE3">
      <w:pPr>
        <w:tabs>
          <w:tab w:val="left" w:pos="-720"/>
        </w:tabs>
        <w:suppressAutoHyphens/>
        <w:jc w:val="both"/>
        <w:rPr>
          <w:rFonts w:ascii="Book Antiqua" w:hAnsi="Book Antiqua"/>
          <w:lang w:val="es-ES_tradnl"/>
        </w:rPr>
      </w:pPr>
      <w:r>
        <w:rPr>
          <w:rFonts w:ascii="Book Antiqua" w:hAnsi="Book Antiqua"/>
          <w:lang w:val="es-ES_tradnl"/>
        </w:rPr>
        <w:tab/>
      </w:r>
      <w:r w:rsidR="00CB56B9" w:rsidRPr="00CB56B9">
        <w:rPr>
          <w:rFonts w:ascii="Book Antiqua" w:hAnsi="Book Antiqua"/>
          <w:lang w:val="es-ES_tradnl"/>
        </w:rPr>
        <w:t>La Comisión de Educación, Arte y Cultura del Senado de Puerto Rico, tras examinar con detenimiento el contenido del Proyecto de la Cámara 200, así como los memoriales explicativos sometidos por las entidades concernidas</w:t>
      </w:r>
      <w:r w:rsidR="00FC5EE3">
        <w:rPr>
          <w:rFonts w:ascii="Book Antiqua" w:hAnsi="Book Antiqua"/>
          <w:lang w:val="es-ES_tradnl"/>
        </w:rPr>
        <w:t xml:space="preserve"> </w:t>
      </w:r>
      <w:r w:rsidR="009E46F8">
        <w:rPr>
          <w:rFonts w:ascii="Book Antiqua" w:hAnsi="Book Antiqua"/>
          <w:lang w:val="es-ES_tradnl"/>
        </w:rPr>
        <w:t xml:space="preserve">entiende que la </w:t>
      </w:r>
      <w:r w:rsidR="00FC5EE3" w:rsidRPr="00FC5EE3">
        <w:rPr>
          <w:rFonts w:ascii="Book Antiqua" w:hAnsi="Book Antiqua"/>
          <w:lang w:val="es-PR"/>
        </w:rPr>
        <w:t xml:space="preserve">aprobación </w:t>
      </w:r>
      <w:r w:rsidR="009E46F8">
        <w:rPr>
          <w:rFonts w:ascii="Book Antiqua" w:hAnsi="Book Antiqua"/>
          <w:lang w:val="es-PR"/>
        </w:rPr>
        <w:t xml:space="preserve">de la medida </w:t>
      </w:r>
      <w:r w:rsidR="00FC5EE3" w:rsidRPr="00FC5EE3">
        <w:rPr>
          <w:rFonts w:ascii="Book Antiqua" w:hAnsi="Book Antiqua"/>
          <w:lang w:val="es-PR"/>
        </w:rPr>
        <w:t>resulta no solo meritoria, sino indispensable para corregir una práctica administrativa que ha vulnerado los derechos de cientos de empleados del sistema educativo. La medida atiende una laguna normativa que ha permitido la imposición de medidas cautelares sin un término definido, lo que en la práctica ha significado la separación de maestros de sus funciones por periodos excesivos, en algunos casos de varios años, sin adjudicación final de la querella presentada en su contra. Esta situación, documentada por la propia Asamblea Legislativa, constituye una violación directa al debido proceso de ley y afecta injustamente la carrera profesional y la estabilidad emocional y económica de los docentes.</w:t>
      </w:r>
    </w:p>
    <w:p w14:paraId="093E6B2D" w14:textId="77777777" w:rsidR="009E46F8" w:rsidRDefault="009E46F8" w:rsidP="00FC5EE3">
      <w:pPr>
        <w:tabs>
          <w:tab w:val="left" w:pos="-720"/>
        </w:tabs>
        <w:suppressAutoHyphens/>
        <w:jc w:val="both"/>
        <w:rPr>
          <w:rFonts w:ascii="Book Antiqua" w:hAnsi="Book Antiqua"/>
          <w:lang w:val="es-PR"/>
        </w:rPr>
      </w:pPr>
    </w:p>
    <w:p w14:paraId="4ED861D7" w14:textId="3AA24F7A" w:rsidR="00FC5EE3" w:rsidRPr="00FC5EE3" w:rsidRDefault="009E46F8" w:rsidP="00FC5EE3">
      <w:pPr>
        <w:tabs>
          <w:tab w:val="left" w:pos="-720"/>
        </w:tabs>
        <w:suppressAutoHyphens/>
        <w:jc w:val="both"/>
        <w:rPr>
          <w:rFonts w:ascii="Book Antiqua" w:hAnsi="Book Antiqua"/>
          <w:lang w:val="es-PR"/>
        </w:rPr>
      </w:pPr>
      <w:r>
        <w:rPr>
          <w:rFonts w:ascii="Book Antiqua" w:hAnsi="Book Antiqua"/>
          <w:lang w:val="es-PR"/>
        </w:rPr>
        <w:tab/>
      </w:r>
      <w:r w:rsidR="00FC5EE3" w:rsidRPr="00FC5EE3">
        <w:rPr>
          <w:rFonts w:ascii="Book Antiqua" w:hAnsi="Book Antiqua"/>
          <w:lang w:val="es-PR"/>
        </w:rPr>
        <w:t>Las posiciones vertidas en los memoriales confirman la pertinencia de esta pieza legislativa. El Departamento de Educación endosa la medida al reconocer que provee un balance adecuado entre la eficiencia administrativa y la protección de derechos constitucionales, además de que introduce certeza, transparencia y agilidad en los procesos disciplinarios. Por su parte, el Departamento de Justicia concluye que no existen impedimentos constitucionales para su aprobación y recomienda ajustes técnicos al lenguaje, lo que refleja la viabilidad jurídica de la propuesta. La Asociación de Maestros, aunque señala reservas sobre la capacidad operacional de la agencia, coincide en que la medida representa un paso necesario para corregir dilaciones indefinidas que afectan al magisterio, y destaca la importancia de salvaguardar el derecho de recurrir al tribunal si se incumple el término establecido. Finalmente, la Unión Americana de Libertades Civiles subraya que la medida protege derechos fundamentales y corrige una práctica que, en la realidad, ha operado como un castigo anticipado, contrario a los principios de justicia y equidad.</w:t>
      </w:r>
    </w:p>
    <w:p w14:paraId="606B5782" w14:textId="77777777" w:rsidR="009E46F8" w:rsidRDefault="009E46F8" w:rsidP="00FC5EE3">
      <w:pPr>
        <w:tabs>
          <w:tab w:val="left" w:pos="-720"/>
        </w:tabs>
        <w:suppressAutoHyphens/>
        <w:jc w:val="both"/>
        <w:rPr>
          <w:rFonts w:ascii="Book Antiqua" w:hAnsi="Book Antiqua"/>
          <w:lang w:val="es-PR"/>
        </w:rPr>
      </w:pPr>
    </w:p>
    <w:p w14:paraId="374E734D" w14:textId="77777777" w:rsidR="009E46F8" w:rsidRDefault="009E46F8" w:rsidP="00FC5EE3">
      <w:pPr>
        <w:tabs>
          <w:tab w:val="left" w:pos="-720"/>
        </w:tabs>
        <w:suppressAutoHyphens/>
        <w:jc w:val="both"/>
        <w:rPr>
          <w:rFonts w:ascii="Book Antiqua" w:hAnsi="Book Antiqua"/>
          <w:lang w:val="es-PR"/>
        </w:rPr>
      </w:pPr>
      <w:r>
        <w:rPr>
          <w:rFonts w:ascii="Book Antiqua" w:hAnsi="Book Antiqua"/>
          <w:lang w:val="es-PR"/>
        </w:rPr>
        <w:tab/>
      </w:r>
      <w:r w:rsidR="00FC5EE3" w:rsidRPr="00FC5EE3">
        <w:rPr>
          <w:rFonts w:ascii="Book Antiqua" w:hAnsi="Book Antiqua"/>
          <w:lang w:val="es-PR"/>
        </w:rPr>
        <w:t>La aprobación del P. de la C. 200 refuerza, además, la política pública educativa que persigue un sistema justo, transparente y respetuoso de la dignidad de sus trabajadores. Al establecer un término máximo de un año para la imposición de medidas cautelares, prorrogable solo en circunstancias excepcionales y debidamente fundamentadas, se garantiza que el Departamento de Educación actúe con responsabilidad, prontitud y respeto hacia los derechos de sus empleados. Asimismo, al enmendar la Carta de Derechos de los Maestros, se reconoce expresamente la protección contra separaciones indefinidas del empleo, reforzando así las garantías constitucionales que amparan al magisterio.</w:t>
      </w:r>
      <w:r>
        <w:rPr>
          <w:rFonts w:ascii="Book Antiqua" w:hAnsi="Book Antiqua"/>
          <w:lang w:val="es-PR"/>
        </w:rPr>
        <w:t xml:space="preserve"> </w:t>
      </w:r>
    </w:p>
    <w:p w14:paraId="356488CE" w14:textId="77777777" w:rsidR="009E46F8" w:rsidRDefault="009E46F8" w:rsidP="00FC5EE3">
      <w:pPr>
        <w:tabs>
          <w:tab w:val="left" w:pos="-720"/>
        </w:tabs>
        <w:suppressAutoHyphens/>
        <w:jc w:val="both"/>
        <w:rPr>
          <w:rFonts w:ascii="Book Antiqua" w:hAnsi="Book Antiqua"/>
          <w:lang w:val="es-PR"/>
        </w:rPr>
      </w:pPr>
    </w:p>
    <w:p w14:paraId="30B735AD" w14:textId="53CEE1DC" w:rsidR="00FC5EE3" w:rsidRPr="00FC5EE3" w:rsidRDefault="009E46F8" w:rsidP="00FC5EE3">
      <w:pPr>
        <w:tabs>
          <w:tab w:val="left" w:pos="-720"/>
        </w:tabs>
        <w:suppressAutoHyphens/>
        <w:jc w:val="both"/>
        <w:rPr>
          <w:rFonts w:ascii="Book Antiqua" w:hAnsi="Book Antiqua"/>
          <w:lang w:val="es-PR"/>
        </w:rPr>
      </w:pPr>
      <w:r>
        <w:rPr>
          <w:rFonts w:ascii="Book Antiqua" w:hAnsi="Book Antiqua"/>
          <w:lang w:val="es-PR"/>
        </w:rPr>
        <w:tab/>
        <w:t>Por tal motivo</w:t>
      </w:r>
      <w:r w:rsidR="00FC5EE3" w:rsidRPr="00FC5EE3">
        <w:rPr>
          <w:rFonts w:ascii="Book Antiqua" w:hAnsi="Book Antiqua"/>
          <w:lang w:val="es-PR"/>
        </w:rPr>
        <w:t xml:space="preserve">, el Proyecto de la Cámara 200 constituye una herramienta legislativa esencial para restablecer la confianza en los procesos administrativos del </w:t>
      </w:r>
      <w:r w:rsidR="00FC5EE3" w:rsidRPr="00FC5EE3">
        <w:rPr>
          <w:rFonts w:ascii="Book Antiqua" w:hAnsi="Book Antiqua"/>
          <w:lang w:val="es-PR"/>
        </w:rPr>
        <w:lastRenderedPageBreak/>
        <w:t>Departamento de Educación, asegurar la justicia en el trato hacia el personal docente y prevenir que medidas cautelares se conviertan en sanciones encubiertas. Su aprobación contribuirá a fortalecer la integridad del sistema educativo público de Puerto Rico, protegiendo a la vez el interés social y la dignidad de quienes dedican su vida a la enseñanza.</w:t>
      </w:r>
    </w:p>
    <w:p w14:paraId="12546E4F" w14:textId="77777777" w:rsidR="00CB56B9" w:rsidRPr="00CB56B9" w:rsidRDefault="00CB56B9" w:rsidP="00CB56B9">
      <w:pPr>
        <w:tabs>
          <w:tab w:val="left" w:pos="-720"/>
        </w:tabs>
        <w:suppressAutoHyphens/>
        <w:jc w:val="both"/>
        <w:rPr>
          <w:rFonts w:ascii="Book Antiqua" w:hAnsi="Book Antiqua"/>
          <w:lang w:val="es-ES_tradnl"/>
        </w:rPr>
      </w:pPr>
    </w:p>
    <w:p w14:paraId="089A8C20" w14:textId="5784F49E" w:rsidR="00CB56B9" w:rsidRDefault="00CB56B9" w:rsidP="00CB56B9">
      <w:pPr>
        <w:tabs>
          <w:tab w:val="left" w:pos="-720"/>
        </w:tabs>
        <w:suppressAutoHyphens/>
        <w:jc w:val="both"/>
        <w:rPr>
          <w:rFonts w:ascii="Book Antiqua" w:hAnsi="Book Antiqua"/>
          <w:lang w:val="es-ES_tradnl"/>
        </w:rPr>
      </w:pPr>
      <w:r w:rsidRPr="00CB56B9">
        <w:rPr>
          <w:rFonts w:ascii="Book Antiqua" w:hAnsi="Book Antiqua"/>
          <w:lang w:val="es-ES_tradnl"/>
        </w:rPr>
        <w:tab/>
        <w:t xml:space="preserve">A TENOR CON LO ANTES EXPUESTO, la Comisión de Educación, Arte y Cultura </w:t>
      </w:r>
      <w:r w:rsidRPr="00FC5EE3">
        <w:rPr>
          <w:rFonts w:ascii="Book Antiqua" w:hAnsi="Book Antiqua"/>
          <w:b/>
          <w:bCs/>
          <w:lang w:val="es-ES_tradnl"/>
        </w:rPr>
        <w:t>recomienda</w:t>
      </w:r>
      <w:r w:rsidRPr="00CB56B9">
        <w:rPr>
          <w:rFonts w:ascii="Book Antiqua" w:hAnsi="Book Antiqua"/>
          <w:lang w:val="es-ES_tradnl"/>
        </w:rPr>
        <w:t xml:space="preserve"> </w:t>
      </w:r>
      <w:r w:rsidRPr="00FC5EE3">
        <w:rPr>
          <w:rFonts w:ascii="Book Antiqua" w:hAnsi="Book Antiqua"/>
          <w:b/>
          <w:bCs/>
          <w:lang w:val="es-ES_tradnl"/>
        </w:rPr>
        <w:t>la aprobación</w:t>
      </w:r>
      <w:r w:rsidRPr="00CB56B9">
        <w:rPr>
          <w:rFonts w:ascii="Book Antiqua" w:hAnsi="Book Antiqua"/>
          <w:lang w:val="es-ES_tradnl"/>
        </w:rPr>
        <w:t xml:space="preserve"> del Proyecto de la Cámara 200, </w:t>
      </w:r>
      <w:r w:rsidR="00FC5EE3">
        <w:rPr>
          <w:rFonts w:ascii="Book Antiqua" w:hAnsi="Book Antiqua"/>
          <w:lang w:val="es-ES_tradnl"/>
        </w:rPr>
        <w:t xml:space="preserve">con las enmiendas contenidas en el </w:t>
      </w:r>
      <w:proofErr w:type="spellStart"/>
      <w:r w:rsidR="00FC5EE3">
        <w:rPr>
          <w:rFonts w:ascii="Book Antiqua" w:hAnsi="Book Antiqua"/>
          <w:lang w:val="es-ES_tradnl"/>
        </w:rPr>
        <w:t>entirillado</w:t>
      </w:r>
      <w:proofErr w:type="spellEnd"/>
      <w:r w:rsidR="00FC5EE3">
        <w:rPr>
          <w:rFonts w:ascii="Book Antiqua" w:hAnsi="Book Antiqua"/>
          <w:lang w:val="es-ES_tradnl"/>
        </w:rPr>
        <w:t xml:space="preserve"> electrónico que se acompaña.</w:t>
      </w:r>
    </w:p>
    <w:p w14:paraId="2CAE450F" w14:textId="77777777" w:rsidR="00C626A3" w:rsidRPr="00CB56B9" w:rsidRDefault="00C626A3" w:rsidP="00CB56B9">
      <w:pPr>
        <w:tabs>
          <w:tab w:val="left" w:pos="-720"/>
        </w:tabs>
        <w:suppressAutoHyphens/>
        <w:jc w:val="both"/>
        <w:rPr>
          <w:rFonts w:ascii="Book Antiqua" w:hAnsi="Book Antiqua"/>
          <w:lang w:val="es-ES_tradnl"/>
        </w:rPr>
      </w:pPr>
    </w:p>
    <w:p w14:paraId="46AF9CD3" w14:textId="2BFE4F1D" w:rsidR="007E538D" w:rsidRDefault="00286C08" w:rsidP="00CB56B9">
      <w:pPr>
        <w:tabs>
          <w:tab w:val="left" w:pos="-720"/>
        </w:tabs>
        <w:suppressAutoHyphens/>
        <w:jc w:val="both"/>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50E39E33" w14:textId="77777777" w:rsidR="00FC5EE3" w:rsidRDefault="00FC5EE3" w:rsidP="00952AEC">
      <w:pPr>
        <w:tabs>
          <w:tab w:val="left" w:pos="-720"/>
        </w:tabs>
        <w:suppressAutoHyphens/>
        <w:rPr>
          <w:rFonts w:ascii="Book Antiqua" w:hAnsi="Book Antiqua"/>
          <w:szCs w:val="24"/>
          <w:lang w:val="es-ES"/>
        </w:rPr>
      </w:pPr>
    </w:p>
    <w:p w14:paraId="6DB48F46" w14:textId="77777777" w:rsidR="00FC5EE3" w:rsidRDefault="00FC5EE3"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proofErr w:type="spellStart"/>
      <w:r>
        <w:rPr>
          <w:rFonts w:ascii="Book Antiqua" w:hAnsi="Book Antiqua"/>
          <w:szCs w:val="24"/>
          <w:lang w:val="es-ES"/>
        </w:rPr>
        <w:t>Hon</w:t>
      </w:r>
      <w:proofErr w:type="spellEnd"/>
      <w:r>
        <w:rPr>
          <w:rFonts w:ascii="Book Antiqua" w:hAnsi="Book Antiqua"/>
          <w:szCs w:val="24"/>
          <w:lang w:val="es-ES"/>
        </w:rPr>
        <w:t xml:space="preserve">.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89DA2" w14:textId="77777777" w:rsidR="00FA14D2" w:rsidRDefault="00FA14D2">
      <w:r>
        <w:separator/>
      </w:r>
    </w:p>
  </w:endnote>
  <w:endnote w:type="continuationSeparator" w:id="0">
    <w:p w14:paraId="2738CDEF" w14:textId="77777777" w:rsidR="00FA14D2" w:rsidRDefault="00FA1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6D1D9" w14:textId="77777777" w:rsidR="00FA14D2" w:rsidRDefault="00FA14D2">
      <w:r>
        <w:separator/>
      </w:r>
    </w:p>
  </w:footnote>
  <w:footnote w:type="continuationSeparator" w:id="0">
    <w:p w14:paraId="1BC97F29" w14:textId="77777777" w:rsidR="00FA14D2" w:rsidRDefault="00FA1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6161F0AE"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955652F"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w:t>
    </w:r>
    <w:r w:rsidR="008B0293">
      <w:rPr>
        <w:rStyle w:val="PageNumber"/>
        <w:rFonts w:ascii="Book Antiqua" w:hAnsi="Book Antiqua"/>
        <w:b/>
        <w:bCs/>
        <w:lang w:val="es-PR"/>
      </w:rPr>
      <w:t xml:space="preserve"> </w:t>
    </w:r>
    <w:r w:rsidRPr="00FF1768">
      <w:rPr>
        <w:rStyle w:val="PageNumber"/>
        <w:rFonts w:ascii="Book Antiqua" w:hAnsi="Book Antiqua"/>
        <w:b/>
        <w:bCs/>
        <w:lang w:val="es-PR"/>
      </w:rPr>
      <w:t>l</w:t>
    </w:r>
    <w:r w:rsidR="008B0293">
      <w:rPr>
        <w:rStyle w:val="PageNumber"/>
        <w:rFonts w:ascii="Book Antiqua" w:hAnsi="Book Antiqua"/>
        <w:b/>
        <w:bCs/>
        <w:lang w:val="es-PR"/>
      </w:rPr>
      <w:t>a</w:t>
    </w:r>
    <w:r w:rsidRPr="00FF1768">
      <w:rPr>
        <w:rStyle w:val="PageNumber"/>
        <w:rFonts w:ascii="Book Antiqua" w:hAnsi="Book Antiqua"/>
        <w:b/>
        <w:bCs/>
        <w:lang w:val="es-PR"/>
      </w:rPr>
      <w:t xml:space="preserve"> </w:t>
    </w:r>
    <w:r w:rsidR="008B0293">
      <w:rPr>
        <w:rStyle w:val="PageNumber"/>
        <w:rFonts w:ascii="Book Antiqua" w:hAnsi="Book Antiqua"/>
        <w:b/>
        <w:bCs/>
        <w:lang w:val="es-PR"/>
      </w:rPr>
      <w:t>C</w:t>
    </w:r>
    <w:r w:rsidRPr="00FF1768">
      <w:rPr>
        <w:rStyle w:val="PageNumber"/>
        <w:rFonts w:ascii="Book Antiqua" w:hAnsi="Book Antiqua"/>
        <w:b/>
        <w:bCs/>
        <w:lang w:val="es-PR"/>
      </w:rPr>
      <w:t xml:space="preserve">. </w:t>
    </w:r>
    <w:r w:rsidR="005C4BDA">
      <w:rPr>
        <w:rStyle w:val="PageNumber"/>
        <w:rFonts w:ascii="Book Antiqua" w:hAnsi="Book Antiqua"/>
        <w:b/>
        <w:bCs/>
        <w:lang w:val="es-PR"/>
      </w:rPr>
      <w:t>200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04DA7"/>
    <w:rsid w:val="000216BB"/>
    <w:rsid w:val="00023454"/>
    <w:rsid w:val="0002471D"/>
    <w:rsid w:val="0002603A"/>
    <w:rsid w:val="00032C1E"/>
    <w:rsid w:val="00034E11"/>
    <w:rsid w:val="0004088C"/>
    <w:rsid w:val="0004421B"/>
    <w:rsid w:val="000464E3"/>
    <w:rsid w:val="000518A3"/>
    <w:rsid w:val="000560CB"/>
    <w:rsid w:val="00057A98"/>
    <w:rsid w:val="000667AB"/>
    <w:rsid w:val="0007423E"/>
    <w:rsid w:val="00080E3B"/>
    <w:rsid w:val="00084122"/>
    <w:rsid w:val="0008569E"/>
    <w:rsid w:val="0009448A"/>
    <w:rsid w:val="00095FBF"/>
    <w:rsid w:val="000A06C9"/>
    <w:rsid w:val="000A3EB9"/>
    <w:rsid w:val="000A7D27"/>
    <w:rsid w:val="000B081B"/>
    <w:rsid w:val="000B3575"/>
    <w:rsid w:val="000B53BD"/>
    <w:rsid w:val="000B75FB"/>
    <w:rsid w:val="000C20D3"/>
    <w:rsid w:val="000C415C"/>
    <w:rsid w:val="000C7CB0"/>
    <w:rsid w:val="000D3AA4"/>
    <w:rsid w:val="000D554A"/>
    <w:rsid w:val="000E06B7"/>
    <w:rsid w:val="000E5747"/>
    <w:rsid w:val="000E6911"/>
    <w:rsid w:val="000F6729"/>
    <w:rsid w:val="000F7675"/>
    <w:rsid w:val="00104137"/>
    <w:rsid w:val="001119D3"/>
    <w:rsid w:val="00112D46"/>
    <w:rsid w:val="00126D61"/>
    <w:rsid w:val="00137678"/>
    <w:rsid w:val="00140F42"/>
    <w:rsid w:val="00145929"/>
    <w:rsid w:val="00156AA0"/>
    <w:rsid w:val="00162460"/>
    <w:rsid w:val="001636B3"/>
    <w:rsid w:val="00163BA1"/>
    <w:rsid w:val="00170254"/>
    <w:rsid w:val="00173080"/>
    <w:rsid w:val="00173F53"/>
    <w:rsid w:val="00174D12"/>
    <w:rsid w:val="001757A2"/>
    <w:rsid w:val="00191FA4"/>
    <w:rsid w:val="00192FFC"/>
    <w:rsid w:val="00196FA9"/>
    <w:rsid w:val="00197C46"/>
    <w:rsid w:val="001A32E4"/>
    <w:rsid w:val="001B20CB"/>
    <w:rsid w:val="001C4866"/>
    <w:rsid w:val="001C4B24"/>
    <w:rsid w:val="001C6503"/>
    <w:rsid w:val="001D1DC4"/>
    <w:rsid w:val="001D3A06"/>
    <w:rsid w:val="001D401B"/>
    <w:rsid w:val="001D7277"/>
    <w:rsid w:val="001E364D"/>
    <w:rsid w:val="001E3726"/>
    <w:rsid w:val="001F1CD6"/>
    <w:rsid w:val="00201DF5"/>
    <w:rsid w:val="00207735"/>
    <w:rsid w:val="0021453D"/>
    <w:rsid w:val="00230152"/>
    <w:rsid w:val="00231017"/>
    <w:rsid w:val="00232427"/>
    <w:rsid w:val="0023567C"/>
    <w:rsid w:val="002370F8"/>
    <w:rsid w:val="00242D7A"/>
    <w:rsid w:val="00243881"/>
    <w:rsid w:val="00243F0D"/>
    <w:rsid w:val="00253FDF"/>
    <w:rsid w:val="0025406F"/>
    <w:rsid w:val="00262BF9"/>
    <w:rsid w:val="00263E28"/>
    <w:rsid w:val="00263F1B"/>
    <w:rsid w:val="00281D1D"/>
    <w:rsid w:val="0028304E"/>
    <w:rsid w:val="00283054"/>
    <w:rsid w:val="0028497D"/>
    <w:rsid w:val="00286C08"/>
    <w:rsid w:val="002A0893"/>
    <w:rsid w:val="002A14BD"/>
    <w:rsid w:val="002A60B4"/>
    <w:rsid w:val="002B05B3"/>
    <w:rsid w:val="002B1E82"/>
    <w:rsid w:val="002B58A3"/>
    <w:rsid w:val="002C3E4A"/>
    <w:rsid w:val="002D0E98"/>
    <w:rsid w:val="002E0ED6"/>
    <w:rsid w:val="002E1104"/>
    <w:rsid w:val="00303731"/>
    <w:rsid w:val="0031084D"/>
    <w:rsid w:val="00315792"/>
    <w:rsid w:val="00315B3A"/>
    <w:rsid w:val="00332883"/>
    <w:rsid w:val="00340519"/>
    <w:rsid w:val="00341BB6"/>
    <w:rsid w:val="003573F5"/>
    <w:rsid w:val="00365E0C"/>
    <w:rsid w:val="00366311"/>
    <w:rsid w:val="00371871"/>
    <w:rsid w:val="00377C61"/>
    <w:rsid w:val="00386E65"/>
    <w:rsid w:val="003909DD"/>
    <w:rsid w:val="003912A4"/>
    <w:rsid w:val="00391980"/>
    <w:rsid w:val="003A1341"/>
    <w:rsid w:val="003A4452"/>
    <w:rsid w:val="003A4992"/>
    <w:rsid w:val="003A7058"/>
    <w:rsid w:val="003B751D"/>
    <w:rsid w:val="003C1518"/>
    <w:rsid w:val="003E36E3"/>
    <w:rsid w:val="003E5401"/>
    <w:rsid w:val="003E5D3A"/>
    <w:rsid w:val="003E6ADC"/>
    <w:rsid w:val="003F1D78"/>
    <w:rsid w:val="003F575E"/>
    <w:rsid w:val="004131AE"/>
    <w:rsid w:val="00414EE7"/>
    <w:rsid w:val="00422A92"/>
    <w:rsid w:val="004321E3"/>
    <w:rsid w:val="00446C61"/>
    <w:rsid w:val="004568CF"/>
    <w:rsid w:val="004578FF"/>
    <w:rsid w:val="00466547"/>
    <w:rsid w:val="00473E56"/>
    <w:rsid w:val="00477789"/>
    <w:rsid w:val="00484E71"/>
    <w:rsid w:val="00486201"/>
    <w:rsid w:val="004915E5"/>
    <w:rsid w:val="00492156"/>
    <w:rsid w:val="004949BF"/>
    <w:rsid w:val="00494D8B"/>
    <w:rsid w:val="00497331"/>
    <w:rsid w:val="004B73D4"/>
    <w:rsid w:val="004D31DB"/>
    <w:rsid w:val="004E4097"/>
    <w:rsid w:val="004E7F57"/>
    <w:rsid w:val="004F1947"/>
    <w:rsid w:val="004F4D10"/>
    <w:rsid w:val="00505AFD"/>
    <w:rsid w:val="00511BD7"/>
    <w:rsid w:val="005133FA"/>
    <w:rsid w:val="00513999"/>
    <w:rsid w:val="0052092C"/>
    <w:rsid w:val="00532097"/>
    <w:rsid w:val="00532580"/>
    <w:rsid w:val="005352FA"/>
    <w:rsid w:val="00557ED2"/>
    <w:rsid w:val="00567513"/>
    <w:rsid w:val="00574409"/>
    <w:rsid w:val="00574692"/>
    <w:rsid w:val="00575139"/>
    <w:rsid w:val="00586B5C"/>
    <w:rsid w:val="005A11E4"/>
    <w:rsid w:val="005A22AC"/>
    <w:rsid w:val="005A265A"/>
    <w:rsid w:val="005A27A8"/>
    <w:rsid w:val="005B1459"/>
    <w:rsid w:val="005C03C9"/>
    <w:rsid w:val="005C2E80"/>
    <w:rsid w:val="005C3438"/>
    <w:rsid w:val="005C4BDA"/>
    <w:rsid w:val="005D1313"/>
    <w:rsid w:val="005D131F"/>
    <w:rsid w:val="005D4D15"/>
    <w:rsid w:val="005D5AFB"/>
    <w:rsid w:val="005E2192"/>
    <w:rsid w:val="005E31D1"/>
    <w:rsid w:val="005E5973"/>
    <w:rsid w:val="005F2F27"/>
    <w:rsid w:val="005F3890"/>
    <w:rsid w:val="005F6ADA"/>
    <w:rsid w:val="00607D66"/>
    <w:rsid w:val="00612577"/>
    <w:rsid w:val="00613E0B"/>
    <w:rsid w:val="00620BA5"/>
    <w:rsid w:val="0062705C"/>
    <w:rsid w:val="00627154"/>
    <w:rsid w:val="0063205D"/>
    <w:rsid w:val="00637621"/>
    <w:rsid w:val="00637A2F"/>
    <w:rsid w:val="00645367"/>
    <w:rsid w:val="00653F5B"/>
    <w:rsid w:val="006547BF"/>
    <w:rsid w:val="00672914"/>
    <w:rsid w:val="0067316B"/>
    <w:rsid w:val="00677043"/>
    <w:rsid w:val="00696278"/>
    <w:rsid w:val="006977AA"/>
    <w:rsid w:val="006A3F44"/>
    <w:rsid w:val="006A6960"/>
    <w:rsid w:val="006A7159"/>
    <w:rsid w:val="006B352C"/>
    <w:rsid w:val="006B3F39"/>
    <w:rsid w:val="006B7388"/>
    <w:rsid w:val="006B7E26"/>
    <w:rsid w:val="006C5F9B"/>
    <w:rsid w:val="006E26D6"/>
    <w:rsid w:val="006E27EE"/>
    <w:rsid w:val="006E2E91"/>
    <w:rsid w:val="006E789B"/>
    <w:rsid w:val="006F309A"/>
    <w:rsid w:val="006F4E24"/>
    <w:rsid w:val="00704803"/>
    <w:rsid w:val="00712240"/>
    <w:rsid w:val="0072499D"/>
    <w:rsid w:val="0074063E"/>
    <w:rsid w:val="00751EFA"/>
    <w:rsid w:val="00783405"/>
    <w:rsid w:val="00787B94"/>
    <w:rsid w:val="007972A2"/>
    <w:rsid w:val="00797C64"/>
    <w:rsid w:val="007A1A88"/>
    <w:rsid w:val="007A4104"/>
    <w:rsid w:val="007A485A"/>
    <w:rsid w:val="007A487E"/>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251B3"/>
    <w:rsid w:val="00826864"/>
    <w:rsid w:val="00827BDF"/>
    <w:rsid w:val="00830F1A"/>
    <w:rsid w:val="008325EC"/>
    <w:rsid w:val="00834C51"/>
    <w:rsid w:val="008444B1"/>
    <w:rsid w:val="008452CC"/>
    <w:rsid w:val="0085534D"/>
    <w:rsid w:val="00877BBD"/>
    <w:rsid w:val="008938FB"/>
    <w:rsid w:val="00896132"/>
    <w:rsid w:val="00896242"/>
    <w:rsid w:val="008A2520"/>
    <w:rsid w:val="008A438F"/>
    <w:rsid w:val="008B0293"/>
    <w:rsid w:val="008B0792"/>
    <w:rsid w:val="008B279A"/>
    <w:rsid w:val="008B4C54"/>
    <w:rsid w:val="008C22EC"/>
    <w:rsid w:val="008C3647"/>
    <w:rsid w:val="008D0714"/>
    <w:rsid w:val="008D1849"/>
    <w:rsid w:val="008D3D76"/>
    <w:rsid w:val="008E4DAB"/>
    <w:rsid w:val="008F0935"/>
    <w:rsid w:val="008F3049"/>
    <w:rsid w:val="008F4B5E"/>
    <w:rsid w:val="008F540A"/>
    <w:rsid w:val="0091367E"/>
    <w:rsid w:val="0091791A"/>
    <w:rsid w:val="00922EEE"/>
    <w:rsid w:val="009242F0"/>
    <w:rsid w:val="00924C41"/>
    <w:rsid w:val="00931B3C"/>
    <w:rsid w:val="00935B73"/>
    <w:rsid w:val="00936C8E"/>
    <w:rsid w:val="00944921"/>
    <w:rsid w:val="00951D5A"/>
    <w:rsid w:val="00952AEC"/>
    <w:rsid w:val="00953076"/>
    <w:rsid w:val="0095313E"/>
    <w:rsid w:val="0095526D"/>
    <w:rsid w:val="00956B68"/>
    <w:rsid w:val="00963AA0"/>
    <w:rsid w:val="00967178"/>
    <w:rsid w:val="00972F33"/>
    <w:rsid w:val="0097406B"/>
    <w:rsid w:val="009829EB"/>
    <w:rsid w:val="00987449"/>
    <w:rsid w:val="00991236"/>
    <w:rsid w:val="00992673"/>
    <w:rsid w:val="009B5C77"/>
    <w:rsid w:val="009E46F8"/>
    <w:rsid w:val="009F4930"/>
    <w:rsid w:val="00A03A6E"/>
    <w:rsid w:val="00A11F03"/>
    <w:rsid w:val="00A128EA"/>
    <w:rsid w:val="00A210E0"/>
    <w:rsid w:val="00A26EFF"/>
    <w:rsid w:val="00A340C6"/>
    <w:rsid w:val="00A50F87"/>
    <w:rsid w:val="00A56440"/>
    <w:rsid w:val="00A62F10"/>
    <w:rsid w:val="00A64155"/>
    <w:rsid w:val="00A671E0"/>
    <w:rsid w:val="00A67ED9"/>
    <w:rsid w:val="00A739A7"/>
    <w:rsid w:val="00A753F4"/>
    <w:rsid w:val="00A765BC"/>
    <w:rsid w:val="00A77A85"/>
    <w:rsid w:val="00A77D6F"/>
    <w:rsid w:val="00A82206"/>
    <w:rsid w:val="00A841D5"/>
    <w:rsid w:val="00A847D1"/>
    <w:rsid w:val="00A85389"/>
    <w:rsid w:val="00AA219B"/>
    <w:rsid w:val="00AA7B63"/>
    <w:rsid w:val="00AC67DC"/>
    <w:rsid w:val="00AE404B"/>
    <w:rsid w:val="00AE4B90"/>
    <w:rsid w:val="00AE5CBC"/>
    <w:rsid w:val="00AF1F99"/>
    <w:rsid w:val="00AF2128"/>
    <w:rsid w:val="00B01F61"/>
    <w:rsid w:val="00B03730"/>
    <w:rsid w:val="00B120AF"/>
    <w:rsid w:val="00B12DF3"/>
    <w:rsid w:val="00B14F15"/>
    <w:rsid w:val="00B17ADE"/>
    <w:rsid w:val="00B2217C"/>
    <w:rsid w:val="00B226CE"/>
    <w:rsid w:val="00B31419"/>
    <w:rsid w:val="00B510E1"/>
    <w:rsid w:val="00B5351A"/>
    <w:rsid w:val="00B570C6"/>
    <w:rsid w:val="00B62DBD"/>
    <w:rsid w:val="00B726DF"/>
    <w:rsid w:val="00B73062"/>
    <w:rsid w:val="00B86A17"/>
    <w:rsid w:val="00B91F6C"/>
    <w:rsid w:val="00B9437F"/>
    <w:rsid w:val="00BA5B7E"/>
    <w:rsid w:val="00BB0BA5"/>
    <w:rsid w:val="00BB2EDB"/>
    <w:rsid w:val="00BB301A"/>
    <w:rsid w:val="00BB6571"/>
    <w:rsid w:val="00BB7ABB"/>
    <w:rsid w:val="00BC74F8"/>
    <w:rsid w:val="00BC7C3C"/>
    <w:rsid w:val="00BD331F"/>
    <w:rsid w:val="00BD33A0"/>
    <w:rsid w:val="00BE398D"/>
    <w:rsid w:val="00BE468C"/>
    <w:rsid w:val="00C12094"/>
    <w:rsid w:val="00C23687"/>
    <w:rsid w:val="00C36FF0"/>
    <w:rsid w:val="00C515E3"/>
    <w:rsid w:val="00C52893"/>
    <w:rsid w:val="00C52E71"/>
    <w:rsid w:val="00C60646"/>
    <w:rsid w:val="00C60C5E"/>
    <w:rsid w:val="00C626A3"/>
    <w:rsid w:val="00C63022"/>
    <w:rsid w:val="00C63F6D"/>
    <w:rsid w:val="00C66897"/>
    <w:rsid w:val="00C76FA2"/>
    <w:rsid w:val="00C8079A"/>
    <w:rsid w:val="00C84BA8"/>
    <w:rsid w:val="00C94CE2"/>
    <w:rsid w:val="00CA6E80"/>
    <w:rsid w:val="00CA79C3"/>
    <w:rsid w:val="00CB43BF"/>
    <w:rsid w:val="00CB56B9"/>
    <w:rsid w:val="00CD7FE1"/>
    <w:rsid w:val="00CE2C01"/>
    <w:rsid w:val="00CE3B80"/>
    <w:rsid w:val="00D12630"/>
    <w:rsid w:val="00D13F13"/>
    <w:rsid w:val="00D332DE"/>
    <w:rsid w:val="00D43527"/>
    <w:rsid w:val="00D50266"/>
    <w:rsid w:val="00D53F1B"/>
    <w:rsid w:val="00D541C2"/>
    <w:rsid w:val="00D65F72"/>
    <w:rsid w:val="00D67278"/>
    <w:rsid w:val="00D777B2"/>
    <w:rsid w:val="00D777DA"/>
    <w:rsid w:val="00D80A71"/>
    <w:rsid w:val="00DC065F"/>
    <w:rsid w:val="00DC32CC"/>
    <w:rsid w:val="00DE09A9"/>
    <w:rsid w:val="00DE2902"/>
    <w:rsid w:val="00DE65DE"/>
    <w:rsid w:val="00DE7D2C"/>
    <w:rsid w:val="00DF7AF5"/>
    <w:rsid w:val="00DF7DCC"/>
    <w:rsid w:val="00E00274"/>
    <w:rsid w:val="00E12FBD"/>
    <w:rsid w:val="00E1390D"/>
    <w:rsid w:val="00E16425"/>
    <w:rsid w:val="00E231A4"/>
    <w:rsid w:val="00E246EC"/>
    <w:rsid w:val="00E26E4F"/>
    <w:rsid w:val="00E31E46"/>
    <w:rsid w:val="00E341F9"/>
    <w:rsid w:val="00E436F2"/>
    <w:rsid w:val="00E43801"/>
    <w:rsid w:val="00E450F4"/>
    <w:rsid w:val="00E466DE"/>
    <w:rsid w:val="00E531E9"/>
    <w:rsid w:val="00E53CC2"/>
    <w:rsid w:val="00E65D3F"/>
    <w:rsid w:val="00E72311"/>
    <w:rsid w:val="00E7400D"/>
    <w:rsid w:val="00E76201"/>
    <w:rsid w:val="00E87E99"/>
    <w:rsid w:val="00E92F3A"/>
    <w:rsid w:val="00E9477C"/>
    <w:rsid w:val="00EA4F74"/>
    <w:rsid w:val="00EA67A4"/>
    <w:rsid w:val="00EB6EB3"/>
    <w:rsid w:val="00EB7919"/>
    <w:rsid w:val="00ED552B"/>
    <w:rsid w:val="00EE189D"/>
    <w:rsid w:val="00EF5E84"/>
    <w:rsid w:val="00EF75F1"/>
    <w:rsid w:val="00EF7B8E"/>
    <w:rsid w:val="00F035B4"/>
    <w:rsid w:val="00F037F9"/>
    <w:rsid w:val="00F1366C"/>
    <w:rsid w:val="00F14C0B"/>
    <w:rsid w:val="00F162A1"/>
    <w:rsid w:val="00F162B3"/>
    <w:rsid w:val="00F24D45"/>
    <w:rsid w:val="00F269DA"/>
    <w:rsid w:val="00F26E86"/>
    <w:rsid w:val="00F41601"/>
    <w:rsid w:val="00F439DC"/>
    <w:rsid w:val="00F60CBE"/>
    <w:rsid w:val="00F65E46"/>
    <w:rsid w:val="00F773C6"/>
    <w:rsid w:val="00F77766"/>
    <w:rsid w:val="00F779FC"/>
    <w:rsid w:val="00F8037D"/>
    <w:rsid w:val="00F83DC8"/>
    <w:rsid w:val="00F92ADB"/>
    <w:rsid w:val="00F95679"/>
    <w:rsid w:val="00F97447"/>
    <w:rsid w:val="00FA14D2"/>
    <w:rsid w:val="00FB2E20"/>
    <w:rsid w:val="00FB54A5"/>
    <w:rsid w:val="00FB5CA8"/>
    <w:rsid w:val="00FC21C3"/>
    <w:rsid w:val="00FC5218"/>
    <w:rsid w:val="00FC575F"/>
    <w:rsid w:val="00FC57D5"/>
    <w:rsid w:val="00FC5EE3"/>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0764">
      <w:bodyDiv w:val="1"/>
      <w:marLeft w:val="0"/>
      <w:marRight w:val="0"/>
      <w:marTop w:val="0"/>
      <w:marBottom w:val="0"/>
      <w:divBdr>
        <w:top w:val="none" w:sz="0" w:space="0" w:color="auto"/>
        <w:left w:val="none" w:sz="0" w:space="0" w:color="auto"/>
        <w:bottom w:val="none" w:sz="0" w:space="0" w:color="auto"/>
        <w:right w:val="none" w:sz="0" w:space="0" w:color="auto"/>
      </w:divBdr>
    </w:div>
    <w:div w:id="44716421">
      <w:bodyDiv w:val="1"/>
      <w:marLeft w:val="0"/>
      <w:marRight w:val="0"/>
      <w:marTop w:val="0"/>
      <w:marBottom w:val="0"/>
      <w:divBdr>
        <w:top w:val="none" w:sz="0" w:space="0" w:color="auto"/>
        <w:left w:val="none" w:sz="0" w:space="0" w:color="auto"/>
        <w:bottom w:val="none" w:sz="0" w:space="0" w:color="auto"/>
        <w:right w:val="none" w:sz="0" w:space="0" w:color="auto"/>
      </w:divBdr>
    </w:div>
    <w:div w:id="51124220">
      <w:bodyDiv w:val="1"/>
      <w:marLeft w:val="0"/>
      <w:marRight w:val="0"/>
      <w:marTop w:val="0"/>
      <w:marBottom w:val="0"/>
      <w:divBdr>
        <w:top w:val="none" w:sz="0" w:space="0" w:color="auto"/>
        <w:left w:val="none" w:sz="0" w:space="0" w:color="auto"/>
        <w:bottom w:val="none" w:sz="0" w:space="0" w:color="auto"/>
        <w:right w:val="none" w:sz="0" w:space="0" w:color="auto"/>
      </w:divBdr>
    </w:div>
    <w:div w:id="65492782">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67139290">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90981224">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41711103">
      <w:bodyDiv w:val="1"/>
      <w:marLeft w:val="0"/>
      <w:marRight w:val="0"/>
      <w:marTop w:val="0"/>
      <w:marBottom w:val="0"/>
      <w:divBdr>
        <w:top w:val="none" w:sz="0" w:space="0" w:color="auto"/>
        <w:left w:val="none" w:sz="0" w:space="0" w:color="auto"/>
        <w:bottom w:val="none" w:sz="0" w:space="0" w:color="auto"/>
        <w:right w:val="none" w:sz="0" w:space="0" w:color="auto"/>
      </w:divBdr>
    </w:div>
    <w:div w:id="382097467">
      <w:bodyDiv w:val="1"/>
      <w:marLeft w:val="0"/>
      <w:marRight w:val="0"/>
      <w:marTop w:val="0"/>
      <w:marBottom w:val="0"/>
      <w:divBdr>
        <w:top w:val="none" w:sz="0" w:space="0" w:color="auto"/>
        <w:left w:val="none" w:sz="0" w:space="0" w:color="auto"/>
        <w:bottom w:val="none" w:sz="0" w:space="0" w:color="auto"/>
        <w:right w:val="none" w:sz="0" w:space="0" w:color="auto"/>
      </w:divBdr>
    </w:div>
    <w:div w:id="461076288">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16434096">
      <w:bodyDiv w:val="1"/>
      <w:marLeft w:val="0"/>
      <w:marRight w:val="0"/>
      <w:marTop w:val="0"/>
      <w:marBottom w:val="0"/>
      <w:divBdr>
        <w:top w:val="none" w:sz="0" w:space="0" w:color="auto"/>
        <w:left w:val="none" w:sz="0" w:space="0" w:color="auto"/>
        <w:bottom w:val="none" w:sz="0" w:space="0" w:color="auto"/>
        <w:right w:val="none" w:sz="0" w:space="0" w:color="auto"/>
      </w:divBdr>
    </w:div>
    <w:div w:id="557402114">
      <w:bodyDiv w:val="1"/>
      <w:marLeft w:val="0"/>
      <w:marRight w:val="0"/>
      <w:marTop w:val="0"/>
      <w:marBottom w:val="0"/>
      <w:divBdr>
        <w:top w:val="none" w:sz="0" w:space="0" w:color="auto"/>
        <w:left w:val="none" w:sz="0" w:space="0" w:color="auto"/>
        <w:bottom w:val="none" w:sz="0" w:space="0" w:color="auto"/>
        <w:right w:val="none" w:sz="0" w:space="0" w:color="auto"/>
      </w:divBdr>
    </w:div>
    <w:div w:id="572205615">
      <w:bodyDiv w:val="1"/>
      <w:marLeft w:val="0"/>
      <w:marRight w:val="0"/>
      <w:marTop w:val="0"/>
      <w:marBottom w:val="0"/>
      <w:divBdr>
        <w:top w:val="none" w:sz="0" w:space="0" w:color="auto"/>
        <w:left w:val="none" w:sz="0" w:space="0" w:color="auto"/>
        <w:bottom w:val="none" w:sz="0" w:space="0" w:color="auto"/>
        <w:right w:val="none" w:sz="0" w:space="0" w:color="auto"/>
      </w:divBdr>
    </w:div>
    <w:div w:id="583688531">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728046">
      <w:bodyDiv w:val="1"/>
      <w:marLeft w:val="0"/>
      <w:marRight w:val="0"/>
      <w:marTop w:val="0"/>
      <w:marBottom w:val="0"/>
      <w:divBdr>
        <w:top w:val="none" w:sz="0" w:space="0" w:color="auto"/>
        <w:left w:val="none" w:sz="0" w:space="0" w:color="auto"/>
        <w:bottom w:val="none" w:sz="0" w:space="0" w:color="auto"/>
        <w:right w:val="none" w:sz="0" w:space="0" w:color="auto"/>
      </w:divBdr>
    </w:div>
    <w:div w:id="689527406">
      <w:bodyDiv w:val="1"/>
      <w:marLeft w:val="0"/>
      <w:marRight w:val="0"/>
      <w:marTop w:val="0"/>
      <w:marBottom w:val="0"/>
      <w:divBdr>
        <w:top w:val="none" w:sz="0" w:space="0" w:color="auto"/>
        <w:left w:val="none" w:sz="0" w:space="0" w:color="auto"/>
        <w:bottom w:val="none" w:sz="0" w:space="0" w:color="auto"/>
        <w:right w:val="none" w:sz="0" w:space="0" w:color="auto"/>
      </w:divBdr>
    </w:div>
    <w:div w:id="741441531">
      <w:bodyDiv w:val="1"/>
      <w:marLeft w:val="0"/>
      <w:marRight w:val="0"/>
      <w:marTop w:val="0"/>
      <w:marBottom w:val="0"/>
      <w:divBdr>
        <w:top w:val="none" w:sz="0" w:space="0" w:color="auto"/>
        <w:left w:val="none" w:sz="0" w:space="0" w:color="auto"/>
        <w:bottom w:val="none" w:sz="0" w:space="0" w:color="auto"/>
        <w:right w:val="none" w:sz="0" w:space="0" w:color="auto"/>
      </w:divBdr>
    </w:div>
    <w:div w:id="766926347">
      <w:bodyDiv w:val="1"/>
      <w:marLeft w:val="0"/>
      <w:marRight w:val="0"/>
      <w:marTop w:val="0"/>
      <w:marBottom w:val="0"/>
      <w:divBdr>
        <w:top w:val="none" w:sz="0" w:space="0" w:color="auto"/>
        <w:left w:val="none" w:sz="0" w:space="0" w:color="auto"/>
        <w:bottom w:val="none" w:sz="0" w:space="0" w:color="auto"/>
        <w:right w:val="none" w:sz="0" w:space="0" w:color="auto"/>
      </w:divBdr>
    </w:div>
    <w:div w:id="804200496">
      <w:bodyDiv w:val="1"/>
      <w:marLeft w:val="0"/>
      <w:marRight w:val="0"/>
      <w:marTop w:val="0"/>
      <w:marBottom w:val="0"/>
      <w:divBdr>
        <w:top w:val="none" w:sz="0" w:space="0" w:color="auto"/>
        <w:left w:val="none" w:sz="0" w:space="0" w:color="auto"/>
        <w:bottom w:val="none" w:sz="0" w:space="0" w:color="auto"/>
        <w:right w:val="none" w:sz="0" w:space="0" w:color="auto"/>
      </w:divBdr>
    </w:div>
    <w:div w:id="805245460">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19266">
      <w:bodyDiv w:val="1"/>
      <w:marLeft w:val="0"/>
      <w:marRight w:val="0"/>
      <w:marTop w:val="0"/>
      <w:marBottom w:val="0"/>
      <w:divBdr>
        <w:top w:val="none" w:sz="0" w:space="0" w:color="auto"/>
        <w:left w:val="none" w:sz="0" w:space="0" w:color="auto"/>
        <w:bottom w:val="none" w:sz="0" w:space="0" w:color="auto"/>
        <w:right w:val="none" w:sz="0" w:space="0" w:color="auto"/>
      </w:divBdr>
    </w:div>
    <w:div w:id="856189130">
      <w:bodyDiv w:val="1"/>
      <w:marLeft w:val="0"/>
      <w:marRight w:val="0"/>
      <w:marTop w:val="0"/>
      <w:marBottom w:val="0"/>
      <w:divBdr>
        <w:top w:val="none" w:sz="0" w:space="0" w:color="auto"/>
        <w:left w:val="none" w:sz="0" w:space="0" w:color="auto"/>
        <w:bottom w:val="none" w:sz="0" w:space="0" w:color="auto"/>
        <w:right w:val="none" w:sz="0" w:space="0" w:color="auto"/>
      </w:divBdr>
    </w:div>
    <w:div w:id="955715514">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121726978">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216044966">
      <w:bodyDiv w:val="1"/>
      <w:marLeft w:val="0"/>
      <w:marRight w:val="0"/>
      <w:marTop w:val="0"/>
      <w:marBottom w:val="0"/>
      <w:divBdr>
        <w:top w:val="none" w:sz="0" w:space="0" w:color="auto"/>
        <w:left w:val="none" w:sz="0" w:space="0" w:color="auto"/>
        <w:bottom w:val="none" w:sz="0" w:space="0" w:color="auto"/>
        <w:right w:val="none" w:sz="0" w:space="0" w:color="auto"/>
      </w:divBdr>
    </w:div>
    <w:div w:id="1285383565">
      <w:bodyDiv w:val="1"/>
      <w:marLeft w:val="0"/>
      <w:marRight w:val="0"/>
      <w:marTop w:val="0"/>
      <w:marBottom w:val="0"/>
      <w:divBdr>
        <w:top w:val="none" w:sz="0" w:space="0" w:color="auto"/>
        <w:left w:val="none" w:sz="0" w:space="0" w:color="auto"/>
        <w:bottom w:val="none" w:sz="0" w:space="0" w:color="auto"/>
        <w:right w:val="none" w:sz="0" w:space="0" w:color="auto"/>
      </w:divBdr>
    </w:div>
    <w:div w:id="130372732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292837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0762099">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94176921">
      <w:bodyDiv w:val="1"/>
      <w:marLeft w:val="0"/>
      <w:marRight w:val="0"/>
      <w:marTop w:val="0"/>
      <w:marBottom w:val="0"/>
      <w:divBdr>
        <w:top w:val="none" w:sz="0" w:space="0" w:color="auto"/>
        <w:left w:val="none" w:sz="0" w:space="0" w:color="auto"/>
        <w:bottom w:val="none" w:sz="0" w:space="0" w:color="auto"/>
        <w:right w:val="none" w:sz="0" w:space="0" w:color="auto"/>
      </w:divBdr>
    </w:div>
    <w:div w:id="1550723060">
      <w:bodyDiv w:val="1"/>
      <w:marLeft w:val="0"/>
      <w:marRight w:val="0"/>
      <w:marTop w:val="0"/>
      <w:marBottom w:val="0"/>
      <w:divBdr>
        <w:top w:val="none" w:sz="0" w:space="0" w:color="auto"/>
        <w:left w:val="none" w:sz="0" w:space="0" w:color="auto"/>
        <w:bottom w:val="none" w:sz="0" w:space="0" w:color="auto"/>
        <w:right w:val="none" w:sz="0" w:space="0" w:color="auto"/>
      </w:divBdr>
    </w:div>
    <w:div w:id="1601638887">
      <w:bodyDiv w:val="1"/>
      <w:marLeft w:val="0"/>
      <w:marRight w:val="0"/>
      <w:marTop w:val="0"/>
      <w:marBottom w:val="0"/>
      <w:divBdr>
        <w:top w:val="none" w:sz="0" w:space="0" w:color="auto"/>
        <w:left w:val="none" w:sz="0" w:space="0" w:color="auto"/>
        <w:bottom w:val="none" w:sz="0" w:space="0" w:color="auto"/>
        <w:right w:val="none" w:sz="0" w:space="0" w:color="auto"/>
      </w:divBdr>
    </w:div>
    <w:div w:id="1629167057">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729304133">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32402566">
      <w:bodyDiv w:val="1"/>
      <w:marLeft w:val="0"/>
      <w:marRight w:val="0"/>
      <w:marTop w:val="0"/>
      <w:marBottom w:val="0"/>
      <w:divBdr>
        <w:top w:val="none" w:sz="0" w:space="0" w:color="auto"/>
        <w:left w:val="none" w:sz="0" w:space="0" w:color="auto"/>
        <w:bottom w:val="none" w:sz="0" w:space="0" w:color="auto"/>
        <w:right w:val="none" w:sz="0" w:space="0" w:color="auto"/>
      </w:divBdr>
    </w:div>
    <w:div w:id="1889099212">
      <w:bodyDiv w:val="1"/>
      <w:marLeft w:val="0"/>
      <w:marRight w:val="0"/>
      <w:marTop w:val="0"/>
      <w:marBottom w:val="0"/>
      <w:divBdr>
        <w:top w:val="none" w:sz="0" w:space="0" w:color="auto"/>
        <w:left w:val="none" w:sz="0" w:space="0" w:color="auto"/>
        <w:bottom w:val="none" w:sz="0" w:space="0" w:color="auto"/>
        <w:right w:val="none" w:sz="0" w:space="0" w:color="auto"/>
      </w:divBdr>
    </w:div>
    <w:div w:id="1893348475">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344394">
      <w:bodyDiv w:val="1"/>
      <w:marLeft w:val="0"/>
      <w:marRight w:val="0"/>
      <w:marTop w:val="0"/>
      <w:marBottom w:val="0"/>
      <w:divBdr>
        <w:top w:val="none" w:sz="0" w:space="0" w:color="auto"/>
        <w:left w:val="none" w:sz="0" w:space="0" w:color="auto"/>
        <w:bottom w:val="none" w:sz="0" w:space="0" w:color="auto"/>
        <w:right w:val="none" w:sz="0" w:space="0" w:color="auto"/>
      </w:divBdr>
    </w:div>
    <w:div w:id="197147286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43895902">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52851">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4SQX5P7U7WPY-958212181-819339</_dlc_DocId>
    <_ip_UnifiedCompliancePolicyUIAction xmlns="http://schemas.microsoft.com/sharepoint/v3" xsi:nil="true"/>
    <_dlc_DocIdUrl xmlns="c890fddd-4e87-4e08-8b51-545f2a3f7b06">
      <Url>https://senpr.sharepoint.com/sites/obralegislativa/_layouts/15/DocIdRedir.aspx?ID=4SQX5P7U7WPY-958212181-819339</Url>
      <Description>4SQX5P7U7WPY-958212181-819339</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5.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6.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4</TotalTime>
  <Pages>9</Pages>
  <Words>3221</Words>
  <Characters>17865</Characters>
  <Application>Microsoft Office Word</Application>
  <DocSecurity>0</DocSecurity>
  <Lines>148</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2025-10-01T15:12:00Z</cp:lastPrinted>
  <dcterms:created xsi:type="dcterms:W3CDTF">2025-10-01T15:34:00Z</dcterms:created>
  <dcterms:modified xsi:type="dcterms:W3CDTF">2025-10-01T15:34:00Z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83a85a74-d800-4bad-98fc-f5e23855a7d7</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