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FCB77BA" w:rsidR="00D454DC" w:rsidRPr="00663441" w:rsidRDefault="0073348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sidR="00D454DC" w:rsidRPr="00663441">
        <w:rPr>
          <w:rFonts w:ascii="Book Antiqua" w:hAnsi="Book Antiqua"/>
          <w:szCs w:val="24"/>
          <w:vertAlign w:val="superscript"/>
          <w:lang w:val="es-ES"/>
        </w:rPr>
        <w:t>na.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2</w:t>
      </w:r>
      <w:r>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2C9FF20E" w14:textId="58CE9BBD" w:rsidR="00D454DC" w:rsidRDefault="00D454DC" w:rsidP="00993AB0">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7ACEA2B7" w14:textId="77777777" w:rsidR="00993AB0" w:rsidRPr="00993AB0" w:rsidRDefault="00993AB0" w:rsidP="00993AB0">
      <w:pPr>
        <w:spacing w:line="276" w:lineRule="auto"/>
        <w:rPr>
          <w:rFonts w:ascii="Book Antiqua" w:hAnsi="Book Antiqua"/>
          <w:b/>
          <w:szCs w:val="24"/>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3F41B890" w:rsidR="00D454DC" w:rsidRPr="00663441" w:rsidRDefault="001227FB"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517AB1">
        <w:rPr>
          <w:rFonts w:ascii="Book Antiqua" w:hAnsi="Book Antiqua"/>
          <w:b/>
          <w:sz w:val="52"/>
          <w:szCs w:val="52"/>
          <w:lang w:val="es-ES"/>
        </w:rPr>
        <w:t>.</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374DAC">
        <w:rPr>
          <w:rFonts w:ascii="Book Antiqua" w:hAnsi="Book Antiqua"/>
          <w:b/>
          <w:sz w:val="52"/>
          <w:szCs w:val="52"/>
          <w:lang w:val="es-ES"/>
        </w:rPr>
        <w:t xml:space="preserve"> </w:t>
      </w:r>
      <w:r w:rsidR="004D1A9B" w:rsidRPr="00663441">
        <w:rPr>
          <w:rFonts w:ascii="Book Antiqua" w:hAnsi="Book Antiqua"/>
          <w:b/>
          <w:sz w:val="52"/>
          <w:szCs w:val="52"/>
          <w:lang w:val="es-ES"/>
        </w:rPr>
        <w:t>l</w:t>
      </w:r>
      <w:r w:rsidR="00374DAC">
        <w:rPr>
          <w:rFonts w:ascii="Book Antiqua" w:hAnsi="Book Antiqua"/>
          <w:b/>
          <w:sz w:val="52"/>
          <w:szCs w:val="52"/>
          <w:lang w:val="es-ES"/>
        </w:rPr>
        <w:t>a</w:t>
      </w:r>
      <w:r w:rsidR="004D1A9B" w:rsidRPr="00663441">
        <w:rPr>
          <w:rFonts w:ascii="Book Antiqua" w:hAnsi="Book Antiqua"/>
          <w:b/>
          <w:sz w:val="52"/>
          <w:szCs w:val="52"/>
          <w:lang w:val="es-ES"/>
        </w:rPr>
        <w:t xml:space="preserve"> </w:t>
      </w:r>
      <w:r w:rsidR="00374DA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Pr>
          <w:rFonts w:ascii="Book Antiqua" w:hAnsi="Book Antiqua"/>
          <w:b/>
          <w:sz w:val="52"/>
          <w:szCs w:val="52"/>
          <w:lang w:val="es-ES"/>
        </w:rPr>
        <w:t>347</w:t>
      </w:r>
    </w:p>
    <w:p w14:paraId="529FBB79" w14:textId="6DFC6CE8" w:rsidR="00E35D29" w:rsidRDefault="00D454DC" w:rsidP="00993AB0">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374DAC">
        <w:rPr>
          <w:rFonts w:ascii="Book Antiqua" w:hAnsi="Book Antiqua"/>
          <w:b/>
          <w:sz w:val="28"/>
          <w:szCs w:val="28"/>
          <w:lang w:val="es-ES"/>
        </w:rPr>
        <w:t>POSITIVO</w:t>
      </w:r>
    </w:p>
    <w:p w14:paraId="4F8AB929" w14:textId="77777777" w:rsidR="00993AB0" w:rsidRPr="00663441" w:rsidRDefault="00993AB0" w:rsidP="00993AB0">
      <w:pPr>
        <w:spacing w:line="276" w:lineRule="auto"/>
        <w:jc w:val="center"/>
        <w:rPr>
          <w:rFonts w:ascii="Book Antiqua" w:hAnsi="Book Antiqua"/>
          <w:b/>
          <w:sz w:val="28"/>
          <w:szCs w:val="28"/>
          <w:lang w:val="es-ES"/>
        </w:rPr>
      </w:pPr>
    </w:p>
    <w:p w14:paraId="54E7EE04" w14:textId="287F387B" w:rsidR="00D454DC" w:rsidRPr="00663441" w:rsidRDefault="006D7BD5" w:rsidP="004C28DA">
      <w:pPr>
        <w:spacing w:line="276" w:lineRule="auto"/>
        <w:jc w:val="center"/>
        <w:rPr>
          <w:rFonts w:ascii="Book Antiqua" w:hAnsi="Book Antiqua"/>
          <w:szCs w:val="24"/>
          <w:lang w:val="es-ES"/>
        </w:rPr>
      </w:pPr>
      <w:r>
        <w:rPr>
          <w:rFonts w:ascii="Book Antiqua" w:hAnsi="Book Antiqua"/>
          <w:szCs w:val="24"/>
          <w:lang w:val="es-ES"/>
        </w:rPr>
        <w:t xml:space="preserve">30 </w:t>
      </w:r>
      <w:r w:rsidR="004D1A9B" w:rsidRPr="00663441">
        <w:rPr>
          <w:rFonts w:ascii="Book Antiqua" w:hAnsi="Book Antiqua"/>
          <w:szCs w:val="24"/>
          <w:lang w:val="es-ES"/>
        </w:rPr>
        <w:t xml:space="preserve">de </w:t>
      </w:r>
      <w:r w:rsidR="00733481">
        <w:rPr>
          <w:rFonts w:ascii="Book Antiqua" w:hAnsi="Book Antiqua"/>
          <w:szCs w:val="24"/>
          <w:lang w:val="es-ES"/>
        </w:rPr>
        <w:t>septiembre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Pr="00663441" w:rsidRDefault="00D454DC" w:rsidP="004C28DA">
      <w:pPr>
        <w:spacing w:line="276" w:lineRule="auto"/>
        <w:rPr>
          <w:rFonts w:ascii="Book Antiqua" w:hAnsi="Book Antiqua"/>
          <w:b/>
          <w:szCs w:val="24"/>
          <w:lang w:val="es-ES"/>
        </w:rPr>
      </w:pPr>
    </w:p>
    <w:p w14:paraId="5219AA4D" w14:textId="0AE931DB" w:rsidR="00D454DC" w:rsidRPr="00F95BCF"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45360D7" w14:textId="04692112" w:rsidR="00D454DC" w:rsidRPr="00663441" w:rsidRDefault="00D454DC" w:rsidP="00F95BCF">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1227FB">
        <w:rPr>
          <w:rFonts w:ascii="Book Antiqua" w:hAnsi="Book Antiqua"/>
          <w:b/>
          <w:szCs w:val="24"/>
          <w:lang w:val="es-ES"/>
        </w:rPr>
        <w:t>Proyecto</w:t>
      </w:r>
      <w:r w:rsidR="00A861F0" w:rsidRPr="00663441">
        <w:rPr>
          <w:rFonts w:ascii="Book Antiqua" w:hAnsi="Book Antiqua"/>
          <w:b/>
          <w:szCs w:val="24"/>
          <w:lang w:val="es-ES"/>
        </w:rPr>
        <w:t xml:space="preserve"> de</w:t>
      </w:r>
      <w:r w:rsidR="00374DAC">
        <w:rPr>
          <w:rFonts w:ascii="Book Antiqua" w:hAnsi="Book Antiqua"/>
          <w:b/>
          <w:szCs w:val="24"/>
          <w:lang w:val="es-ES"/>
        </w:rPr>
        <w:t xml:space="preserve"> la Cámara</w:t>
      </w:r>
      <w:r w:rsidR="00A861F0" w:rsidRPr="00663441">
        <w:rPr>
          <w:rFonts w:ascii="Book Antiqua" w:hAnsi="Book Antiqua"/>
          <w:b/>
          <w:szCs w:val="24"/>
          <w:lang w:val="es-ES"/>
        </w:rPr>
        <w:t xml:space="preserve"> </w:t>
      </w:r>
      <w:r w:rsidR="001227FB">
        <w:rPr>
          <w:rFonts w:ascii="Book Antiqua" w:hAnsi="Book Antiqua"/>
          <w:b/>
          <w:szCs w:val="24"/>
          <w:lang w:val="es-ES"/>
        </w:rPr>
        <w:t>347</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FD59FA">
        <w:rPr>
          <w:rFonts w:ascii="Book Antiqua" w:hAnsi="Book Antiqua"/>
          <w:szCs w:val="24"/>
          <w:lang w:val="es-ES"/>
        </w:rPr>
        <w:t>.</w:t>
      </w:r>
      <w:r w:rsidR="00526540">
        <w:rPr>
          <w:rFonts w:ascii="Book Antiqua" w:hAnsi="Book Antiqua"/>
          <w:szCs w:val="24"/>
          <w:lang w:val="es-ES"/>
        </w:rPr>
        <w:t xml:space="preserve"> </w:t>
      </w:r>
      <w:r w:rsidR="00526540" w:rsidRPr="00526540">
        <w:rPr>
          <w:rFonts w:ascii="Book Antiqua" w:hAnsi="Book Antiqua"/>
          <w:b/>
          <w:bCs/>
          <w:szCs w:val="24"/>
          <w:lang w:val="es-ES"/>
        </w:rPr>
        <w:t>Sin enmiendas</w:t>
      </w:r>
    </w:p>
    <w:p w14:paraId="1598A72F" w14:textId="160400CC" w:rsidR="00B47C1D" w:rsidRDefault="00D454DC" w:rsidP="00993AB0">
      <w:pPr>
        <w:spacing w:after="240"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BF5C04A" w14:textId="77777777" w:rsidR="00374DAC" w:rsidRPr="00550BA5" w:rsidRDefault="00374DAC" w:rsidP="00374DAC">
      <w:pPr>
        <w:ind w:firstLine="720"/>
        <w:jc w:val="both"/>
        <w:rPr>
          <w:rFonts w:ascii="Book Antiqua" w:eastAsia="Book Antiqua" w:hAnsi="Book Antiqua" w:cs="Book Antiqua"/>
          <w:lang w:val="es-PR"/>
        </w:rPr>
      </w:pPr>
      <w:r w:rsidRPr="00550BA5">
        <w:rPr>
          <w:rFonts w:ascii="Book Antiqua" w:eastAsia="Book Antiqua" w:hAnsi="Book Antiqua" w:cs="Book Antiqua"/>
          <w:lang w:val="es-PR"/>
        </w:rPr>
        <w:t>Para</w:t>
      </w:r>
      <w:bookmarkStart w:id="0" w:name="_Hlk150852840"/>
      <w:r w:rsidRPr="00550BA5">
        <w:rPr>
          <w:rFonts w:ascii="Book Antiqua" w:hAnsi="Book Antiqua"/>
          <w:lang w:val="es-PR"/>
        </w:rPr>
        <w:t xml:space="preserve"> </w:t>
      </w:r>
      <w:r w:rsidRPr="00550BA5">
        <w:rPr>
          <w:rFonts w:ascii="Book Antiqua" w:eastAsia="Book Antiqua" w:hAnsi="Book Antiqua" w:cs="Book Antiqua"/>
          <w:lang w:val="es-PR"/>
        </w:rPr>
        <w:t>enmendar los Artículos 2, 3, 6, 8, 12 y 13 de la Ley</w:t>
      </w:r>
      <w:r>
        <w:rPr>
          <w:rFonts w:ascii="Book Antiqua" w:eastAsia="Book Antiqua" w:hAnsi="Book Antiqua" w:cs="Book Antiqua"/>
          <w:lang w:val="es-PR"/>
        </w:rPr>
        <w:t xml:space="preserve"> Núm. </w:t>
      </w:r>
      <w:r w:rsidRPr="00550BA5">
        <w:rPr>
          <w:rFonts w:ascii="Book Antiqua" w:eastAsia="Book Antiqua" w:hAnsi="Book Antiqua" w:cs="Book Antiqua"/>
          <w:lang w:val="es-PR"/>
        </w:rPr>
        <w:t xml:space="preserve"> 75-2019, según enmendada, conocida como la </w:t>
      </w:r>
      <w:r w:rsidRPr="005A05DE">
        <w:rPr>
          <w:rFonts w:ascii="Book Antiqua" w:eastAsia="Book Antiqua" w:hAnsi="Book Antiqua" w:cs="Book Antiqua"/>
          <w:lang w:val="es-PR"/>
        </w:rPr>
        <w:t xml:space="preserve">“Ley de </w:t>
      </w:r>
      <w:bookmarkStart w:id="1" w:name="_Hlk190961333"/>
      <w:r w:rsidRPr="005A05DE">
        <w:rPr>
          <w:rFonts w:ascii="Book Antiqua" w:eastAsia="Book Antiqua" w:hAnsi="Book Antiqua" w:cs="Book Antiqua"/>
          <w:lang w:val="es-PR"/>
        </w:rPr>
        <w:t>la Puerto Rico Innovation and Technology Service</w:t>
      </w:r>
      <w:bookmarkEnd w:id="1"/>
      <w:r w:rsidRPr="005A05DE">
        <w:rPr>
          <w:rFonts w:ascii="Book Antiqua" w:eastAsia="Book Antiqua" w:hAnsi="Book Antiqua" w:cs="Book Antiqua"/>
          <w:lang w:val="es-PR"/>
        </w:rPr>
        <w:t>”</w:t>
      </w:r>
      <w:r w:rsidRPr="00550BA5">
        <w:rPr>
          <w:rFonts w:ascii="Book Antiqua" w:eastAsia="Book Antiqua" w:hAnsi="Book Antiqua" w:cs="Book Antiqua"/>
          <w:lang w:val="es-PR"/>
        </w:rPr>
        <w:t xml:space="preserve"> a los fines de </w:t>
      </w:r>
      <w:bookmarkStart w:id="2" w:name="_Hlk158813206"/>
      <w:r w:rsidRPr="00550BA5">
        <w:rPr>
          <w:rFonts w:ascii="Book Antiqua" w:eastAsia="Book Antiqua" w:hAnsi="Book Antiqua" w:cs="Book Antiqua"/>
          <w:lang w:val="es-PR"/>
        </w:rPr>
        <w:t>declarar y establecer la política pública del Gobierno de Puerto Rico sobre el desarrollo y utilización de capacidades de inteligencia artificial</w:t>
      </w:r>
      <w:bookmarkEnd w:id="0"/>
      <w:bookmarkEnd w:id="2"/>
      <w:r w:rsidRPr="00550BA5">
        <w:rPr>
          <w:rFonts w:ascii="Book Antiqua" w:eastAsia="Book Antiqua" w:hAnsi="Book Antiqua" w:cs="Book Antiqua"/>
          <w:lang w:val="es-PR"/>
        </w:rPr>
        <w:t xml:space="preserve"> por parte de las agencias de Gobierno; y para otros fines relacionados. </w:t>
      </w:r>
    </w:p>
    <w:p w14:paraId="787472BA" w14:textId="707AB0AD" w:rsidR="00F3256B" w:rsidRPr="00D0748A" w:rsidRDefault="00925033" w:rsidP="00D0748A">
      <w:pPr>
        <w:suppressLineNumbers/>
        <w:suppressAutoHyphens/>
        <w:ind w:left="540" w:hanging="540"/>
        <w:jc w:val="both"/>
        <w:rPr>
          <w:rFonts w:ascii="Book Antiqua" w:hAnsi="Book Antiqua"/>
          <w:bCs/>
          <w:spacing w:val="-3"/>
          <w:szCs w:val="24"/>
          <w:lang w:val="es-PR"/>
        </w:rPr>
      </w:pPr>
      <w:r>
        <w:rPr>
          <w:rFonts w:ascii="Book Antiqua" w:hAnsi="Book Antiqua"/>
          <w:szCs w:val="24"/>
          <w:lang w:val="es-US"/>
        </w:rPr>
        <w:t xml:space="preserve"> </w:t>
      </w:r>
    </w:p>
    <w:p w14:paraId="2DA0EAFE" w14:textId="08BD10FD" w:rsidR="0027076F" w:rsidRPr="00663441" w:rsidRDefault="00D454DC" w:rsidP="00993AB0">
      <w:pPr>
        <w:spacing w:after="240"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1B0C3650" w14:textId="77777777" w:rsidR="00374DAC" w:rsidRPr="00473C5F" w:rsidRDefault="00374DAC" w:rsidP="00374DAC">
      <w:pPr>
        <w:spacing w:before="100" w:beforeAutospacing="1" w:after="100" w:afterAutospacing="1" w:line="276" w:lineRule="auto"/>
        <w:ind w:firstLine="720"/>
        <w:jc w:val="both"/>
        <w:rPr>
          <w:rFonts w:ascii="Book Antiqua" w:eastAsia="Times New Roman" w:hAnsi="Book Antiqua"/>
          <w:color w:val="000000"/>
          <w:szCs w:val="24"/>
          <w:lang w:val="es-PR"/>
        </w:rPr>
      </w:pPr>
      <w:r w:rsidRPr="00473C5F">
        <w:rPr>
          <w:rFonts w:ascii="Book Antiqua" w:eastAsia="Times New Roman" w:hAnsi="Book Antiqua"/>
          <w:color w:val="000000"/>
          <w:szCs w:val="24"/>
          <w:lang w:val="es-PR"/>
        </w:rPr>
        <w:t>La Comisión de Ciencia, Tecnología e Inteligencia Artificial del Senado de Puerto Rico presenta este informe positivo sobre el Proyecto de la Cámara 347, luego de evaluar detenidamente la medida y los memoriales remitidos por la Cámara de Representantes. Dichos memoriales fueron sometidos originalmente a la Cámara por las agencias concernidas durante la primera etapa del trámite legislativo, cuando dicho cuerpo tuvo a su cargo la consideración inicial de la medida. Una vez el proyecto pasó a la consideración del Senado, la Comisión acogió los memoriales como parte de su análisis y deliberación.</w:t>
      </w:r>
    </w:p>
    <w:p w14:paraId="3E8C5B6D" w14:textId="483439D6" w:rsidR="00374DAC" w:rsidRPr="00473C5F" w:rsidRDefault="00374DAC" w:rsidP="00374DAC">
      <w:pPr>
        <w:spacing w:before="100" w:beforeAutospacing="1" w:after="100" w:afterAutospacing="1" w:line="276" w:lineRule="auto"/>
        <w:ind w:firstLine="720"/>
        <w:jc w:val="both"/>
        <w:rPr>
          <w:rFonts w:ascii="Book Antiqua" w:eastAsia="Times New Roman" w:hAnsi="Book Antiqua"/>
          <w:color w:val="000000"/>
          <w:szCs w:val="24"/>
          <w:lang w:val="es-PR"/>
        </w:rPr>
      </w:pPr>
      <w:r w:rsidRPr="00473C5F">
        <w:rPr>
          <w:rFonts w:ascii="Book Antiqua" w:eastAsia="Times New Roman" w:hAnsi="Book Antiqua"/>
          <w:color w:val="000000"/>
          <w:szCs w:val="24"/>
          <w:lang w:val="es-PR"/>
        </w:rPr>
        <w:t xml:space="preserve">La Comisión reconoce el valor de los memoriales provistos, pues aportan experiencias, preocupaciones y ejemplos concretos sobre la implementación de la inteligencia artificial en la gestión gubernamental. Asimismo, destaca que los </w:t>
      </w:r>
      <w:r w:rsidRPr="00473C5F">
        <w:rPr>
          <w:rFonts w:ascii="Book Antiqua" w:eastAsia="Times New Roman" w:hAnsi="Book Antiqua"/>
          <w:color w:val="000000"/>
          <w:szCs w:val="24"/>
          <w:lang w:val="es-PR"/>
        </w:rPr>
        <w:lastRenderedPageBreak/>
        <w:t>señalamientos coinciden en la necesidad de establecer un marco regulatorio uniforme, capaz de guiar la innovación tecnológica en el Gobierno de Puerto Rico dentro de principios de ética, equidad y transparencia.</w:t>
      </w:r>
    </w:p>
    <w:p w14:paraId="299C3F90" w14:textId="77777777" w:rsidR="00374DAC" w:rsidRPr="00473C5F" w:rsidRDefault="00374DAC" w:rsidP="00374DAC">
      <w:pPr>
        <w:spacing w:before="100" w:beforeAutospacing="1" w:after="100" w:afterAutospacing="1" w:line="276" w:lineRule="auto"/>
        <w:ind w:firstLine="708"/>
        <w:jc w:val="both"/>
        <w:rPr>
          <w:rFonts w:ascii="Book Antiqua" w:eastAsia="Times New Roman" w:hAnsi="Book Antiqua"/>
          <w:color w:val="000000"/>
          <w:szCs w:val="24"/>
          <w:lang w:val="es-PR"/>
        </w:rPr>
      </w:pPr>
      <w:r w:rsidRPr="00473C5F">
        <w:rPr>
          <w:rFonts w:ascii="Book Antiqua" w:eastAsia="Times New Roman" w:hAnsi="Book Antiqua"/>
          <w:color w:val="000000"/>
          <w:szCs w:val="24"/>
          <w:lang w:val="es-PR"/>
        </w:rPr>
        <w:t>En ese contexto, este informe se nutre de los memoriales sometidos a la Cámara y pone de manifiesto el respaldo general de las agencias al proyecto, lo que fortalece la posición de la Comisión en recomendar su aprobación. La inteligencia artificial se presenta como un instrumento fundamental para la modernización del Estado, y el proyecto bajo evaluación constituye un paso decisivo hacia la institucionalización de su uso responsable en beneficio de la ciudadanía.</w:t>
      </w:r>
    </w:p>
    <w:p w14:paraId="7616ABCF" w14:textId="2A16ADC6" w:rsidR="00993AB0" w:rsidRPr="00374DAC" w:rsidRDefault="00D454DC" w:rsidP="00993AB0">
      <w:pPr>
        <w:spacing w:after="240" w:line="276" w:lineRule="auto"/>
        <w:ind w:firstLine="708"/>
        <w:jc w:val="center"/>
        <w:rPr>
          <w:rFonts w:ascii="Book Antiqua" w:hAnsi="Book Antiqua"/>
          <w:b/>
          <w:caps/>
          <w:szCs w:val="24"/>
          <w:lang w:val="es-ES"/>
        </w:rPr>
      </w:pPr>
      <w:r w:rsidRPr="00374DAC">
        <w:rPr>
          <w:rFonts w:ascii="Book Antiqua" w:hAnsi="Book Antiqua"/>
          <w:b/>
          <w:caps/>
          <w:szCs w:val="24"/>
          <w:lang w:val="es-ES"/>
        </w:rPr>
        <w:t>AnÁlisis de la Medida</w:t>
      </w:r>
    </w:p>
    <w:p w14:paraId="3705F51D" w14:textId="4BFC30FC" w:rsidR="00374DAC" w:rsidRDefault="00374DAC" w:rsidP="00374DAC">
      <w:pPr>
        <w:spacing w:line="276" w:lineRule="auto"/>
        <w:ind w:firstLine="708"/>
        <w:jc w:val="both"/>
        <w:rPr>
          <w:rFonts w:ascii="Book Antiqua" w:hAnsi="Book Antiqua"/>
          <w:szCs w:val="24"/>
          <w:lang w:val="es-ES"/>
        </w:rPr>
      </w:pPr>
      <w:r w:rsidRPr="00374DAC">
        <w:rPr>
          <w:rFonts w:ascii="Book Antiqua" w:hAnsi="Book Antiqua"/>
          <w:color w:val="000000"/>
          <w:szCs w:val="24"/>
          <w:lang w:val="es-ES"/>
        </w:rPr>
        <w:t>A</w:t>
      </w:r>
      <w:r w:rsidRPr="00374DAC">
        <w:rPr>
          <w:rFonts w:ascii="Book Antiqua" w:hAnsi="Book Antiqua"/>
          <w:color w:val="000000"/>
          <w:szCs w:val="24"/>
          <w:lang w:val="es-PR"/>
        </w:rPr>
        <w:t xml:space="preserve">tendiendo su responsabilidad y deber ministerial en el estudio y evaluación del presente Proyecto, la Comisión de Ciencia, Tecnología e Inteligencia Artificial del Senado de Puerto Rico analizó los memoriales explicativos presentados por las agencias a la Cámara de Representantes de Puerto Rico. De estos documentos se desprende la posición expuesta por cada instrumentalidad consultada, a saber: el Departamento del Trabajo y Recursos Humanos, la Oficina de Gerencia y Presupuesto, la Oficina de </w:t>
      </w:r>
      <w:r>
        <w:rPr>
          <w:rFonts w:ascii="Book Antiqua" w:hAnsi="Book Antiqua"/>
          <w:color w:val="000000"/>
          <w:szCs w:val="24"/>
          <w:lang w:val="es-PR"/>
        </w:rPr>
        <w:t>Presupuesto de la Asamblea Legislativa</w:t>
      </w:r>
      <w:r w:rsidRPr="00374DAC">
        <w:rPr>
          <w:rFonts w:ascii="Book Antiqua" w:hAnsi="Book Antiqua"/>
          <w:color w:val="000000"/>
          <w:szCs w:val="24"/>
          <w:lang w:val="es-PR"/>
        </w:rPr>
        <w:t>, la Autoridad de Asesoría Financiera y Agencia Fiscal, el Departamento de Hacienda y el Puerto Rico Innovation and Technology Service</w:t>
      </w:r>
      <w:r w:rsidRPr="00374DAC">
        <w:rPr>
          <w:rFonts w:ascii="Book Antiqua" w:hAnsi="Book Antiqua"/>
          <w:szCs w:val="24"/>
          <w:lang w:val="es-ES"/>
        </w:rPr>
        <w:t>.</w:t>
      </w:r>
    </w:p>
    <w:p w14:paraId="27AEA71B" w14:textId="77777777" w:rsidR="00374DAC" w:rsidRDefault="00374DAC" w:rsidP="00374DAC">
      <w:pPr>
        <w:spacing w:line="276" w:lineRule="auto"/>
        <w:ind w:firstLine="708"/>
        <w:jc w:val="both"/>
        <w:rPr>
          <w:rFonts w:ascii="Book Antiqua" w:hAnsi="Book Antiqua"/>
          <w:szCs w:val="24"/>
          <w:lang w:val="es-ES"/>
        </w:rPr>
      </w:pPr>
    </w:p>
    <w:p w14:paraId="0134A770" w14:textId="38918770" w:rsidR="00374DAC" w:rsidRDefault="00374DAC" w:rsidP="00374DAC">
      <w:pPr>
        <w:spacing w:line="276" w:lineRule="auto"/>
        <w:jc w:val="center"/>
        <w:rPr>
          <w:rFonts w:ascii="Book Antiqua" w:hAnsi="Book Antiqua"/>
          <w:b/>
          <w:bCs/>
          <w:szCs w:val="24"/>
          <w:lang w:val="es-ES"/>
        </w:rPr>
      </w:pPr>
      <w:r>
        <w:rPr>
          <w:rFonts w:ascii="Book Antiqua" w:hAnsi="Book Antiqua"/>
          <w:b/>
          <w:bCs/>
          <w:szCs w:val="24"/>
          <w:lang w:val="es-ES"/>
        </w:rPr>
        <w:t>DEPARTAMENTO DEL TRABAJO Y RECURSOS HUMANOS</w:t>
      </w:r>
    </w:p>
    <w:p w14:paraId="15D9BB5D" w14:textId="77777777" w:rsidR="00374DAC" w:rsidRDefault="00374DAC" w:rsidP="00374DAC">
      <w:pPr>
        <w:spacing w:line="276" w:lineRule="auto"/>
        <w:jc w:val="center"/>
        <w:rPr>
          <w:rFonts w:ascii="Book Antiqua" w:hAnsi="Book Antiqua"/>
          <w:b/>
          <w:bCs/>
          <w:szCs w:val="24"/>
          <w:lang w:val="es-ES"/>
        </w:rPr>
      </w:pPr>
    </w:p>
    <w:p w14:paraId="7409F18F" w14:textId="71B4C75E" w:rsidR="00374DAC" w:rsidRDefault="00374DAC" w:rsidP="00374DAC">
      <w:pPr>
        <w:spacing w:line="276" w:lineRule="auto"/>
        <w:jc w:val="both"/>
        <w:rPr>
          <w:rFonts w:ascii="Book Antiqua" w:hAnsi="Book Antiqua"/>
          <w:color w:val="000000"/>
          <w:szCs w:val="24"/>
          <w:lang w:val="es-PR"/>
        </w:rPr>
      </w:pPr>
      <w:r>
        <w:rPr>
          <w:rFonts w:ascii="Book Antiqua" w:hAnsi="Book Antiqua"/>
          <w:b/>
          <w:bCs/>
          <w:szCs w:val="24"/>
          <w:lang w:val="es-ES"/>
        </w:rPr>
        <w:tab/>
      </w:r>
      <w:r w:rsidRPr="00374DAC">
        <w:rPr>
          <w:rFonts w:ascii="Book Antiqua" w:hAnsi="Book Antiqua"/>
          <w:color w:val="000000"/>
          <w:szCs w:val="24"/>
          <w:lang w:val="es-PR"/>
        </w:rPr>
        <w:t>El Departamento de Hacienda coincidió en la importancia de uniformar y supervisar la adopción de inteligencia artificial en las agencias públicas, destacando que la medida fortalece los principios de eficiencia, innovación y transparencia en la gestión gubernamental. Reconoció que el proyecto apoya la protección de derechos ciudadanos frente al uso de nuevas tecnologías y respaldó la creación de un marco regulatorio claro y actualizado que guíe su implantación en los procesos del gobierno. Finalmente, el Departamento expresó deferencia a la PRITS como organismo especializado y no planteó objeciones a la aprobación de la medida.</w:t>
      </w:r>
    </w:p>
    <w:p w14:paraId="572C2127" w14:textId="77777777" w:rsidR="00374DAC" w:rsidRPr="00374DAC" w:rsidRDefault="00374DAC" w:rsidP="00374DAC">
      <w:pPr>
        <w:spacing w:line="276" w:lineRule="auto"/>
        <w:jc w:val="both"/>
        <w:rPr>
          <w:rFonts w:ascii="Book Antiqua" w:hAnsi="Book Antiqua"/>
          <w:b/>
          <w:bCs/>
          <w:szCs w:val="24"/>
          <w:lang w:val="es-ES"/>
        </w:rPr>
      </w:pPr>
    </w:p>
    <w:p w14:paraId="74407720" w14:textId="6826ECFA" w:rsidR="00374DAC" w:rsidRDefault="00374DAC" w:rsidP="00374DAC">
      <w:pPr>
        <w:spacing w:line="276" w:lineRule="auto"/>
        <w:jc w:val="center"/>
        <w:rPr>
          <w:rFonts w:ascii="Book Antiqua" w:hAnsi="Book Antiqua"/>
          <w:b/>
          <w:bCs/>
          <w:szCs w:val="24"/>
          <w:lang w:val="es-ES"/>
        </w:rPr>
      </w:pPr>
      <w:r>
        <w:rPr>
          <w:rFonts w:ascii="Book Antiqua" w:hAnsi="Book Antiqua"/>
          <w:b/>
          <w:bCs/>
          <w:szCs w:val="24"/>
          <w:lang w:val="es-ES"/>
        </w:rPr>
        <w:t>OFICINA DE PRESUPUESTO DE LA ASAMBLEA LEGISLATIVA</w:t>
      </w:r>
    </w:p>
    <w:p w14:paraId="5E6BB8B2" w14:textId="77777777" w:rsidR="00374DAC" w:rsidRDefault="00374DAC" w:rsidP="00374DAC">
      <w:pPr>
        <w:spacing w:line="276" w:lineRule="auto"/>
        <w:jc w:val="center"/>
        <w:rPr>
          <w:rFonts w:ascii="Book Antiqua" w:hAnsi="Book Antiqua"/>
          <w:b/>
          <w:bCs/>
          <w:szCs w:val="24"/>
          <w:lang w:val="es-ES"/>
        </w:rPr>
      </w:pPr>
    </w:p>
    <w:p w14:paraId="4A800D5E" w14:textId="762F0D57" w:rsidR="00374DAC" w:rsidRPr="00374DAC" w:rsidRDefault="00374DAC" w:rsidP="00374DAC">
      <w:pPr>
        <w:spacing w:line="276" w:lineRule="auto"/>
        <w:jc w:val="both"/>
        <w:rPr>
          <w:rFonts w:ascii="Book Antiqua" w:hAnsi="Book Antiqua"/>
          <w:color w:val="000000"/>
          <w:szCs w:val="24"/>
          <w:lang w:val="es-PR"/>
        </w:rPr>
      </w:pPr>
      <w:r>
        <w:rPr>
          <w:rFonts w:ascii="Book Antiqua" w:hAnsi="Book Antiqua"/>
          <w:b/>
          <w:bCs/>
          <w:szCs w:val="24"/>
          <w:lang w:val="es-ES"/>
        </w:rPr>
        <w:tab/>
      </w:r>
      <w:r w:rsidRPr="00374DAC">
        <w:rPr>
          <w:rFonts w:ascii="Book Antiqua" w:hAnsi="Book Antiqua"/>
          <w:color w:val="000000"/>
          <w:szCs w:val="24"/>
          <w:lang w:val="es-PR"/>
        </w:rPr>
        <w:t>La Oficina de Presupuesto de la Asamblea Legislativa analizó la medida desde la perspectiva fiscal y concluyó que el proyecto no tendría un impacto fiscal significativ</w:t>
      </w:r>
      <w:r w:rsidR="00473C5F">
        <w:rPr>
          <w:rFonts w:ascii="Book Antiqua" w:hAnsi="Book Antiqua"/>
          <w:color w:val="000000"/>
          <w:szCs w:val="24"/>
          <w:lang w:val="es-PR"/>
        </w:rPr>
        <w:t>o</w:t>
      </w:r>
      <w:r w:rsidRPr="00374DAC">
        <w:rPr>
          <w:rFonts w:ascii="Book Antiqua" w:hAnsi="Book Antiqua"/>
          <w:color w:val="000000"/>
          <w:szCs w:val="24"/>
          <w:lang w:val="es-PR"/>
        </w:rPr>
        <w:t>, salvo que la PRITS no c</w:t>
      </w:r>
      <w:r>
        <w:rPr>
          <w:rFonts w:ascii="Book Antiqua" w:hAnsi="Book Antiqua"/>
          <w:color w:val="000000"/>
          <w:szCs w:val="24"/>
          <w:lang w:val="es-PR"/>
        </w:rPr>
        <w:t>uente</w:t>
      </w:r>
      <w:r w:rsidRPr="00374DAC">
        <w:rPr>
          <w:rFonts w:ascii="Book Antiqua" w:hAnsi="Book Antiqua"/>
          <w:color w:val="000000"/>
          <w:szCs w:val="24"/>
          <w:lang w:val="es-PR"/>
        </w:rPr>
        <w:t xml:space="preserve"> con recursos suficientes para su implantación, en cuyo caso </w:t>
      </w:r>
      <w:r w:rsidRPr="00374DAC">
        <w:rPr>
          <w:rFonts w:ascii="Book Antiqua" w:hAnsi="Book Antiqua"/>
          <w:color w:val="000000"/>
          <w:szCs w:val="24"/>
          <w:lang w:val="es-PR"/>
        </w:rPr>
        <w:lastRenderedPageBreak/>
        <w:t>podrían generarse costos al Fondo General. Reconoció, no obstante, que el marco normativo propuesto fortalece la supervisión y el uso responsable de la inteligencia artificial en las agencias de gobierno. La OPAL señaló que la medida está alineada con los esfuerzos de modernización tecnológica d</w:t>
      </w:r>
      <w:r>
        <w:rPr>
          <w:rFonts w:ascii="Book Antiqua" w:hAnsi="Book Antiqua"/>
          <w:color w:val="000000"/>
          <w:szCs w:val="24"/>
          <w:lang w:val="es-PR"/>
        </w:rPr>
        <w:t>e Puerto Rico</w:t>
      </w:r>
      <w:r w:rsidRPr="00374DAC">
        <w:rPr>
          <w:rFonts w:ascii="Book Antiqua" w:hAnsi="Book Antiqua"/>
          <w:color w:val="000000"/>
          <w:szCs w:val="24"/>
          <w:lang w:val="es-PR"/>
        </w:rPr>
        <w:t xml:space="preserve"> y favorece la aprobación del proyecto.</w:t>
      </w:r>
    </w:p>
    <w:p w14:paraId="73B09274" w14:textId="77777777" w:rsidR="00374DAC" w:rsidRPr="00374DAC" w:rsidRDefault="00374DAC" w:rsidP="00374DAC">
      <w:pPr>
        <w:spacing w:line="276" w:lineRule="auto"/>
        <w:jc w:val="both"/>
        <w:rPr>
          <w:rFonts w:ascii="Book Antiqua" w:hAnsi="Book Antiqua"/>
          <w:b/>
          <w:bCs/>
          <w:szCs w:val="24"/>
          <w:lang w:val="es-PR"/>
        </w:rPr>
      </w:pPr>
    </w:p>
    <w:p w14:paraId="6FB39C24" w14:textId="7AABF980" w:rsidR="00374DAC" w:rsidRDefault="00374DAC" w:rsidP="00374DAC">
      <w:pPr>
        <w:spacing w:line="276" w:lineRule="auto"/>
        <w:jc w:val="center"/>
        <w:rPr>
          <w:rFonts w:ascii="Book Antiqua" w:hAnsi="Book Antiqua"/>
          <w:b/>
          <w:bCs/>
          <w:szCs w:val="24"/>
          <w:lang w:val="es-ES"/>
        </w:rPr>
      </w:pPr>
      <w:r>
        <w:rPr>
          <w:rFonts w:ascii="Book Antiqua" w:hAnsi="Book Antiqua"/>
          <w:b/>
          <w:bCs/>
          <w:szCs w:val="24"/>
          <w:lang w:val="es-ES"/>
        </w:rPr>
        <w:t>OFICINA DE GERENCIA Y PRESUPUESTO</w:t>
      </w:r>
    </w:p>
    <w:p w14:paraId="12E36E58" w14:textId="77777777" w:rsidR="00374DAC" w:rsidRDefault="00374DAC" w:rsidP="00374DAC">
      <w:pPr>
        <w:spacing w:line="276" w:lineRule="auto"/>
        <w:jc w:val="center"/>
        <w:rPr>
          <w:rFonts w:ascii="Book Antiqua" w:hAnsi="Book Antiqua"/>
          <w:b/>
          <w:bCs/>
          <w:szCs w:val="24"/>
          <w:lang w:val="es-ES"/>
        </w:rPr>
      </w:pPr>
    </w:p>
    <w:p w14:paraId="45D27505" w14:textId="0D59EC97" w:rsidR="00374DAC" w:rsidRPr="00374DAC" w:rsidRDefault="00374DAC" w:rsidP="00374DAC">
      <w:pPr>
        <w:spacing w:line="276" w:lineRule="auto"/>
        <w:jc w:val="both"/>
        <w:rPr>
          <w:rFonts w:ascii="Book Antiqua" w:hAnsi="Book Antiqua"/>
          <w:b/>
          <w:bCs/>
          <w:szCs w:val="24"/>
          <w:lang w:val="es-ES"/>
        </w:rPr>
      </w:pPr>
      <w:r>
        <w:rPr>
          <w:rFonts w:ascii="Book Antiqua" w:hAnsi="Book Antiqua"/>
          <w:b/>
          <w:bCs/>
          <w:szCs w:val="24"/>
          <w:lang w:val="es-ES"/>
        </w:rPr>
        <w:tab/>
      </w:r>
      <w:r w:rsidRPr="00374DAC">
        <w:rPr>
          <w:rFonts w:ascii="Book Antiqua" w:hAnsi="Book Antiqua"/>
          <w:color w:val="000000"/>
          <w:szCs w:val="24"/>
          <w:lang w:val="es-PR"/>
        </w:rPr>
        <w:t xml:space="preserve">La Oficina de Gerencia y Presupuesto resaltó la pertinencia de la medida para reafirmar el compromiso del </w:t>
      </w:r>
      <w:r>
        <w:rPr>
          <w:rFonts w:ascii="Book Antiqua" w:hAnsi="Book Antiqua"/>
          <w:color w:val="000000"/>
          <w:szCs w:val="24"/>
          <w:lang w:val="es-PR"/>
        </w:rPr>
        <w:t>G</w:t>
      </w:r>
      <w:r w:rsidRPr="00374DAC">
        <w:rPr>
          <w:rFonts w:ascii="Book Antiqua" w:hAnsi="Book Antiqua"/>
          <w:color w:val="000000"/>
          <w:szCs w:val="24"/>
          <w:lang w:val="es-PR"/>
        </w:rPr>
        <w:t>obierno con la innovación tecnológica, la protección de derechos ciudadanos y la modernización de servicios. Señaló que el proyecto se alinea con los planes de Transformación Digital e Inteligencia Artificial adoptados por la administración. Reconoció que la PRITS es la entidad idónea para supervisar y orientar la política pública en este tema, y expresó su apoyo a la aprobación de la medida, aunque recomendó reevaluar la disposición relativa a la creación de fondos especiales mediante multas, por posibles conflictos con la política fiscal vigente. La OGP concluyó que, pese a esta observación, el proyecto es un paso positivo hacia la eficiencia y transparencia en la gestión pública.</w:t>
      </w:r>
    </w:p>
    <w:p w14:paraId="1D37B6F9" w14:textId="77777777" w:rsidR="00374DAC" w:rsidRDefault="00374DAC" w:rsidP="00374DAC">
      <w:pPr>
        <w:spacing w:line="276" w:lineRule="auto"/>
        <w:jc w:val="center"/>
        <w:rPr>
          <w:rFonts w:ascii="Book Antiqua" w:hAnsi="Book Antiqua"/>
          <w:b/>
          <w:bCs/>
          <w:szCs w:val="24"/>
          <w:lang w:val="es-ES"/>
        </w:rPr>
      </w:pPr>
    </w:p>
    <w:p w14:paraId="0BCAB90D" w14:textId="76A9E457" w:rsidR="00374DAC" w:rsidRDefault="00374DAC" w:rsidP="00374DAC">
      <w:pPr>
        <w:spacing w:line="276" w:lineRule="auto"/>
        <w:jc w:val="center"/>
        <w:rPr>
          <w:rFonts w:ascii="Book Antiqua" w:hAnsi="Book Antiqua"/>
          <w:b/>
          <w:bCs/>
          <w:szCs w:val="24"/>
          <w:lang w:val="es-ES"/>
        </w:rPr>
      </w:pPr>
      <w:r>
        <w:rPr>
          <w:rFonts w:ascii="Book Antiqua" w:hAnsi="Book Antiqua"/>
          <w:b/>
          <w:bCs/>
          <w:szCs w:val="24"/>
          <w:lang w:val="es-ES"/>
        </w:rPr>
        <w:t>AUTORIDAD DE ASESRORÍA FINANCIERA Y AGENCIA FISCAL</w:t>
      </w:r>
    </w:p>
    <w:p w14:paraId="5747EBE9" w14:textId="77777777" w:rsidR="00374DAC" w:rsidRDefault="00374DAC" w:rsidP="00374DAC">
      <w:pPr>
        <w:spacing w:line="276" w:lineRule="auto"/>
        <w:jc w:val="center"/>
        <w:rPr>
          <w:rFonts w:ascii="Book Antiqua" w:hAnsi="Book Antiqua"/>
          <w:b/>
          <w:bCs/>
          <w:szCs w:val="24"/>
          <w:lang w:val="es-ES"/>
        </w:rPr>
      </w:pPr>
    </w:p>
    <w:p w14:paraId="06A22812" w14:textId="2909755F" w:rsidR="00374DAC" w:rsidRPr="00374DAC" w:rsidRDefault="00374DAC" w:rsidP="00374DAC">
      <w:pPr>
        <w:spacing w:line="276" w:lineRule="auto"/>
        <w:jc w:val="both"/>
        <w:rPr>
          <w:rFonts w:ascii="Book Antiqua" w:hAnsi="Book Antiqua"/>
          <w:b/>
          <w:bCs/>
          <w:szCs w:val="24"/>
          <w:lang w:val="es-ES"/>
        </w:rPr>
      </w:pPr>
      <w:r>
        <w:rPr>
          <w:rFonts w:ascii="Book Antiqua" w:hAnsi="Book Antiqua"/>
          <w:b/>
          <w:bCs/>
          <w:szCs w:val="24"/>
          <w:lang w:val="es-ES"/>
        </w:rPr>
        <w:tab/>
      </w:r>
      <w:r w:rsidRPr="00374DAC">
        <w:rPr>
          <w:rFonts w:ascii="Book Antiqua" w:hAnsi="Book Antiqua"/>
          <w:color w:val="000000"/>
          <w:szCs w:val="24"/>
          <w:lang w:val="es-PR"/>
        </w:rPr>
        <w:t xml:space="preserve">La Autoridad de Asesoría Financiera y Agencia Fiscal destacó que el proyecto es pertinente dentro del marco de los planes fiscales del Gobierno de Puerto Rico y reconoció que conferir a la PRITS facultades de supervisión y regulación sobre el uso de la inteligencia artificial contribuirá a la eficiencia y modernización gubernamental. Señaló que su implantación debe coordinarse con las disposiciones de PROMESA y los planes fiscales certificados, pero enfatizó que no se opone a los objetivos de la medida. La AAFAF valoró positivamente que la iniciativa fomente la innovación dentro de un marco de responsabilidad fiscal y concluyó que su aprobación aportará confianza pública en la gestión tecnológica del </w:t>
      </w:r>
      <w:r>
        <w:rPr>
          <w:rFonts w:ascii="Book Antiqua" w:hAnsi="Book Antiqua"/>
          <w:color w:val="000000"/>
          <w:szCs w:val="24"/>
          <w:lang w:val="es-PR"/>
        </w:rPr>
        <w:t>G</w:t>
      </w:r>
      <w:r w:rsidRPr="00374DAC">
        <w:rPr>
          <w:rFonts w:ascii="Book Antiqua" w:hAnsi="Book Antiqua"/>
          <w:color w:val="000000"/>
          <w:szCs w:val="24"/>
          <w:lang w:val="es-PR"/>
        </w:rPr>
        <w:t>obierno.</w:t>
      </w:r>
    </w:p>
    <w:p w14:paraId="7B3BBCCC" w14:textId="77777777" w:rsidR="00374DAC" w:rsidRDefault="00374DAC" w:rsidP="00374DAC">
      <w:pPr>
        <w:spacing w:line="276" w:lineRule="auto"/>
        <w:jc w:val="center"/>
        <w:rPr>
          <w:rFonts w:ascii="Book Antiqua" w:hAnsi="Book Antiqua"/>
          <w:b/>
          <w:bCs/>
          <w:szCs w:val="24"/>
          <w:lang w:val="es-ES"/>
        </w:rPr>
      </w:pPr>
    </w:p>
    <w:p w14:paraId="044D8FC8" w14:textId="75030194" w:rsidR="00374DAC" w:rsidRDefault="00374DAC" w:rsidP="00374DAC">
      <w:pPr>
        <w:spacing w:line="276" w:lineRule="auto"/>
        <w:jc w:val="center"/>
        <w:rPr>
          <w:rFonts w:ascii="Book Antiqua" w:hAnsi="Book Antiqua"/>
          <w:b/>
          <w:bCs/>
          <w:szCs w:val="24"/>
          <w:lang w:val="es-ES"/>
        </w:rPr>
      </w:pPr>
      <w:r>
        <w:rPr>
          <w:rFonts w:ascii="Book Antiqua" w:hAnsi="Book Antiqua"/>
          <w:b/>
          <w:bCs/>
          <w:szCs w:val="24"/>
          <w:lang w:val="es-ES"/>
        </w:rPr>
        <w:t>DEPARTAMENTO DE HACIENDA</w:t>
      </w:r>
    </w:p>
    <w:p w14:paraId="0F66F3D0" w14:textId="77777777" w:rsidR="00374DAC" w:rsidRPr="00374DAC" w:rsidRDefault="00374DAC" w:rsidP="00374DAC">
      <w:pPr>
        <w:spacing w:line="276" w:lineRule="auto"/>
        <w:jc w:val="both"/>
        <w:rPr>
          <w:rFonts w:ascii="Book Antiqua" w:hAnsi="Book Antiqua"/>
          <w:b/>
          <w:bCs/>
          <w:szCs w:val="24"/>
          <w:lang w:val="es-ES"/>
        </w:rPr>
      </w:pPr>
    </w:p>
    <w:p w14:paraId="0840C474" w14:textId="43B0A52D" w:rsidR="00374DAC" w:rsidRPr="00374DAC" w:rsidRDefault="00374DAC" w:rsidP="00374DAC">
      <w:pPr>
        <w:spacing w:line="276" w:lineRule="auto"/>
        <w:ind w:firstLine="720"/>
        <w:jc w:val="both"/>
        <w:rPr>
          <w:rFonts w:ascii="Book Antiqua" w:hAnsi="Book Antiqua"/>
          <w:color w:val="000000"/>
          <w:szCs w:val="24"/>
          <w:lang w:val="es-PR"/>
        </w:rPr>
      </w:pPr>
      <w:r w:rsidRPr="00374DAC">
        <w:rPr>
          <w:rFonts w:ascii="Book Antiqua" w:hAnsi="Book Antiqua"/>
          <w:color w:val="000000"/>
          <w:szCs w:val="24"/>
          <w:lang w:val="es-PR"/>
        </w:rPr>
        <w:t xml:space="preserve">El Departamento de Hacienda coincidió en la importancia de uniformar y supervisar la adopción de inteligencia artificial en las agencias públicas, destacando que la medida fortalece los principios de eficiencia, innovación y transparencia en la gestión gubernamental. Reconoció que el proyecto apoya la protección de derechos ciudadanos </w:t>
      </w:r>
      <w:r w:rsidRPr="00374DAC">
        <w:rPr>
          <w:rFonts w:ascii="Book Antiqua" w:hAnsi="Book Antiqua"/>
          <w:color w:val="000000"/>
          <w:szCs w:val="24"/>
          <w:lang w:val="es-PR"/>
        </w:rPr>
        <w:lastRenderedPageBreak/>
        <w:t>frente al uso de nuevas tecnologías y respaldó la creación de un marco regulatorio claro y actualizado que guíe su implantación en los procesos del gobierno. Hacienda coincidió con la Oficina de Gerencia y Presupuesto en cuanto a la necesidad de que los fondos provenientes de multas administrativas se manejen conforme a las disposiciones fiscales vigentes y sostuvo que, de aprobarse la medida, debe garantizarse que no se creen fondos especiales fuera del marco establecido por la Ley Núm. 230-1974. Finalmente, el Departamento expresó deferencia a la PRITS como organismo especializado y no planteó objeciones a la aprobación de la medida.</w:t>
      </w:r>
    </w:p>
    <w:p w14:paraId="54970739" w14:textId="77777777" w:rsidR="00374DAC" w:rsidRPr="00374DAC" w:rsidRDefault="00374DAC" w:rsidP="00374DAC">
      <w:pPr>
        <w:spacing w:line="276" w:lineRule="auto"/>
        <w:jc w:val="both"/>
        <w:rPr>
          <w:rFonts w:ascii="Book Antiqua" w:hAnsi="Book Antiqua"/>
          <w:b/>
          <w:bCs/>
          <w:szCs w:val="24"/>
          <w:lang w:val="es-ES"/>
        </w:rPr>
      </w:pPr>
    </w:p>
    <w:p w14:paraId="0508261F" w14:textId="4C60D816" w:rsidR="00374DAC" w:rsidRPr="00374DAC" w:rsidRDefault="00374DAC" w:rsidP="00374DAC">
      <w:pPr>
        <w:spacing w:line="276" w:lineRule="auto"/>
        <w:jc w:val="center"/>
        <w:rPr>
          <w:rFonts w:ascii="Book Antiqua" w:hAnsi="Book Antiqua"/>
          <w:b/>
          <w:bCs/>
          <w:szCs w:val="24"/>
        </w:rPr>
      </w:pPr>
      <w:r w:rsidRPr="00374DAC">
        <w:rPr>
          <w:rFonts w:ascii="Book Antiqua" w:hAnsi="Book Antiqua"/>
          <w:b/>
          <w:bCs/>
          <w:szCs w:val="24"/>
        </w:rPr>
        <w:t>PUERTO RICO INNOVATION AND TECHNOLOGY SERVICE</w:t>
      </w:r>
    </w:p>
    <w:p w14:paraId="4B1AC70D" w14:textId="7F70153F" w:rsidR="00374DAC" w:rsidRPr="00374DAC" w:rsidRDefault="00374DAC" w:rsidP="00374DAC">
      <w:pPr>
        <w:spacing w:line="276" w:lineRule="auto"/>
        <w:jc w:val="both"/>
        <w:rPr>
          <w:rFonts w:ascii="Book Antiqua" w:hAnsi="Book Antiqua"/>
          <w:b/>
          <w:bCs/>
          <w:szCs w:val="24"/>
          <w:lang w:val="es-PR"/>
        </w:rPr>
      </w:pPr>
      <w:r w:rsidRPr="006D7BD5">
        <w:rPr>
          <w:rFonts w:ascii="Book Antiqua" w:hAnsi="Book Antiqua"/>
          <w:b/>
          <w:bCs/>
          <w:szCs w:val="24"/>
          <w:lang w:val="es-PR"/>
        </w:rPr>
        <w:br/>
      </w:r>
      <w:r w:rsidRPr="006D7BD5">
        <w:rPr>
          <w:rFonts w:ascii="Book Antiqua" w:hAnsi="Book Antiqua"/>
          <w:b/>
          <w:bCs/>
          <w:szCs w:val="24"/>
          <w:lang w:val="es-PR"/>
        </w:rPr>
        <w:tab/>
      </w:r>
      <w:r w:rsidRPr="00374DAC">
        <w:rPr>
          <w:rFonts w:ascii="Book Antiqua" w:hAnsi="Book Antiqua"/>
          <w:color w:val="000000"/>
          <w:szCs w:val="24"/>
          <w:lang w:val="es-PR"/>
        </w:rPr>
        <w:t xml:space="preserve">El Puerto Rico </w:t>
      </w:r>
      <w:proofErr w:type="spellStart"/>
      <w:r w:rsidRPr="00374DAC">
        <w:rPr>
          <w:rFonts w:ascii="Book Antiqua" w:hAnsi="Book Antiqua"/>
          <w:color w:val="000000"/>
          <w:szCs w:val="24"/>
          <w:lang w:val="es-PR"/>
        </w:rPr>
        <w:t>Innovation</w:t>
      </w:r>
      <w:proofErr w:type="spellEnd"/>
      <w:r w:rsidRPr="00374DAC">
        <w:rPr>
          <w:rFonts w:ascii="Book Antiqua" w:hAnsi="Book Antiqua"/>
          <w:color w:val="000000"/>
          <w:szCs w:val="24"/>
          <w:lang w:val="es-PR"/>
        </w:rPr>
        <w:t xml:space="preserve"> and </w:t>
      </w:r>
      <w:proofErr w:type="spellStart"/>
      <w:r w:rsidRPr="00374DAC">
        <w:rPr>
          <w:rFonts w:ascii="Book Antiqua" w:hAnsi="Book Antiqua"/>
          <w:color w:val="000000"/>
          <w:szCs w:val="24"/>
          <w:lang w:val="es-PR"/>
        </w:rPr>
        <w:t>Technology</w:t>
      </w:r>
      <w:proofErr w:type="spellEnd"/>
      <w:r w:rsidRPr="00374DAC">
        <w:rPr>
          <w:rFonts w:ascii="Book Antiqua" w:hAnsi="Book Antiqua"/>
          <w:color w:val="000000"/>
          <w:szCs w:val="24"/>
          <w:lang w:val="es-PR"/>
        </w:rPr>
        <w:t xml:space="preserve"> </w:t>
      </w:r>
      <w:proofErr w:type="spellStart"/>
      <w:r w:rsidRPr="00374DAC">
        <w:rPr>
          <w:rFonts w:ascii="Book Antiqua" w:hAnsi="Book Antiqua"/>
          <w:color w:val="000000"/>
          <w:szCs w:val="24"/>
          <w:lang w:val="es-PR"/>
        </w:rPr>
        <w:t>Service</w:t>
      </w:r>
      <w:proofErr w:type="spellEnd"/>
      <w:r w:rsidRPr="00374DAC">
        <w:rPr>
          <w:rFonts w:ascii="Book Antiqua" w:hAnsi="Book Antiqua"/>
          <w:color w:val="000000"/>
          <w:szCs w:val="24"/>
          <w:lang w:val="es-PR"/>
        </w:rPr>
        <w:t xml:space="preserve"> manifestó su respaldo pleno al proyecto, señalando que responde a la necesidad de contar con un marco legal uniforme y actualizado para la utilización de inteligencia artificial en el gobierno. La agencia resaltó que la medida fortalece sus facultades para orientar, supervisar y regular el desarrollo de proyectos de inteligencia artificial en las agencias y que está alineada con la Estrategia de Transformación Digital del Gobierno de Puerto Rico. Destacó que la regulación permitirá una implementación responsable, enmarcada en principios de ética, equidad y transparencia, asegurando la confianza ciudadana en el </w:t>
      </w:r>
      <w:r>
        <w:rPr>
          <w:rFonts w:ascii="Book Antiqua" w:hAnsi="Book Antiqua"/>
          <w:color w:val="000000"/>
          <w:szCs w:val="24"/>
          <w:lang w:val="es-PR"/>
        </w:rPr>
        <w:t>G</w:t>
      </w:r>
      <w:r w:rsidRPr="00374DAC">
        <w:rPr>
          <w:rFonts w:ascii="Book Antiqua" w:hAnsi="Book Antiqua"/>
          <w:color w:val="000000"/>
          <w:szCs w:val="24"/>
          <w:lang w:val="es-PR"/>
        </w:rPr>
        <w:t>obierno. Subrayó, además, la importancia de armonizar el lenguaje de esta medida con otras iniciativas legislativas relacionadas con la inteligencia artificial, con el fin de evitar duplicidad o contradicciones en la política pública. PRITS concluyó que el proyecto permitirá maximizar los beneficios de la inteligencia artificial para mejorar la eficiencia gubernamental y los servicios al pueblo, reiterando su apoyo a la aprobación de la medida y su disposición para liderar su implementación.</w:t>
      </w:r>
    </w:p>
    <w:p w14:paraId="6FC917A6" w14:textId="77777777" w:rsidR="00D0748A" w:rsidRPr="00473C5F" w:rsidRDefault="00D0748A" w:rsidP="00D0748A">
      <w:pPr>
        <w:spacing w:line="276" w:lineRule="auto"/>
        <w:ind w:firstLine="720"/>
        <w:jc w:val="both"/>
        <w:rPr>
          <w:rFonts w:ascii="Book Antiqua" w:eastAsia="Times New Roman" w:hAnsi="Book Antiqua"/>
          <w:color w:val="000000"/>
          <w:szCs w:val="24"/>
          <w:lang w:val="es-PR"/>
        </w:rPr>
      </w:pPr>
    </w:p>
    <w:p w14:paraId="3AAA032F" w14:textId="683CF7A2" w:rsidR="00473C5F" w:rsidRDefault="00473C5F" w:rsidP="00393B69">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IMPACTO FISCAL</w:t>
      </w:r>
    </w:p>
    <w:p w14:paraId="59FC32C8" w14:textId="77777777" w:rsidR="00473C5F" w:rsidRDefault="00473C5F" w:rsidP="00393B69">
      <w:pPr>
        <w:pStyle w:val="ColorfulList-Accent11"/>
        <w:spacing w:line="276" w:lineRule="auto"/>
        <w:ind w:left="0"/>
        <w:jc w:val="center"/>
        <w:rPr>
          <w:rFonts w:ascii="Book Antiqua" w:hAnsi="Book Antiqua"/>
          <w:b/>
          <w:szCs w:val="24"/>
          <w:lang w:val="es-ES"/>
        </w:rPr>
      </w:pPr>
    </w:p>
    <w:p w14:paraId="21C47720" w14:textId="35255593" w:rsidR="00473C5F" w:rsidRPr="00473C5F" w:rsidRDefault="00473C5F" w:rsidP="00473C5F">
      <w:pPr>
        <w:pStyle w:val="ColorfulList-Accent11"/>
        <w:spacing w:line="276" w:lineRule="auto"/>
        <w:ind w:left="0"/>
        <w:jc w:val="both"/>
        <w:rPr>
          <w:rFonts w:ascii="Book Antiqua" w:hAnsi="Book Antiqua"/>
          <w:bCs/>
          <w:szCs w:val="24"/>
          <w:lang w:val="es-ES"/>
        </w:rPr>
      </w:pPr>
      <w:r>
        <w:rPr>
          <w:rFonts w:ascii="Book Antiqua" w:hAnsi="Book Antiqua"/>
          <w:bCs/>
          <w:szCs w:val="24"/>
          <w:lang w:val="es-ES"/>
        </w:rPr>
        <w:tab/>
        <w:t>En cumplimiento con el Art. 1.007 de la Ley 7-2020. Según enmendada, conocida como el “Código Municipal”, la Comisión suscribiente certifica que la medida objeto de este informe no impone una obligación económica en el presupuesto de los gobiernos municipales. Además, la medida</w:t>
      </w:r>
      <w:r w:rsidR="00797240">
        <w:rPr>
          <w:rFonts w:ascii="Book Antiqua" w:hAnsi="Book Antiqua"/>
          <w:bCs/>
          <w:szCs w:val="24"/>
          <w:lang w:val="es-ES"/>
        </w:rPr>
        <w:t xml:space="preserve"> no</w:t>
      </w:r>
      <w:r>
        <w:rPr>
          <w:rFonts w:ascii="Book Antiqua" w:hAnsi="Book Antiqua"/>
          <w:bCs/>
          <w:szCs w:val="24"/>
          <w:lang w:val="es-ES"/>
        </w:rPr>
        <w:t xml:space="preserve"> tiene impacto a las arcas fiscales del Gobierno de Puerto Rico. </w:t>
      </w:r>
    </w:p>
    <w:p w14:paraId="7EC12A1A" w14:textId="77777777" w:rsidR="00473C5F" w:rsidRDefault="00473C5F" w:rsidP="00393B69">
      <w:pPr>
        <w:pStyle w:val="ColorfulList-Accent11"/>
        <w:spacing w:line="276" w:lineRule="auto"/>
        <w:ind w:left="0"/>
        <w:jc w:val="center"/>
        <w:rPr>
          <w:rFonts w:ascii="Book Antiqua" w:hAnsi="Book Antiqua"/>
          <w:b/>
          <w:szCs w:val="24"/>
          <w:lang w:val="es-ES"/>
        </w:rPr>
      </w:pPr>
    </w:p>
    <w:p w14:paraId="1A0FAE9A" w14:textId="4B37E71C" w:rsidR="006D0C1E" w:rsidRPr="00663441"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221B6D88" w14:textId="083E687B" w:rsidR="00D454DC" w:rsidRDefault="00D454DC" w:rsidP="00993AB0">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w:t>
      </w:r>
      <w:r w:rsidRPr="00663441">
        <w:rPr>
          <w:rFonts w:ascii="Book Antiqua" w:hAnsi="Book Antiqua"/>
          <w:szCs w:val="24"/>
          <w:lang w:val="es-ES"/>
        </w:rPr>
        <w:lastRenderedPageBreak/>
        <w:t xml:space="preserve">bien presentar ante este Alto Cuerpo el Informe </w:t>
      </w:r>
      <w:r w:rsidR="00374DAC">
        <w:rPr>
          <w:rFonts w:ascii="Book Antiqua" w:hAnsi="Book Antiqua"/>
          <w:szCs w:val="24"/>
          <w:lang w:val="es-ES"/>
        </w:rPr>
        <w:t>Positivo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374DAC">
        <w:rPr>
          <w:rFonts w:ascii="Book Antiqua" w:hAnsi="Book Antiqua"/>
          <w:b/>
          <w:szCs w:val="24"/>
          <w:lang w:val="es-ES"/>
        </w:rPr>
        <w:t xml:space="preserve"> </w:t>
      </w:r>
      <w:r w:rsidR="003767F3" w:rsidRPr="00663441">
        <w:rPr>
          <w:rFonts w:ascii="Book Antiqua" w:hAnsi="Book Antiqua"/>
          <w:b/>
          <w:szCs w:val="24"/>
          <w:lang w:val="es-ES"/>
        </w:rPr>
        <w:t>l</w:t>
      </w:r>
      <w:r w:rsidR="00374DAC">
        <w:rPr>
          <w:rFonts w:ascii="Book Antiqua" w:hAnsi="Book Antiqua"/>
          <w:b/>
          <w:szCs w:val="24"/>
          <w:lang w:val="es-ES"/>
        </w:rPr>
        <w:t>a</w:t>
      </w:r>
      <w:r w:rsidR="003767F3" w:rsidRPr="00663441">
        <w:rPr>
          <w:rFonts w:ascii="Book Antiqua" w:hAnsi="Book Antiqua"/>
          <w:b/>
          <w:szCs w:val="24"/>
          <w:lang w:val="es-ES"/>
        </w:rPr>
        <w:t xml:space="preserve"> </w:t>
      </w:r>
      <w:r w:rsidR="00374DAC">
        <w:rPr>
          <w:rFonts w:ascii="Book Antiqua" w:hAnsi="Book Antiqua"/>
          <w:b/>
          <w:szCs w:val="24"/>
          <w:lang w:val="es-ES"/>
        </w:rPr>
        <w:t>Cámara</w:t>
      </w:r>
      <w:r w:rsidR="003767F3" w:rsidRPr="00663441">
        <w:rPr>
          <w:rFonts w:ascii="Book Antiqua" w:hAnsi="Book Antiqua"/>
          <w:b/>
          <w:szCs w:val="24"/>
          <w:lang w:val="es-ES"/>
        </w:rPr>
        <w:t xml:space="preserve"> </w:t>
      </w:r>
      <w:r w:rsidR="00D0748A">
        <w:rPr>
          <w:rFonts w:ascii="Book Antiqua" w:hAnsi="Book Antiqua"/>
          <w:b/>
          <w:szCs w:val="24"/>
          <w:lang w:val="es-ES"/>
        </w:rPr>
        <w:t>347</w:t>
      </w:r>
      <w:r w:rsidR="00F95BCF" w:rsidRPr="00663441">
        <w:rPr>
          <w:rFonts w:ascii="Book Antiqua" w:hAnsi="Book Antiqua"/>
          <w:szCs w:val="24"/>
          <w:lang w:val="es-ES"/>
        </w:rPr>
        <w:t xml:space="preserve">, </w:t>
      </w:r>
      <w:r w:rsidR="00F95BCF">
        <w:rPr>
          <w:rFonts w:ascii="Book Antiqua" w:hAnsi="Book Antiqua"/>
          <w:szCs w:val="24"/>
          <w:lang w:val="es-ES"/>
        </w:rPr>
        <w:t>recomendando</w:t>
      </w:r>
      <w:r w:rsidR="002A6508">
        <w:rPr>
          <w:rFonts w:ascii="Book Antiqua" w:hAnsi="Book Antiqua"/>
          <w:szCs w:val="24"/>
          <w:lang w:val="es-ES"/>
        </w:rPr>
        <w:t xml:space="preserve"> que el proyecto </w:t>
      </w:r>
      <w:r w:rsidR="00374DAC">
        <w:rPr>
          <w:rFonts w:ascii="Book Antiqua" w:hAnsi="Book Antiqua"/>
          <w:szCs w:val="24"/>
          <w:lang w:val="es-ES"/>
        </w:rPr>
        <w:t>s</w:t>
      </w:r>
      <w:r w:rsidR="002A6508">
        <w:rPr>
          <w:rFonts w:ascii="Book Antiqua" w:hAnsi="Book Antiqua"/>
          <w:szCs w:val="24"/>
          <w:lang w:val="es-ES"/>
        </w:rPr>
        <w:t>ea aprobado</w:t>
      </w:r>
      <w:r w:rsidR="00003F3F">
        <w:rPr>
          <w:rFonts w:ascii="Book Antiqua" w:hAnsi="Book Antiqua"/>
          <w:szCs w:val="24"/>
          <w:lang w:val="es-ES"/>
        </w:rPr>
        <w:t>.</w:t>
      </w:r>
      <w:r w:rsidR="00572D30" w:rsidRPr="00663441">
        <w:rPr>
          <w:rFonts w:ascii="Book Antiqua" w:hAnsi="Book Antiqua"/>
          <w:szCs w:val="24"/>
          <w:lang w:val="es-ES"/>
        </w:rPr>
        <w:t xml:space="preserve"> </w:t>
      </w:r>
      <w:r w:rsidR="00526540" w:rsidRPr="00526540">
        <w:rPr>
          <w:rFonts w:ascii="Book Antiqua" w:hAnsi="Book Antiqua"/>
          <w:b/>
          <w:bCs/>
          <w:szCs w:val="24"/>
          <w:lang w:val="es-ES"/>
        </w:rPr>
        <w:t>Sin enmiendas</w:t>
      </w:r>
    </w:p>
    <w:p w14:paraId="7D0F1EDB" w14:textId="77777777" w:rsidR="009A422F" w:rsidRDefault="009A422F" w:rsidP="00993AB0">
      <w:pPr>
        <w:spacing w:before="120" w:after="120" w:line="276" w:lineRule="auto"/>
        <w:ind w:firstLine="720"/>
        <w:jc w:val="both"/>
        <w:rPr>
          <w:rFonts w:ascii="Book Antiqua" w:hAnsi="Book Antiqua"/>
          <w:szCs w:val="24"/>
          <w:lang w:val="es-ES"/>
        </w:rPr>
      </w:pPr>
    </w:p>
    <w:p w14:paraId="3932ED30" w14:textId="77777777" w:rsidR="00526540" w:rsidRDefault="00526540" w:rsidP="00993AB0">
      <w:pPr>
        <w:spacing w:before="120" w:after="120" w:line="276" w:lineRule="auto"/>
        <w:ind w:firstLine="720"/>
        <w:jc w:val="both"/>
        <w:rPr>
          <w:rFonts w:ascii="Book Antiqua" w:hAnsi="Book Antiqua"/>
          <w:szCs w:val="24"/>
          <w:lang w:val="es-ES"/>
        </w:rPr>
      </w:pPr>
    </w:p>
    <w:p w14:paraId="3D4A683F" w14:textId="77777777" w:rsidR="00526540" w:rsidRDefault="00526540" w:rsidP="00993AB0">
      <w:pPr>
        <w:spacing w:before="120" w:after="120" w:line="276" w:lineRule="auto"/>
        <w:ind w:firstLine="720"/>
        <w:jc w:val="both"/>
        <w:rPr>
          <w:rFonts w:ascii="Book Antiqua" w:hAnsi="Book Antiqua"/>
          <w:szCs w:val="24"/>
          <w:lang w:val="es-ES"/>
        </w:rPr>
      </w:pPr>
    </w:p>
    <w:p w14:paraId="64E1D8BA" w14:textId="77777777" w:rsidR="00526540" w:rsidRPr="00663441" w:rsidRDefault="00526540" w:rsidP="00993AB0">
      <w:pPr>
        <w:spacing w:before="120" w:after="120" w:line="276" w:lineRule="auto"/>
        <w:ind w:firstLine="720"/>
        <w:jc w:val="both"/>
        <w:rPr>
          <w:rFonts w:ascii="Book Antiqua" w:hAnsi="Book Antiqua"/>
          <w:szCs w:val="24"/>
          <w:lang w:val="es-ES"/>
        </w:rPr>
      </w:pPr>
    </w:p>
    <w:p w14:paraId="1145ADBC" w14:textId="77777777" w:rsidR="007954BD"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3BF45572" w14:textId="77777777" w:rsidR="00791A78" w:rsidRPr="00663441" w:rsidRDefault="00791A78" w:rsidP="00D53BDD">
      <w:pPr>
        <w:spacing w:line="276" w:lineRule="auto"/>
        <w:jc w:val="both"/>
        <w:rPr>
          <w:rFonts w:ascii="Book Antiqua" w:hAnsi="Book Antiqua"/>
          <w:szCs w:val="24"/>
          <w:lang w:val="es-ES"/>
        </w:rPr>
      </w:pPr>
    </w:p>
    <w:p w14:paraId="3926C908" w14:textId="77777777" w:rsidR="007954BD" w:rsidRPr="00663441" w:rsidRDefault="007954BD"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40773EFD" w14:textId="6AEBBCCB" w:rsidR="003F73D6"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even" r:id="rId1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AE425" w14:textId="77777777" w:rsidR="00A17C5B" w:rsidRDefault="00A17C5B" w:rsidP="00F46986">
      <w:r>
        <w:separator/>
      </w:r>
    </w:p>
  </w:endnote>
  <w:endnote w:type="continuationSeparator" w:id="0">
    <w:p w14:paraId="09659B8D" w14:textId="77777777" w:rsidR="00A17C5B" w:rsidRDefault="00A17C5B"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00AFE" w14:textId="77777777" w:rsidR="00A17C5B" w:rsidRDefault="00A17C5B" w:rsidP="00F46986">
      <w:r>
        <w:separator/>
      </w:r>
    </w:p>
  </w:footnote>
  <w:footnote w:type="continuationSeparator" w:id="0">
    <w:p w14:paraId="40C32C7D" w14:textId="77777777" w:rsidR="00A17C5B" w:rsidRDefault="00A17C5B"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CC06F" w14:textId="4FF29EF8" w:rsidR="00E85585" w:rsidRDefault="00E85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2C270137"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w:t>
    </w:r>
    <w:r w:rsidR="00374DAC">
      <w:rPr>
        <w:rFonts w:ascii="Book Antiqua" w:hAnsi="Book Antiqua"/>
        <w:b/>
        <w:sz w:val="20"/>
        <w:lang w:val="es-PR"/>
      </w:rPr>
      <w:t>Positivo</w:t>
    </w:r>
    <w:r w:rsidRPr="00AA356F">
      <w:rPr>
        <w:rFonts w:ascii="Book Antiqua" w:hAnsi="Book Antiqua"/>
        <w:b/>
        <w:sz w:val="20"/>
        <w:lang w:val="es-PR"/>
      </w:rPr>
      <w:t xml:space="preserve"> </w:t>
    </w:r>
    <w:r w:rsidR="000150A3" w:rsidRPr="00AA356F">
      <w:rPr>
        <w:rFonts w:ascii="Book Antiqua" w:hAnsi="Book Antiqua"/>
        <w:b/>
        <w:sz w:val="20"/>
        <w:lang w:val="es-PR"/>
      </w:rPr>
      <w:t xml:space="preserve">sobre el </w:t>
    </w:r>
    <w:r w:rsidR="00D0748A">
      <w:rPr>
        <w:rFonts w:ascii="Book Antiqua" w:hAnsi="Book Antiqua"/>
        <w:b/>
        <w:sz w:val="20"/>
        <w:lang w:val="es-PR"/>
      </w:rPr>
      <w:t>P</w:t>
    </w:r>
    <w:r w:rsidR="00925033">
      <w:rPr>
        <w:rFonts w:ascii="Book Antiqua" w:hAnsi="Book Antiqua"/>
        <w:b/>
        <w:sz w:val="20"/>
        <w:lang w:val="es-PR"/>
      </w:rPr>
      <w:t>.</w:t>
    </w:r>
    <w:r w:rsidR="009D31CD">
      <w:rPr>
        <w:rFonts w:ascii="Book Antiqua" w:hAnsi="Book Antiqua"/>
        <w:b/>
        <w:sz w:val="20"/>
        <w:lang w:val="es-PR"/>
      </w:rPr>
      <w:t xml:space="preserve"> de</w:t>
    </w:r>
    <w:r w:rsidR="00374DAC">
      <w:rPr>
        <w:rFonts w:ascii="Book Antiqua" w:hAnsi="Book Antiqua"/>
        <w:b/>
        <w:sz w:val="20"/>
        <w:lang w:val="es-PR"/>
      </w:rPr>
      <w:t xml:space="preserve"> la C</w:t>
    </w:r>
    <w:r w:rsidR="009D31CD">
      <w:rPr>
        <w:rFonts w:ascii="Book Antiqua" w:hAnsi="Book Antiqua"/>
        <w:b/>
        <w:sz w:val="20"/>
        <w:lang w:val="es-PR"/>
      </w:rPr>
      <w:t xml:space="preserve">. </w:t>
    </w:r>
    <w:r w:rsidR="00D0748A">
      <w:rPr>
        <w:rFonts w:ascii="Book Antiqua" w:hAnsi="Book Antiqua"/>
        <w:b/>
        <w:sz w:val="20"/>
        <w:lang w:val="es-PR"/>
      </w:rPr>
      <w:t>347</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29C97805" w:rsidR="00AA356F" w:rsidRPr="00AA356F" w:rsidRDefault="00AA356F">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CCC3" w14:textId="3BBCAAD6" w:rsidR="00E85585" w:rsidRDefault="00E8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EA6"/>
    <w:rsid w:val="00002186"/>
    <w:rsid w:val="0000239F"/>
    <w:rsid w:val="000024B4"/>
    <w:rsid w:val="00003F3F"/>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27FB"/>
    <w:rsid w:val="00123373"/>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EF0"/>
    <w:rsid w:val="00134FE3"/>
    <w:rsid w:val="00135608"/>
    <w:rsid w:val="001414C1"/>
    <w:rsid w:val="00141F50"/>
    <w:rsid w:val="00143D36"/>
    <w:rsid w:val="00144022"/>
    <w:rsid w:val="00144172"/>
    <w:rsid w:val="00146F7C"/>
    <w:rsid w:val="00152C87"/>
    <w:rsid w:val="00152DA6"/>
    <w:rsid w:val="00153275"/>
    <w:rsid w:val="001532FA"/>
    <w:rsid w:val="001539E7"/>
    <w:rsid w:val="00153B7E"/>
    <w:rsid w:val="00153E6A"/>
    <w:rsid w:val="0015414D"/>
    <w:rsid w:val="00154A7E"/>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A6508"/>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4DAC"/>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1A04"/>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257A"/>
    <w:rsid w:val="004730AF"/>
    <w:rsid w:val="00473209"/>
    <w:rsid w:val="004732F8"/>
    <w:rsid w:val="004739A3"/>
    <w:rsid w:val="00473C5F"/>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17AB1"/>
    <w:rsid w:val="0052067F"/>
    <w:rsid w:val="0052203D"/>
    <w:rsid w:val="0052280D"/>
    <w:rsid w:val="00524C1C"/>
    <w:rsid w:val="00525801"/>
    <w:rsid w:val="00526044"/>
    <w:rsid w:val="00526518"/>
    <w:rsid w:val="00526540"/>
    <w:rsid w:val="00526583"/>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4F75"/>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42"/>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D7BD5"/>
    <w:rsid w:val="006E29D1"/>
    <w:rsid w:val="006E3F1F"/>
    <w:rsid w:val="006E43FE"/>
    <w:rsid w:val="006E689F"/>
    <w:rsid w:val="006E6939"/>
    <w:rsid w:val="006F1B6A"/>
    <w:rsid w:val="006F25A4"/>
    <w:rsid w:val="006F2F98"/>
    <w:rsid w:val="006F36A8"/>
    <w:rsid w:val="00701191"/>
    <w:rsid w:val="00703B17"/>
    <w:rsid w:val="00704415"/>
    <w:rsid w:val="00704C3A"/>
    <w:rsid w:val="00710D71"/>
    <w:rsid w:val="00716583"/>
    <w:rsid w:val="0071737C"/>
    <w:rsid w:val="00720FA1"/>
    <w:rsid w:val="00722E8A"/>
    <w:rsid w:val="007231EE"/>
    <w:rsid w:val="00723F12"/>
    <w:rsid w:val="007249EF"/>
    <w:rsid w:val="00725488"/>
    <w:rsid w:val="00727BCE"/>
    <w:rsid w:val="00730984"/>
    <w:rsid w:val="007329F9"/>
    <w:rsid w:val="00733481"/>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D92"/>
    <w:rsid w:val="00794451"/>
    <w:rsid w:val="00794C0D"/>
    <w:rsid w:val="007954BD"/>
    <w:rsid w:val="0079590F"/>
    <w:rsid w:val="007971A0"/>
    <w:rsid w:val="00797240"/>
    <w:rsid w:val="007A08B0"/>
    <w:rsid w:val="007A210E"/>
    <w:rsid w:val="007A357D"/>
    <w:rsid w:val="007A4112"/>
    <w:rsid w:val="007A44E9"/>
    <w:rsid w:val="007A5022"/>
    <w:rsid w:val="007A541E"/>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968"/>
    <w:rsid w:val="00853F1D"/>
    <w:rsid w:val="008544A4"/>
    <w:rsid w:val="00854CF9"/>
    <w:rsid w:val="0085552D"/>
    <w:rsid w:val="0085691E"/>
    <w:rsid w:val="008615D5"/>
    <w:rsid w:val="00861B8F"/>
    <w:rsid w:val="0086236B"/>
    <w:rsid w:val="0086238C"/>
    <w:rsid w:val="008633B9"/>
    <w:rsid w:val="0086359E"/>
    <w:rsid w:val="0086488C"/>
    <w:rsid w:val="00865AA1"/>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2FD"/>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300"/>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1C5"/>
    <w:rsid w:val="00924B70"/>
    <w:rsid w:val="00924C9D"/>
    <w:rsid w:val="00924EA5"/>
    <w:rsid w:val="00925033"/>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3AB0"/>
    <w:rsid w:val="0099460E"/>
    <w:rsid w:val="009948E7"/>
    <w:rsid w:val="00994DFA"/>
    <w:rsid w:val="00996DDA"/>
    <w:rsid w:val="00997A1D"/>
    <w:rsid w:val="00997A8D"/>
    <w:rsid w:val="009A0637"/>
    <w:rsid w:val="009A0CBC"/>
    <w:rsid w:val="009A1AE0"/>
    <w:rsid w:val="009A2891"/>
    <w:rsid w:val="009A2F24"/>
    <w:rsid w:val="009A3059"/>
    <w:rsid w:val="009A310E"/>
    <w:rsid w:val="009A368A"/>
    <w:rsid w:val="009A4042"/>
    <w:rsid w:val="009A422F"/>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C5B"/>
    <w:rsid w:val="00A17D6E"/>
    <w:rsid w:val="00A20ADD"/>
    <w:rsid w:val="00A20FFA"/>
    <w:rsid w:val="00A216A0"/>
    <w:rsid w:val="00A218AF"/>
    <w:rsid w:val="00A2351A"/>
    <w:rsid w:val="00A25065"/>
    <w:rsid w:val="00A2555B"/>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4C4E"/>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0953"/>
    <w:rsid w:val="00B31944"/>
    <w:rsid w:val="00B35428"/>
    <w:rsid w:val="00B354CA"/>
    <w:rsid w:val="00B3712F"/>
    <w:rsid w:val="00B409BB"/>
    <w:rsid w:val="00B418B0"/>
    <w:rsid w:val="00B4296D"/>
    <w:rsid w:val="00B46E8F"/>
    <w:rsid w:val="00B47BFB"/>
    <w:rsid w:val="00B47C1D"/>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0748A"/>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4F90"/>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585"/>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5F7"/>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45EF"/>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5BCF"/>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59FA"/>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relative">
    <w:name w:val="relative"/>
    <w:basedOn w:val="DefaultParagraphFont"/>
    <w:rsid w:val="002A6508"/>
  </w:style>
  <w:style w:type="paragraph" w:customStyle="1" w:styleId="not-prose">
    <w:name w:val="not-prose"/>
    <w:basedOn w:val="Normal"/>
    <w:rsid w:val="002A650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7809">
      <w:bodyDiv w:val="1"/>
      <w:marLeft w:val="0"/>
      <w:marRight w:val="0"/>
      <w:marTop w:val="0"/>
      <w:marBottom w:val="0"/>
      <w:divBdr>
        <w:top w:val="none" w:sz="0" w:space="0" w:color="auto"/>
        <w:left w:val="none" w:sz="0" w:space="0" w:color="auto"/>
        <w:bottom w:val="none" w:sz="0" w:space="0" w:color="auto"/>
        <w:right w:val="none" w:sz="0" w:space="0" w:color="auto"/>
      </w:divBdr>
    </w:div>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169832361">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35583022">
      <w:bodyDiv w:val="1"/>
      <w:marLeft w:val="0"/>
      <w:marRight w:val="0"/>
      <w:marTop w:val="0"/>
      <w:marBottom w:val="0"/>
      <w:divBdr>
        <w:top w:val="none" w:sz="0" w:space="0" w:color="auto"/>
        <w:left w:val="none" w:sz="0" w:space="0" w:color="auto"/>
        <w:bottom w:val="none" w:sz="0" w:space="0" w:color="auto"/>
        <w:right w:val="none" w:sz="0" w:space="0" w:color="auto"/>
      </w:divBdr>
    </w:div>
    <w:div w:id="560484231">
      <w:bodyDiv w:val="1"/>
      <w:marLeft w:val="0"/>
      <w:marRight w:val="0"/>
      <w:marTop w:val="0"/>
      <w:marBottom w:val="0"/>
      <w:divBdr>
        <w:top w:val="none" w:sz="0" w:space="0" w:color="auto"/>
        <w:left w:val="none" w:sz="0" w:space="0" w:color="auto"/>
        <w:bottom w:val="none" w:sz="0" w:space="0" w:color="auto"/>
        <w:right w:val="none" w:sz="0" w:space="0" w:color="auto"/>
      </w:divBdr>
    </w:div>
    <w:div w:id="571500122">
      <w:bodyDiv w:val="1"/>
      <w:marLeft w:val="0"/>
      <w:marRight w:val="0"/>
      <w:marTop w:val="0"/>
      <w:marBottom w:val="0"/>
      <w:divBdr>
        <w:top w:val="none" w:sz="0" w:space="0" w:color="auto"/>
        <w:left w:val="none" w:sz="0" w:space="0" w:color="auto"/>
        <w:bottom w:val="none" w:sz="0" w:space="0" w:color="auto"/>
        <w:right w:val="none" w:sz="0" w:space="0" w:color="auto"/>
      </w:divBdr>
    </w:div>
    <w:div w:id="606735468">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86396316">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66606023">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673071484">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4SQX5P7U7WPY-958212181-819341</_dlc_DocId>
    <_dlc_DocIdUrl xmlns="c890fddd-4e87-4e08-8b51-545f2a3f7b06">
      <Url>https://senpr.sharepoint.com/sites/obralegislativa/_layouts/15/DocIdRedir.aspx?ID=4SQX5P7U7WPY-958212181-819341</Url>
      <Description>4SQX5P7U7WPY-958212181-819341</Description>
    </_dlc_DocIdUrl>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2A532979-B0F1-4DAE-AC04-BF12E1313720}"/>
</file>

<file path=customXml/itemProps4.xml><?xml version="1.0" encoding="utf-8"?>
<ds:datastoreItem xmlns:ds="http://schemas.openxmlformats.org/officeDocument/2006/customXml" ds:itemID="{7726AD63-E5FB-4D24-BEC7-3EC1B456ED6B}"/>
</file>

<file path=customXml/itemProps5.xml><?xml version="1.0" encoding="utf-8"?>
<ds:datastoreItem xmlns:ds="http://schemas.openxmlformats.org/officeDocument/2006/customXml" ds:itemID="{9DDF35BB-94AC-4ED7-9AC9-FDF827A70A2C}"/>
</file>

<file path=docProps/app.xml><?xml version="1.0" encoding="utf-8"?>
<Properties xmlns="http://schemas.openxmlformats.org/officeDocument/2006/extended-properties" xmlns:vt="http://schemas.openxmlformats.org/officeDocument/2006/docPropsVTypes">
  <Template>Normal</Template>
  <TotalTime>12</TotalTime>
  <Pages>5</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2025-09-29T15:36:00Z</cp:lastPrinted>
  <dcterms:created xsi:type="dcterms:W3CDTF">2025-09-30T15:35:00Z</dcterms:created>
  <dcterms:modified xsi:type="dcterms:W3CDTF">2025-09-30T15:35:00Z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9b640ee6-627d-4961-9de5-abc5aa4cd9d4</vt:lpwstr>
  </property>
  <property fmtid="{D5CDD505-2E9C-101B-9397-08002B2CF9AE}" pid="4" name="MediaServiceImageTags">
    <vt:lpwstr/>
  </property>
</Properties>
</file>